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Parents, children (above toddler age),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-infants, small children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-elderly/gradnparents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-Urban settings - parks, transit, sidewalks,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-indoor settings- school, restaurants,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Comfort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-lightweight - seat material,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-good padding easy to clean, detachable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-suspension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-shade for child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-adjustable heights for handle - supports wider range of users (ergonomics)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-good stability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-ergonomics for baby (research about this)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Safety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-locking mechanism so child does not fool around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--break system - active braking system like bikes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-harness for child(s)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-swappable chairs/ All in 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-waterproof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-lights to see in dark/ reflective material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-sustainable materials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-sturdy &amp; lightweight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