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before="280" w:after="12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Altiplano central de México y la materia prima de la industria cervecera. Cerca de tres cuartas partes de la superficie nacional se siembra en esta región, casi toda de temporal, y Hidalgo, Puebla y Tlaxcala concentran la mayor parte de la producción (SIAP, 2023). Quienes la cultivan son, en su mayoría, pequeños y medianos productores que venden su cosecha a comercializadoras y parafinancieras. Para ellos, el rendimiento por hectárea define al mismo tiempo cuánto ganan y si podrán pagar el crédito de avío con el que financiaron el ciclo.</w:t>
      </w:r>
    </w:p>
    <w:p>
      <w:pPr>
        <w:spacing w:after="140" w:line="288"/>
        <w:jc w:val="both"/>
      </w:pPr>
      <w:r>
        <w:rPr>
          <w:rFonts w:ascii="Calibri" w:cs="Calibri" w:eastAsia="Calibri" w:hAnsi="Calibri"/>
        </w:rPr>
        <w:t xml:space="preserve">Saber cuánto va a rendir una parcela sin visitarla, y para todas las parcelas de una región, es un problema abierto con valor público directo. Los satélites lo hacen posible: Sentinel-2 pasa cada cinco días con píxeles de 10 m y constelaciones como Planet observan casi a diario con píxeles de 3 m. Los estudios recientes muestran que los modelos de aprendizaje automático que combinan estas series con clima y relieve explican buena parte de la variación del rendimiento en cereales de temporal (van Klompenburg et al., 2020), aunque su desempeño depende de cuántas parcelas se tengan, de qué tan confiable sea el dato de rendimiento y de cómo estén repartidas.</w:t>
      </w:r>
    </w:p>
    <w:p>
      <w:pPr>
        <w:spacing w:after="140" w:line="288"/>
        <w:jc w:val="both"/>
      </w:pPr>
      <w:r>
        <w:rPr>
          <w:rFonts w:ascii="Calibri" w:cs="Calibri" w:eastAsia="Calibri" w:hAnsi="Calibri"/>
        </w:rPr>
        <w:t xml:space="preserve">El Reto AgroCebada 2026 plantea exactamente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guarda el comité para calificar las predicciones. Ese rendimiento viene, en la mayoría de los casos, del registro de compra de la comercializadora, no de una medición en campo, así que trae ruido y, en algunas zonas, está redondeado a medias toneladas.</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ejecuta el modelo, muestra las 197 parcelas en un mapa, entrega la estimación con su rango y explica con palabras sencillas cómo se llegó a cada número.</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es el que usamos para responder las tres preguntas guía del reto.</w:t>
      </w:r>
    </w:p>
    <w:p>
      <w:pPr>
        <w:pStyle w:val="Heading1"/>
        <w:spacing w:before="280" w:after="12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FIRA y los intermediarios financieros rurales otorgan crédito de avío a productores de cebada sin una medida objetiva, oportuna y barata del rendimiento que puede dar cada parcela. Esa falta encarece el crédito, deja fuera a quienes no tienen historial y dificulta diseñar seguros ligados a la producción. Un modelo que estime el rendimiento de cualquier parcela georreferenciada a partir de datos satelitales y climáticos públicos, con un error conocido, convierte información que ya existe en un insumo para decidir.</w:t>
      </w:r>
    </w:p>
    <w:p>
      <w:pPr>
        <w:spacing w:after="140" w:line="288"/>
        <w:jc w:val="both"/>
      </w:pPr>
      <w:r>
        <w:rPr>
          <w:rFonts w:ascii="Calibri" w:cs="Calibri" w:eastAsia="Calibri" w:hAnsi="Calibri"/>
        </w:rPr>
        <w:t xml:space="preserve">El reto aporta además un caso poco común: datos reales de 197 parcelas con rendimiento comercial, no datos sintéticos ni de estación experimental. Resolverlo con rigor —validación reproducible, incertidumbre cuantificada y una explicación de cada predicción— es lo que hace creíble la herramienta tanto para el analista de crédito como para el productor, que fue el público prioritario señalado por FIRA en las sesiones de dudas.</w:t>
      </w:r>
    </w:p>
    <w:p>
      <w:pPr>
        <w:pStyle w:val="Heading1"/>
        <w:spacing w:before="280" w:after="12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 con un error cuantificado.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Construir una tabla reproducible de variables por parcela que resuma la fenología de los índices de Planet y Sentinel-2 (valores por mes, emergencia, máximo, duración, velocidad de secado), el clima del ciclo, el relieve y la ubicación.</w:t>
      </w:r>
    </w:p>
    <w:p>
      <w:pPr>
        <w:pStyle w:val="ListParagraph"/>
        <w:numPr>
          <w:ilvl w:val="0"/>
          <w:numId w:val="2"/>
        </w:numPr>
        <w:spacing w:after="80" w:line="276"/>
        <w:jc w:val="both"/>
      </w:pPr>
      <w:r>
        <w:rPr>
          <w:rFonts w:ascii="Calibri" w:cs="Calibri" w:eastAsia="Calibri" w:hAnsi="Calibri"/>
        </w:rPr>
        <w:t xml:space="preserve">Comparar modelos (Ridge, Random Forest, LightGBM, proceso gaussiano y ensambles) con un mismo esquema de validación cruzada repetida y estratificada por estado, más una validación agrupada por municipio, usando como referencia el promedio regional (RMSE 0.851) y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Poner el modelo al alcance de analistas y productores en una aplicación web que lo ejecute, muestre mapa, rango de predicción y una explicación sencilla por parcela, y discutir su uso en inclusión financiera.</w:t>
      </w:r>
    </w:p>
    <w:p>
      <w:pPr>
        <w:pStyle w:val="Heading1"/>
        <w:spacing w:before="280" w:after="12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Usamos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Una auditoría confirmó 197 identificadores únicos en todas las fuentes, la unión sin pérdidas entre shapefile y tablas, y el reparto 138/59. Trabajamos con el ciclo abril–octubre de 2025 (más noviembre, para ver el secado). Las observaciones con nubosidad del 100 % se descartaron porque traen los índices vacíos; no se rellenó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tomamos la serie del promedio del polígono, la suavizamos con una mediana móvil de tres observaciones y calculamos: mediana de cada mes de abril a noviembre, medianas por ventana (mayo–junio, julio–septiembre, octubre–noviembre), valor y fecha del máximo, amplitud, área bajo la curva de abril a octubre, inicio y fin de la temporada verde (cuando la curva cruza la mitad de su amplitud al subir y al bajar),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(EPSG:6372, en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Usamos validación cruzada de 5 particiones estratificadas por estado —imita el reparto oficial 70/30, proporcional por zona y espacialmente mezclado— repetida 10 veces con semillas distintas; reportamos promedio y desviación entre repeticiones, y tratamos como ruido cualquier diferencia de RMSE menor a 0.03 t/ha. Como prueba más exigente añadimos una validación agrupada por municipio. Las variables de vecinos y de zona se recalculan dentro de cada partición solo con las parcelas de entrenamiento de esa partición (y sin contar a la propia parcela), de modo que el rendimiento de una parcela nunca entra en sus propias variables ni en las de las parcelas con las que se evalúa.</w:t>
      </w:r>
    </w:p>
    <w:p>
      <w:pPr>
        <w:spacing w:after="140" w:line="288"/>
        <w:jc w:val="both"/>
      </w:pPr>
      <w:r>
        <w:rPr>
          <w:rFonts w:ascii="Calibri" w:cs="Calibri" w:eastAsia="Calibri" w:hAnsi="Calibri"/>
          <w:b/>
          <w:bCs/>
        </w:rPr>
        <w:t xml:space="preserve">Modelos.</w:t>
      </w:r>
      <w:r>
        <w:rPr>
          <w:rFonts w:ascii="Calibri" w:cs="Calibri" w:eastAsia="Calibri" w:hAnsi="Calibri"/>
        </w:rPr>
        <w:t xml:space="preserve"> Comparamos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por promedio. Para las preguntas guía evaluamos cada índice con sus variables fenológicas y cada variable climática, solos y con la ubicación fija, calculamos la importancia por permutación del modelo final (cuánto sube el RMSE al barajar cada variable) y una ablación por grupos.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Es el promedio de dos modelos: LightGBM con ubicación, relieve y clima (11 variables) y Random Forest con ubicación, fenología de Planet, clima y relieve (91 variables). La predicción se recorta al rango plausible de 1.5 a 6.5 t/ha. El rango de predicción al 80 % se calcula como ±1.28 veces el RMSE de validación. La explicación de cada parcela usa valores SHAP (Lundberg y Lee, 2017) promediados entre ambos modelos, agrupados por tipo de variable y traducidos a una nota en lenguaje sencillo. Para que la aplicación ejecute el modelo en el navegador ajustamos una regresión ridge sustituta sobre 11 variables interpretables y reportamos cuánto difiere del ensamble.</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 scripts documentados en el README.</w:t>
      </w:r>
    </w:p>
    <w:p>
      <w:pPr>
        <w:pStyle w:val="Heading1"/>
        <w:spacing w:before="280" w:after="12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mira a las ocho parcelas vecinas baja a 0.501 (R² 0.65): la ubicación sola explica cerca de dos tercios de la variación y es la vara real que cualquier modelo debía superar.</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Y el clima "predice" bien aunque solo tenga 25 valores distintos: funciona como etiqueta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Con 138 parcelas y un rendimiento comercial, redondeado a medias toneladas en toda la zona de Tlaxcala, el piso de ruido es alto.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En la validación agrupada por municipio da RMSE 0.574 frente a 0.708 del kNN puro: las variables satelitales, climáticas y de relieve sí ayudan cuando hay que extrapolar a municipios no vistos. Por estado, el RMSE es 0.357 en Hidalgo, 0.375 en Tlaxcala y 0.578 en Puebla, donde el rendimiento es más alto y más variable (≈4.5 ± 0.5 t/ha): el modelo acierta el nivel de cada zona, pero explica poco de la variación dentro de Puebla. Las 59 predicciones tienen promedio 3.95 t/ha y van de 2.88 a 4.65, en línea con el entrenamiento: 4.47 en Puebla, 3.79 en Hidalgo y 3.00 en Tlaxcala. Frente al Ridge provisional de nueve variables (0.551) la mejora es de 0.06 t/ha; frente al promedio, 0.36.</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ven la misma fenología y Planet, casi diario, la describe mejor. La mejor combinación es poca información complementaria: la ubicación da el nivel, relieve y clima afinan la zona, la fenología explica diferencias dentro de ella.</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En esta muestra la predicción espacial domina y los índices afinan en el margen; es una limitación del dato (138 parcelas, rendimiento comercial con redondeo, 25 píxeles de clima), no del método. Las predicciones son estables (desviación entre repeticiones de 0.007 t/ha), pero su rango al 80 % es de ±0.63 t/ha, y la aplicación lo muestra junto a cada estimación.</w:t>
      </w:r>
    </w:p>
    <w:p>
      <w:pPr>
        <w:pStyle w:val="Heading1"/>
        <w:spacing w:before="280" w:after="12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Hoy el crédito de avío a pequeños productores de cebada se decide con información desigual: el intermediario financiero conoce el historial del productor, si lo hay, pero no el potencial productivo de la parcela concreta que respaldará el pago. CebadaVision convierte datos públicos —imágenes satelitales, clima, relieve y la ubicación de la parcela— en una estimación de rendimiento por parcela con error conocido, sin visita de campo y actualizable cada ciclo. Eso cambia tres decisiones.</w:t>
      </w:r>
    </w:p>
    <w:p>
      <w:pPr>
        <w:spacing w:after="140" w:line="288"/>
        <w:jc w:val="both"/>
      </w:pPr>
      <w:r>
        <w:rPr>
          <w:rFonts w:ascii="Calibri" w:cs="Calibri" w:eastAsia="Calibri" w:hAnsi="Calibri"/>
        </w:rPr>
        <w:t xml:space="preserve">Primera, el tamaño del crédito. Con rendimiento esperado, superficie y precio de referencia se obtiene el valor esperado de la cosecha y, con el rango del modelo, un escenario conservador; el monto de avío puede ajustarse a lo que esa parcela puede pagar, no a un promedio regional. La aplicación muestra la producción estimada en toneladas y un semáforo bajo/medio/alto por terciles, pensado como primer filtro de riesgo.</w:t>
      </w:r>
    </w:p>
    <w:p>
      <w:pPr>
        <w:spacing w:after="140" w:line="288"/>
        <w:jc w:val="both"/>
      </w:pPr>
      <w:r>
        <w:rPr>
          <w:rFonts w:ascii="Calibri" w:cs="Calibri" w:eastAsia="Calibri" w:hAnsi="Calibri"/>
        </w:rPr>
        <w:t xml:space="preserve">Segunda, la inclusión de productores sin historial. Alguien sin expediente crediticio puede ser evaluado por la evidencia objetiva de su parcela y de sus vecinas; la ubicación, que es lo que más pesa en el modelo, es justamente información que el productor no puede alterar y que la financiera no necesita verificar en campo.</w:t>
      </w:r>
    </w:p>
    <w:p>
      <w:pPr>
        <w:spacing w:after="140" w:line="288"/>
        <w:jc w:val="both"/>
      </w:pPr>
      <w:r>
        <w:rPr>
          <w:rFonts w:ascii="Calibri" w:cs="Calibri" w:eastAsia="Calibri" w:hAnsi="Calibri"/>
        </w:rPr>
        <w:t xml:space="preserve">Tercera, el diseño de seguros y garantías. El error por zona (0.36 t/ha en Hidalgo y Tlaxcala, 0.58 en Puebla) y la trayectoria del vigor del cultivo durante el ciclo permiten detectar a tiempo desviaciones respecto a lo esperado y activar seguros paramétricos o reestructuras antes de la cosecha.</w:t>
      </w:r>
    </w:p>
    <w:p>
      <w:pPr>
        <w:spacing w:after="140" w:line="288"/>
        <w:jc w:val="both"/>
      </w:pPr>
      <w:r>
        <w:rPr>
          <w:rFonts w:ascii="Calibri" w:cs="Calibri" w:eastAsia="Calibri" w:hAnsi="Calibri"/>
        </w:rPr>
        <w:t xml:space="preserve">Para que esto sea inclusión y no exclusión hace falta transparencia: cada estimación se entrega con su rango y con una explicación sencilla de qué la subió o la bajó, para que el productor pueda entenderla, cuestionarla y usarla en su propia negociación con la comercializadora o la financiera.</w:t>
      </w:r>
    </w:p>
    <w:p>
      <w:pPr>
        <w:pStyle w:val="Heading1"/>
        <w:spacing w:before="280" w:after="12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Construimos un modelo reproducible que predice el rendimiento de grano de parcelas de cebada de temporal en Hidalgo, Tlaxcala y Puebla con RMSE de 0.491 ± 0.007 t/ha, MAE de 0.336 y R² de 0.664 en validación cruzada estratificada por estado y repetida diez veces, frente a 0.851 del promedio regional y 0.501 de un kNN espacial. El modelo final es un ensamble de LightGBM y Random Forest sobre ubicación, relieve, clima y fenología de Planet, y entrega las 59 predicciones solicitadas con promedio de 3.95 t/ha y un rango al 80 % de ±0.63 t/ha.</w:t>
      </w:r>
    </w:p>
    <w:p>
      <w:pPr>
        <w:spacing w:after="140" w:line="288"/>
        <w:jc w:val="both"/>
      </w:pPr>
      <w:r>
        <w:rPr>
          <w:rFonts w:ascii="Calibri" w:cs="Calibri" w:eastAsia="Calibri" w:hAnsi="Calibri"/>
        </w:rPr>
        <w:t xml:space="preserve">El hallazgo principal es estructural: la ubicación de la parcela explica cerca de dos tercios de la variación del rendimiento, porque las tres zonas rinden distinto y porque parcelas vecinas comparten suelo, clima y manejo. Un modelo que ignore esto subestima su error o atribuye a los índices satelitales un mérito que pertenece a la geografía. Evaluar las variables dentro de esa estructura permitió responder las preguntas guía con evidencia comparable: el índice más importante es el EVI de Planet, por su señal en la emergencia y en el secado; la variable climática con mayor peso es la precipitación del ciclo, en particular su anomalía respecto a 2022–2024; y la mejor combinación es ubicación + relieve + clima + fenología de Planet; sumar Sentinel-2 no mejora.</w:t>
      </w:r>
    </w:p>
    <w:p>
      <w:pPr>
        <w:spacing w:after="140" w:line="288"/>
        <w:jc w:val="both"/>
      </w:pPr>
      <w:r>
        <w:rPr>
          <w:rFonts w:ascii="Calibri" w:cs="Calibri" w:eastAsia="Calibri" w:hAnsi="Calibri"/>
        </w:rPr>
        <w:t xml:space="preserve">Las limitaciones se declaran en la aplicación: rendimiento de origen comercial, redondeado en una zona; clima a 5 km con solo 25 valores distintos; 138 parcelas de un solo ciclo; variedad, fecha de siembra, dosis y siniestros desconocidos. Por eso el aporte de los índices sobre la ubicación es pequeño, aunque mejora la extrapolación a municipios no vistos.</w:t>
      </w:r>
    </w:p>
    <w:p>
      <w:pPr>
        <w:spacing w:after="140" w:line="288"/>
        <w:jc w:val="both"/>
      </w:pPr>
      <w:r>
        <w:rPr>
          <w:rFonts w:ascii="Calibri" w:cs="Calibri" w:eastAsia="Calibri" w:hAnsi="Calibri"/>
        </w:rPr>
        <w:t xml:space="preserve">La aplicación CebadaVision ejecuta el modelo en el navegador, muestra las 197 parcelas en un mapa, permite buscar cada una por su identificador, presenta la estimación con rango y semáforo, explica con palabras sencillas cómo se llegó al número y ofrece un simulador y la descarga del CSV, con prioridad en el productor.</w:t>
      </w:r>
    </w:p>
    <w:p>
      <w:pPr>
        <w:spacing w:after="140" w:line="288"/>
        <w:jc w:val="both"/>
      </w:pPr>
      <w:r>
        <w:rPr>
          <w:rFonts w:ascii="Calibri" w:cs="Calibri" w:eastAsia="Calibri" w:hAnsi="Calibri"/>
        </w:rPr>
        <w:t xml:space="preserve">Como siguiente paso, el mismo pipeline se extendería a varios ciclos y a rendimientos medidos en campo, para modelar con la fenología lo que la ubicación no explica, estimar antes de la cosecha y calibrar el rango por zona. Con FIRA, el modelo podría integrarse a la originación de crédito de avío como variable objetiva de capacidad productiva por parcela.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2026-10-18T06:18:29.260Z</dcterms:created>
  <dcterms:modified xsi:type="dcterms:W3CDTF">2026-10-18T06:18:29.260Z</dcterms:modified>
</cp:coreProperties>
</file>

<file path=docProps/custom.xml><?xml version="1.0" encoding="utf-8"?>
<Properties xmlns="http://schemas.openxmlformats.org/officeDocument/2006/custom-properties" xmlns:vt="http://schemas.openxmlformats.org/officeDocument/2006/docPropsVTypes"/>
</file>