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280"/>
      </w:pPr>
      <w:r>
        <w:rPr>
          <w:rFonts w:ascii="Calibri" w:cs="Calibri" w:eastAsia="Calibri" w:hAnsi="Calibri"/>
          <w:b/>
          <w:bCs/>
          <w:color w:val="2F4F1F"/>
          <w:sz w:val="32"/>
          <w:szCs w:val="32"/>
        </w:rPr>
        <w:t xml:space="preserve">Anexos (máx. 4 cuartillas) — CebadaVision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2F4F1F"/>
          <w:sz w:val="28"/>
          <w:szCs w:val="28"/>
        </w:rPr>
        <w:t xml:space="preserve">A1. Predicciones de las 59 parcelas (t/ha, 4 decimales)</w:t>
      </w:r>
    </w:p>
    <w:p>
      <w:pPr>
        <w:spacing w:after="140" w:line="288"/>
        <w:jc w:val="both"/>
      </w:pPr>
      <w:r>
        <w:rPr>
          <w:rFonts w:ascii="Calibri" w:cs="Calibri" w:eastAsia="Calibri" w:hAnsi="Calibri"/>
        </w:rPr>
        <w:t xml:space="preserve">Rendimiento de grano estimado por el modelo final (ensamble LightGBM + Random Forest) para las 59 parcelas del conjunto de predicción. Mismos identificadores y valores que el CSV preparado para FIRA, aún pendiente de envío.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  <w:cantSplit/>
        </w:trPr>
        <w:tc>
          <w:tcPr>
            <w:tcW w:type="dxa" w:w="1504"/>
            <w:shd w:fill="E8F0E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504"/>
            <w:shd w:fill="E8F0E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t/ha</w:t>
            </w:r>
          </w:p>
        </w:tc>
        <w:tc>
          <w:tcPr>
            <w:tcW w:type="dxa" w:w="1504"/>
            <w:shd w:fill="E8F0E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504"/>
            <w:shd w:fill="E8F0E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t/ha</w:t>
            </w:r>
          </w:p>
        </w:tc>
        <w:tc>
          <w:tcPr>
            <w:tcW w:type="dxa" w:w="1504"/>
            <w:shd w:fill="E8F0E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ID</w:t>
            </w:r>
          </w:p>
        </w:tc>
        <w:tc>
          <w:tcPr>
            <w:tcW w:type="dxa" w:w="1506"/>
            <w:shd w:fill="E8F0E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t/ha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AGC_003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3.4582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AGC_076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4.6049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AGC_142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4.6490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AGC_011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4.5491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AGC_082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4.5076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AGC_143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4.5267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AGC_016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4.4001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AGC_085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4.2365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AGC_147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2.9875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AGC_025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3.0380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AGC_086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3.0426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AGC_149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4.4601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AGC_027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2.9742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AGC_087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2.8776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AGC_153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4.2589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AGC_028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4.5693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AGC_088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4.4664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AGC_154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4.5223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AGC_029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2.9709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AGC_091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4.5210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AGC_156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3.2345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AGC_030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3.1045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AGC_093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2.9494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AGC_158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4.2025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AGC_031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4.2783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AGC_094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4.4543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AGC_173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3.1163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AGC_036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4.4455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AGC_095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4.5666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AGC_174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4.3857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AGC_039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2.9821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AGC_107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4.4860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AGC_175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4.4178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AGC_042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3.0120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AGC_113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3.1797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AGC_177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4.4497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AGC_043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4.4842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AGC_116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4.4596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AGC_182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4.4916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AGC_050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3.0147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AGC_118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3.0863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AGC_183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2.9948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AGC_052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4.4507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AGC_120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3.0751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AGC_186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4.5575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AGC_061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3.0559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AGC_126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4.4792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AGC_188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4.5433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AGC_063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4.5332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AGC_128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4.5121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AGC_190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4.4076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AGC_065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4.4761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AGC_129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3.3870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AGC_191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4.6349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AGC_071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2.9163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AGC_130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4.4504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AGC_192</w:t>
            </w: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4.5541</w:t>
            </w:r>
          </w:p>
        </w:tc>
      </w:tr>
      <w:tr>
        <w:trPr>
          <w:tblHeader w:val="false"/>
          <w:cantSplit/>
        </w:trPr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AGC_075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2.9131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AGC_136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4.4922</w:t>
            </w:r>
          </w:p>
        </w:tc>
        <w:tc>
          <w:tcPr>
            <w:tcW w:type="dxa" w:w="15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5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pStyle w:val="Heading1"/>
        <w:pageBreakBefore/>
        <w:spacing w:after="120" w:before="280"/>
      </w:pPr>
      <w:r>
        <w:rPr>
          <w:rFonts w:ascii="Calibri" w:cs="Calibri" w:eastAsia="Calibri" w:hAnsi="Calibri"/>
          <w:b/>
          <w:bCs/>
          <w:color w:val="2F4F1F"/>
          <w:sz w:val="28"/>
          <w:szCs w:val="28"/>
        </w:rPr>
        <w:t xml:space="preserve">A2. Actividades y aportaciones de cada integrante</w:t>
      </w:r>
    </w:p>
    <w:p>
      <w:pPr>
        <w:spacing w:after="140" w:line="288"/>
        <w:jc w:val="both"/>
      </w:pPr>
      <w:r>
        <w:rPr>
          <w:rFonts w:ascii="Calibri" w:cs="Calibri" w:eastAsia="Calibri" w:hAnsi="Calibri"/>
        </w:rPr>
        <w:t xml:space="preserve">Relación pendiente de revisión y aprobación por cada integrante.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4"/>
        <w:gridCol w:w="1512"/>
        <w:gridCol w:w="5544"/>
      </w:tblGrid>
      <w:tr>
        <w:trPr>
          <w:tblHeader/>
          <w:cantSplit/>
        </w:trPr>
        <w:tc>
          <w:tcPr>
            <w:tcW w:type="dxa" w:w="2304"/>
            <w:shd w:fill="E8F0E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Integrante</w:t>
            </w:r>
          </w:p>
        </w:tc>
        <w:tc>
          <w:tcPr>
            <w:tcW w:type="dxa" w:w="1512"/>
            <w:shd w:fill="E8F0E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Rol</w:t>
            </w:r>
          </w:p>
        </w:tc>
        <w:tc>
          <w:tcPr>
            <w:tcW w:type="dxa" w:w="5544"/>
            <w:shd w:fill="E8F0E3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Actividades y aportaciones</w:t>
            </w:r>
          </w:p>
        </w:tc>
      </w:tr>
      <w:tr>
        <w:trPr>
          <w:tblHeader w:val="false"/>
          <w:cantSplit/>
        </w:trPr>
        <w:tc>
          <w:tcPr>
            <w:tcW w:type="dxa" w:w="23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Osmar Javier (capitán)</w:t>
            </w:r>
          </w:p>
        </w:tc>
        <w:tc>
          <w:tcPr>
            <w:tcW w:type="dxa" w:w="151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Coordinación</w:t>
            </w:r>
          </w:p>
        </w:tc>
        <w:tc>
          <w:tcPr>
            <w:tcW w:type="dxa" w:w="55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Organización en sprints e issues de GitHub; registro de decisiones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DECISIONES.md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); seguimiento de las sesiones de dudas con FIRA; integración de entregables y carga en la plataforma.</w:t>
            </w:r>
          </w:p>
        </w:tc>
      </w:tr>
      <w:tr>
        <w:trPr>
          <w:tblHeader w:val="false"/>
          <w:cantSplit/>
        </w:trPr>
        <w:tc>
          <w:tcPr>
            <w:tcW w:type="dxa" w:w="23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David Bonifacio</w:t>
            </w:r>
          </w:p>
        </w:tc>
        <w:tc>
          <w:tcPr>
            <w:tcW w:type="dxa" w:w="151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Datos</w:t>
            </w:r>
          </w:p>
        </w:tc>
        <w:tc>
          <w:tcPr>
            <w:tcW w:type="dxa" w:w="55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Auditoría independiente de IDs, fechas y unión de fuentes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src/auditoria_datos.py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); extracción de clima y topografía por polígono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src/extraer_raster.py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); tabla PRO por parcela con filtro de nubosidad sin imputación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src/tabla_pro.py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); clima por ciclo y README reproducible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src/clima_ciclo.py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).</w:t>
            </w:r>
          </w:p>
        </w:tc>
      </w:tr>
      <w:tr>
        <w:trPr>
          <w:tblHeader w:val="false"/>
          <w:cantSplit/>
        </w:trPr>
        <w:tc>
          <w:tcPr>
            <w:tcW w:type="dxa" w:w="23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Hugo Palencia</w:t>
            </w:r>
          </w:p>
        </w:tc>
        <w:tc>
          <w:tcPr>
            <w:tcW w:type="dxa" w:w="151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Modelo</w:t>
            </w:r>
          </w:p>
        </w:tc>
        <w:tc>
          <w:tcPr>
            <w:tcW w:type="dxa" w:w="55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Baseline V0 (media) y V1 (regresión lineal) con los folds fijos; comparación por bloques de variables; Random Forest con clima y municipio/estado codificados (RMSE 0.513 ± 0.087, R² 0.621), que confirmó el peso de la ubicación.</w:t>
            </w:r>
          </w:p>
        </w:tc>
      </w:tr>
      <w:tr>
        <w:trPr>
          <w:tblHeader w:val="false"/>
          <w:cantSplit/>
        </w:trPr>
        <w:tc>
          <w:tcPr>
            <w:tcW w:type="dxa" w:w="23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David Cervantes</w:t>
            </w:r>
          </w:p>
        </w:tc>
        <w:tc>
          <w:tcPr>
            <w:tcW w:type="dxa" w:w="151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App</w:t>
            </w:r>
          </w:p>
        </w:tc>
        <w:tc>
          <w:tcPr>
            <w:tcW w:type="dxa" w:w="55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Diseño y desarrollo de la aplicación web (React/TypeScript/Leaflet), contrato de datos modelo→app, validador, modo productor/analista, simulador; despliegue público pendiente de verificación.</w:t>
            </w:r>
          </w:p>
        </w:tc>
      </w:tr>
      <w:tr>
        <w:trPr>
          <w:tblHeader w:val="false"/>
          <w:cantSplit/>
        </w:trPr>
        <w:tc>
          <w:tcPr>
            <w:tcW w:type="dxa" w:w="23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Isaac</w:t>
            </w:r>
          </w:p>
        </w:tc>
        <w:tc>
          <w:tcPr>
            <w:tcW w:type="dxa" w:w="151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Reporte</w:t>
            </w:r>
          </w:p>
        </w:tc>
        <w:tc>
          <w:tcPr>
            <w:tcW w:type="dxa" w:w="55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Documento compartido con las secciones y límites; redacción de Introducción, Justificación y Objetivos (base del informe final); referencias bibliográficas; guion del video con Cervantes.</w:t>
            </w:r>
          </w:p>
        </w:tc>
      </w:tr>
      <w:tr>
        <w:trPr>
          <w:tblHeader w:val="false"/>
          <w:cantSplit/>
        </w:trPr>
        <w:tc>
          <w:tcPr>
            <w:tcW w:type="dxa" w:w="230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Equipo</w:t>
            </w:r>
          </w:p>
        </w:tc>
        <w:tc>
          <w:tcPr>
            <w:tcW w:type="dxa" w:w="151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Modelo final</w:t>
            </w:r>
          </w:p>
        </w:tc>
        <w:tc>
          <w:tcPr>
            <w:tcW w:type="dxa" w:w="55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Ingeniería de variables fenológicas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src/features.py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), banco de experimentos con CV repetida y agrupada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src/modelar.py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), ensamble final y explicación por parcela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src/modelo_final.py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), exportador (</w:t>
            </w:r>
            <w:r>
              <w:rPr>
                <w:rFonts w:ascii="Consolas" w:cs="Consolas" w:eastAsia="Consolas" w:hAnsi="Consolas"/>
                <w:b w:val="false"/>
                <w:bCs w:val="false"/>
                <w:sz w:val="19"/>
                <w:szCs w:val="19"/>
              </w:rPr>
              <w:t xml:space="preserve">src/exportar_app.py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).</w:t>
            </w:r>
          </w:p>
        </w:tc>
      </w:tr>
    </w:tbl>
    <w:p>
      <w:pPr>
        <w:spacing w:after="120"/>
      </w:pP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2F4F1F"/>
          <w:sz w:val="28"/>
          <w:szCs w:val="28"/>
        </w:rPr>
        <w:t xml:space="preserve">A3. Enlaces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Aplicación: (pendiente de despliegue)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Video demostrativo: (pendiente)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Repositorio de modelación: https://github.com/OsmarGHz/Cebada-Vision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Repositorio de la aplicación: https://github.com/David54s/agrocebada-pagina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Calibri" w:cs="Calibri" w:eastAsia="Calibri" w:hAnsi="Calibri"/>
        </w:rPr>
        <w:t xml:space="preserve">Banco de experimentos completo: </w:t>
      </w:r>
      <w:r>
        <w:rPr>
          <w:rFonts w:ascii="Consolas" w:cs="Consolas" w:eastAsia="Consolas" w:hAnsi="Consolas"/>
          <w:sz w:val="20"/>
          <w:szCs w:val="20"/>
        </w:rPr>
        <w:t xml:space="preserve">reports/experimentos.md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2F4F1F"/>
          <w:sz w:val="28"/>
          <w:szCs w:val="28"/>
        </w:rPr>
        <w:t xml:space="preserve">A4. Uso de inteligencia artificial</w:t>
      </w:r>
    </w:p>
    <w:p>
      <w:pPr>
        <w:spacing w:after="140" w:line="288"/>
        <w:jc w:val="both"/>
      </w:pPr>
      <w:r>
        <w:rPr>
          <w:rFonts w:ascii="Calibri" w:cs="Calibri" w:eastAsia="Calibri" w:hAnsi="Calibri"/>
        </w:rPr>
        <w:t xml:space="preserve">Pendiente de integrar los registros reales del equipo: integrante, herramienta utilizada, actividad o archivo donde se usó, y texto de los prompts efectivamente enviados. No se han reconstruido ni inventado prompts. Esta sección debe completarse antes de la entrega y comprobarse que los anexos respetan el límite de cuatro cuartillas indicado en las aclaraciones del reto.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03_Anexos_CebadaVision</dc:title>
  <dc:creator>Equipo CebadaVision</dc:creator>
  <cp:lastModifiedBy>Un-named</cp:lastModifiedBy>
  <cp:revision>1</cp:revision>
  <dcterms:created xsi:type="dcterms:W3CDTF">2026-10-19T02:28:25.082Z</dcterms:created>
  <dcterms:modified xsi:type="dcterms:W3CDTF">2026-10-19T02:28:25.083Z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