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8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after="120" w:before="28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sector agroindustrial: es fundamental para la industria maltera y cervecera y un insumo clave para alimentos y ganado. El rendimiento por hectárea y la calidad del grano determinan la logística, los precios y la operación de la industria. En México, cerca de tres cuartas partes de la superficie se siembra en el Altiplano central, casi toda de temporal, y Hidalgo, Puebla y Tlaxcala concentran la mayor parte de la producción (SIAP, 2023), en manos de pequeños y medianos productores que venden su cosecha a comercializadoras y parafinancieras.</w:t>
      </w:r>
    </w:p>
    <w:p>
      <w:pPr>
        <w:spacing w:after="140" w:line="288"/>
        <w:jc w:val="both"/>
      </w:pPr>
      <w:r>
        <w:rPr>
          <w:rFonts w:ascii="Calibri" w:cs="Calibri" w:eastAsia="Calibri" w:hAnsi="Calibri"/>
        </w:rPr>
        <w:t xml:space="preserve">El cultivo enfrenta desafíos crecientes: el cambio climático altera los patrones de lluvia y temperatura, las plagas son menos predecibles y los insumos se encarecen. Para los pequeños productores, el monitoreo continuo es difícil. Las imágenes satelitales, los datos climáticos y el aprendizaje automático permiten estudiar el rendimiento: Sentinel-2 observa cada cinco días a 10 m, Planet casi a diario a 3 m, y los modelos que combinan estas series con clima y relieve explican buena parte de la variación del rendimiento en cultivos de temporal (van Klompenburg et al., 2020; de la Fuente et al., 2023).</w:t>
      </w:r>
    </w:p>
    <w:p>
      <w:pPr>
        <w:spacing w:after="140" w:line="288"/>
        <w:jc w:val="both"/>
      </w:pPr>
      <w:r>
        <w:rPr>
          <w:rFonts w:ascii="Calibri" w:cs="Calibri" w:eastAsia="Calibri" w:hAnsi="Calibri"/>
        </w:rPr>
        <w:t xml:space="preserve">El Reto AgroCebada 2026 plantea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resguarda el comité para calificar las predicciones. Según la aclaración de FIRA, el rendimiento procede del pesaje en báscula de la cosecha de cada parcela, sin ajustes por humedad, impurezas o mermas. En Tlaxcala se observa redondeo a medias toneladas; esto no implica ausencia de medición.</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muestra las predicciones precalculadas del ensamble para las 197 parcelas, su margen orientativo y explicaciones sencillas; su simulador utiliza una regresión Ridge sustituta.</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se utiliza para responder las tres preguntas guía del reto.</w:t>
      </w:r>
    </w:p>
    <w:p>
      <w:pPr>
        <w:pStyle w:val="Heading1"/>
        <w:spacing w:after="120" w:before="28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Los modelos tradicionales de evaluación y financiamiento agrícola dependen de estimaciones basadas en datos históricos y empíricos que no reflejan la realidad actual de cada parcela. Esa falta de información precisa genera incertidumbre y eleva el riesgo percibido; como resultado, los productores tienen dificultades para acceder a créditos justos y seguros adecuados, y quedan expuestos al clima y a otros imprevistos.</w:t>
      </w:r>
    </w:p>
    <w:p>
      <w:pPr>
        <w:spacing w:after="140" w:line="288"/>
        <w:jc w:val="both"/>
      </w:pPr>
      <w:r>
        <w:rPr>
          <w:rFonts w:ascii="Calibri" w:cs="Calibri" w:eastAsia="Calibri" w:hAnsi="Calibri"/>
        </w:rPr>
        <w:t xml:space="preserve">Este proyecto estima retrospectivamente el rendimiento mediante evidencia satelital y climática, con un error medido en validación. La trazabilidad de los datos podría reducir la desigualdad de información en la cadena de valor y apoyar la evaluación financiera, aunque ese beneficio requiere validación operativa. El reto aporta además un caso poco común: datos reales de 197 parcelas y 138 rendimientos conocidos obtenidos por pesaje en báscula. Resolverlo con rigor —validación reproducible y explicación de cada predicción— es lo que hace creíble la herramienta para el analista de crédito y para el productor, público prioritario según FIRA.</w:t>
      </w:r>
    </w:p>
    <w:p>
      <w:pPr>
        <w:pStyle w:val="Heading1"/>
        <w:spacing w:after="120" w:before="28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Recopilar, auditar y limpiar datos de varias fuentes —índices de vegetación de Planet y Sentinel-2, clima, relieve y registros espaciales— para construir un conjunto reproducible de variables por parcela con la fenología de cada índice.</w:t>
      </w:r>
    </w:p>
    <w:p>
      <w:pPr>
        <w:pStyle w:val="ListParagraph"/>
        <w:numPr>
          <w:ilvl w:val="0"/>
          <w:numId w:val="2"/>
        </w:numPr>
        <w:spacing w:after="80" w:line="276"/>
        <w:jc w:val="both"/>
      </w:pPr>
      <w:r>
        <w:rPr>
          <w:rFonts w:ascii="Calibri" w:cs="Calibri" w:eastAsia="Calibri" w:hAnsi="Calibri"/>
        </w:rPr>
        <w:t xml:space="preserve">Crear y probar modelos de aprendizaje automático (Ridge, Random Forest, LightGBM, proceso gaussiano y ensambles) que predigan la cosecha de cada terreno, comparados con un mismo esquema de validación cruzada repetida y estratificada por estado, con RMSE, MAE y R² frente al promedio regional (RMSE 0.851) y a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Implementar una aplicación que muestre las predicciones precalculadas del ensamble con margen orientativo y explicación por parcela, distinga el simulador Ridge sustituto y discuta su posible uso en inclusión financiera.</w:t>
      </w:r>
    </w:p>
    <w:p>
      <w:pPr>
        <w:pStyle w:val="Heading1"/>
        <w:spacing w:after="120" w:before="28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Se utilizó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La auditoría confirmó identificadores únicos, unión sin pérdidas y reparto 138/59. Se trabajó con el ciclo abril–octubre de 2025 (más noviembre, para capturar la senescencia). Las observaciones con nubosidad del 100 % se descartaron porque traen los índices vacíos; no se imputó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se tomó la serie del promedio del polígono, se suavizó con una mediana móvil de tres observaciones y se calcularon: mediana de cada mes de abril a noviembre, medianas por ventana (mayo–junio, julio–septiembre, octubre–noviembre), valor y fecha del máximo, amplitud, área bajo la curva de abril a octubre, inicio y fin de la temporada verde (cruce de media amplitud),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El equipo prioriza RMSE, junto con MAE y R², considerados por FIRA. Se usó validación cruzada de 5 particiones estratificadas por estado —mantiene representación estatal, con proporción 80/20 por partición— repetida 10 veces; se reporta promedio y desviación entre repeticiones, y diferencias de RMSE menores a 0.03 t/ha se interpretan con cautela, sin prueba de significancia. Como prueba más exigente se añadió una validación agrupada por municipio. Las variables de vecinos y zona se recalculan dentro de cada partición usando únicamente sus rendimientos de entrenamiento; al construir las variables de una parcela de entrenamiento se excluye su propio rendimiento. Los rendimientos de validación no intervienen.</w:t>
      </w:r>
    </w:p>
    <w:p>
      <w:pPr>
        <w:spacing w:after="140" w:line="288"/>
        <w:jc w:val="both"/>
      </w:pPr>
      <w:r>
        <w:rPr>
          <w:rFonts w:ascii="Calibri" w:cs="Calibri" w:eastAsia="Calibri" w:hAnsi="Calibri"/>
          <w:b/>
          <w:bCs/>
        </w:rPr>
        <w:t xml:space="preserve">Modelos.</w:t>
      </w:r>
      <w:r>
        <w:rPr>
          <w:rFonts w:ascii="Calibri" w:cs="Calibri" w:eastAsia="Calibri" w:hAnsi="Calibri"/>
        </w:rPr>
        <w:t xml:space="preserve"> Se compararon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Para las preguntas guía se evaluó cada índice con sus variables fenológicas y cada variable climática, solos y con la ubicación fija, y se calcularon importancia por permutación sobre entrenamiento (aumento del RMSE al barajar cada variable) y ablación por grupos con tres repeticiones.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Promedio de LightGBM con ubicación, relieve y clima (11 variables) y Random Forest con ubicación, fenología de Planet, clima y relieve (91 variables). La predicción se recorta a 1.5–6.5 t/ha. El margen orientativo es ±1.2816 × RMSE, aproximadamente ±0.63 t/ha; su cobertura del 80 % no está calibrada ni verificada empíricamente. Se calculan valores SHAP (Lundberg y Lee, 2017), promediados entre modelos y agrupados por tipo de variable, para explicar las estimaciones precalculadas que muestran el mapa y las fichas. El navegador ejecuta únicamente el simulador Ridge sustituto de 11 variables, ajustado a las predicciones del ensamble sobre las 197 parcelas. Su discrepancia RMSE de 0.3161 t/ha se mide en esos mismos datos; no es una validación independiente contra rendimientos reales ni evidencia causal.</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w:t>
      </w:r>
    </w:p>
    <w:p>
      <w:pPr>
        <w:pStyle w:val="Heading1"/>
        <w:spacing w:after="120" w:before="28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usa las ocho parcelas vecinas baja a 0.501 (R² 0.65): la ubicación por sí sola explica cerca de dos tercios de la variación y constituye la referencia espacial.</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El clima predice bien pese a tomar solo 25 valores distintos: opera, en la práctica, como indicador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Las 138 parcelas, el redondeo observado en Tlaxcala y el clima de baja resolución limitan la interpretación de mejoras pequeñas.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La diferencia frente al kNN es 0.010 t/ha, menor que el umbral orientativo de 0.03: no demuestra superioridad estadística. En validación por municipio obtiene RMSE 0.574 frente a 0.708 del kNN; es evidencia favorable dentro de esta muestra, sin garantizar generalización a otras regiones o ciclos. Por estado (predicciones fuera de fold promediadas), RMSE/R² son 0.357/0.784 en Hidalgo (n=36), 0.578/0.007 en Puebla (n=71) y 0.375/−0.026 en Tlaxcala (n=31). El desempeño global no se reproduce dentro de Puebla y Tlaxcala: se explica muy poca variación interna y, en Tlaxcala, no se supera su media estatal según R². Las 59 predicciones tienen promedio 3.95 t/ha y van de 2.88 a 4.65, en línea con el entrenamiento: 4.47 en Puebla, 3.79 en Hidalgo y 3.00 en Tlaxcala. Frente al Ridge provisional de nueve variables (0.551), la reducción observada es 0.06 t/ha; frente al promedio, 0.36. Aquel Ridge es distinto del sustituto usado por el simulador.</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ambos sensores capturan la misma fenología y Planet, casi diario, la describe mejor. La combinación con menor error observado reúne información complementaria; su ventaja requiere confirmación en muestras independientes.</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La predicción espacial domina; no puede atribuirse esta limitación exclusivamente al dato o al método. La desviación de 0.007 t/ha describe el RMSE entre repeticiones, no la incertidumbre de cada parcela. El margen ±0.63 t/ha es orientativo: no tiene cobertura del 80 % calibrada. El uso de información hasta noviembre hace retrospectivo este análisis.</w:t>
      </w:r>
    </w:p>
    <w:p>
      <w:pPr>
        <w:pStyle w:val="Heading1"/>
        <w:spacing w:after="120" w:before="28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El crédito de avío requiere información sobre la capacidad productiva de la parcela y la situación del productor. CebadaVision aporta una estimación retrospectiva del ciclo 2025 con error medido en validación. Puede servir como evidencia complementaria para estudiar aplicaciones financieras; no se ha validado como sistema de decisión crediticia, de seguros ni de alerta temprana.</w:t>
      </w:r>
    </w:p>
    <w:p>
      <w:pPr>
        <w:spacing w:after="140" w:line="288"/>
        <w:jc w:val="both"/>
      </w:pPr>
      <w:r>
        <w:rPr>
          <w:rFonts w:ascii="Calibri" w:cs="Calibri" w:eastAsia="Calibri" w:hAnsi="Calibri"/>
        </w:rPr>
        <w:t xml:space="preserve">Una primera aplicación potencial es explorar escenarios de valor de cosecha combinando rendimiento, superficie y precio de referencia. El margen orientativo del modelo permite ilustrar sensibilidad, pero no constituye una pérdida máxima ni una garantía de pago. Los terciles bajo/medio/alto de la aplicación clasifican rendimiento, no probabilidad de incumplimiento.</w:t>
      </w:r>
    </w:p>
    <w:p>
      <w:pPr>
        <w:spacing w:after="140" w:line="288"/>
        <w:jc w:val="both"/>
      </w:pPr>
      <w:r>
        <w:rPr>
          <w:rFonts w:ascii="Calibri" w:cs="Calibri" w:eastAsia="Calibri" w:hAnsi="Calibri"/>
        </w:rPr>
        <w:t xml:space="preserve">Una segunda posibilidad es complementar la evaluación de productores sin historial crediticio con información trazable de sus parcelas. Debe comprobarse que el uso de la ubicación no reproduzca desventajas territoriales: el R² global oculta diferencias importantes de desempeño entre estados. La estimación no sustituye la verificación de identidad, manejo, costos u otras condiciones del productor, ni justifica por sí sola otorgar o rechazar crédito.</w:t>
      </w:r>
    </w:p>
    <w:p>
      <w:pPr>
        <w:spacing w:after="140" w:line="288"/>
        <w:jc w:val="both"/>
      </w:pPr>
      <w:r>
        <w:rPr>
          <w:rFonts w:ascii="Calibri" w:cs="Calibri" w:eastAsia="Calibri" w:hAnsi="Calibri"/>
        </w:rPr>
        <w:t xml:space="preserve">El estudio utiliza observaciones hasta noviembre de 2025. Por tanto, detectar desviaciones y activar seguros o reestructuras antes de la cosecha son aplicaciones futuras: requieren fijar una fecha de corte, reconstruir únicamente las variables disponibles entonces y validar con ciclos independientes. Actualizar el sistema cada ciclo también exige datos nuevos, evaluación de cambios y recalibración; esa capacidad no está demostrada aquí.</w:t>
      </w:r>
    </w:p>
    <w:p>
      <w:pPr>
        <w:spacing w:after="140" w:line="288"/>
        <w:jc w:val="both"/>
      </w:pPr>
      <w:r>
        <w:rPr>
          <w:rFonts w:ascii="Calibri" w:cs="Calibri" w:eastAsia="Calibri" w:hAnsi="Calibri"/>
        </w:rPr>
        <w:t xml:space="preserve">La transparencia implica distinguir las predicciones del ensamble de las simulaciones Ridge, explicar las limitaciones del margen y permitir que productores y analistas cuestionen los resultados. Una prueba operativa con FIRA podría evaluar utilidad, equidad y desempeño antes de su adopción.</w:t>
      </w:r>
    </w:p>
    <w:p>
      <w:pPr>
        <w:pStyle w:val="Heading1"/>
        <w:spacing w:after="120" w:before="28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Se construyó un modelo reproducible de rendimiento de grano de cebada de temporal en Hidalgo, Tlaxcala y Puebla. En validación cruzada estratificada por estado y repetida diez veces obtuvo RMSE 0.491 ± 0.007 t/ha, MAE 0.336 y R² 0.664. El ensamble de LightGBM y Random Forest entrega las 59 predicciones solicitadas, con promedio 3.95 t/ha. Frente al kNN espacial (0.501), la reducción observada de 0.010 t/ha es pequeña y no demuestra superioridad estadística; sí es amplia frente al promedio regional (0.851). El margen ±0.63 t/ha es orientativo, sin cobertura del 80 % calibrada.</w:t>
      </w:r>
    </w:p>
    <w:p>
      <w:pPr>
        <w:spacing w:after="140" w:line="288"/>
        <w:jc w:val="both"/>
      </w:pPr>
      <w:r>
        <w:rPr>
          <w:rFonts w:ascii="Calibri" w:cs="Calibri" w:eastAsia="Calibri" w:hAnsi="Calibri"/>
        </w:rPr>
        <w:t xml:space="preserve">La ubicación concentra gran parte de la señal predictiva. Evaluar los demás grupos dentro de esa estructura permitió responder las preguntas guía: EVI de Planet destaca entre los índices; la precipitación y su anomalía respecto a 2022–2024 destacan al evaluar clima por separado; y ubicación, relieve, clima y fenología de Planet ofrecen la combinación con menor error observado en la ablación. Estas asociaciones no prueban efectos causales del manejo o del clima.</w:t>
      </w:r>
    </w:p>
    <w:p>
      <w:pPr>
        <w:spacing w:after="140" w:line="288"/>
        <w:jc w:val="both"/>
      </w:pPr>
      <w:r>
        <w:rPr>
          <w:rFonts w:ascii="Calibri" w:cs="Calibri" w:eastAsia="Calibri" w:hAnsi="Calibri"/>
        </w:rPr>
        <w:t xml:space="preserve">El desempeño varía por estado. Los R² de 0.784 en Hidalgo, 0.007 en Puebla y −0.026 en Tlaxcala impiden extender la interpretación del R² global a todas las parcelas. La validación por municipio es favorable en esta muestra, pero no demuestra desempeño en regiones o ciclos nuevos.</w:t>
      </w:r>
    </w:p>
    <w:p>
      <w:pPr>
        <w:spacing w:after="140" w:line="288"/>
        <w:jc w:val="both"/>
      </w:pPr>
      <w:r>
        <w:rPr>
          <w:rFonts w:ascii="Calibri" w:cs="Calibri" w:eastAsia="Calibri" w:hAnsi="Calibri"/>
        </w:rPr>
        <w:t xml:space="preserve">Las limitaciones incluyen 138 rendimientos conocidos de un solo ciclo, pesaje en báscula sin ajustes por humedad, impurezas o mermas, redondeo en Tlaxcala, clima a unos 5 km y ausencia de información de manejo. Se requieren más ciclos y documentación de la calidad del pesaje.</w:t>
      </w:r>
    </w:p>
    <w:p>
      <w:pPr>
        <w:spacing w:after="140" w:line="288"/>
        <w:jc w:val="both"/>
      </w:pPr>
      <w:r>
        <w:rPr>
          <w:rFonts w:ascii="Calibri" w:cs="Calibri" w:eastAsia="Calibri" w:hAnsi="Calibri"/>
        </w:rPr>
        <w:t xml:space="preserve">La aplicación muestra predicciones y explicaciones precalculadas del ensamble. Su simulador ejecuta una regresión Ridge sustituta cuya discrepancia de ajuste frente al ensamble es 0.3161 t/ha; no tiene el mismo desempeño validado ni representa intervenciones causales.</w:t>
      </w:r>
    </w:p>
    <w:p>
      <w:pPr>
        <w:spacing w:after="140" w:line="288"/>
        <w:jc w:val="both"/>
      </w:pPr>
      <w:r>
        <w:rPr>
          <w:rFonts w:ascii="Calibri" w:cs="Calibri" w:eastAsia="Calibri" w:hAnsi="Calibri"/>
        </w:rPr>
        <w:t xml:space="preserve">Como siguiente paso se propone calibrar la incertidumbre y evaluar predicción anticipada con fechas de corte explícitas y datos disponibles en cada fecha. El análisis actual usa observaciones hasta noviembre de 2025: las alertas precosecha, la actualización por ciclo y la incorporación a decisiones financieras requieren validación temporal y operativa adicional.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2026-10-19T03:14:07.973Z</dcterms:created>
  <dcterms:modified xsi:type="dcterms:W3CDTF">2026-10-19T03:14:07.976Z</dcterms:modified>
</cp:coreProperties>
</file>

<file path=docProps/custom.xml><?xml version="1.0" encoding="utf-8"?>
<Properties xmlns="http://schemas.openxmlformats.org/officeDocument/2006/custom-properties" xmlns:vt="http://schemas.openxmlformats.org/officeDocument/2006/docPropsVTypes"/>
</file>