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before="280" w:after="12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sector agroindustrial: es fundamental para la industria maltera y cervecera y un insumo clave para alimentos y ganado. Todo ese sistema depende de la predictibilidad: el rendimiento por hectárea y la calidad del grano determinan la logística, los precios y la operación de la industria. En México, cerca de tres cuartas partes de la superficie se siembra en el Altiplano central, casi toda de temporal, y Hidalgo, Puebla y Tlaxcala concentran la mayor parte de la producción (SIAP, 2023), en manos de pequeños y medianos productores que venden su cosecha a comercializadoras y parafinancieras.</w:t>
      </w:r>
    </w:p>
    <w:p>
      <w:pPr>
        <w:spacing w:after="140" w:line="288"/>
        <w:jc w:val="both"/>
      </w:pPr>
      <w:r>
        <w:rPr>
          <w:rFonts w:ascii="Calibri" w:cs="Calibri" w:eastAsia="Calibri" w:hAnsi="Calibri"/>
        </w:rPr>
        <w:t xml:space="preserve">El cultivo enfrenta desafíos crecientes: el cambio climático altera los patrones de lluvia y temperatura, las plagas son menos predecibles y los insumos se encarecen. El entorno es especialmente difícil para los pequeños productores, que carecen de herramientas para monitorear sus cultivos de forma continua y toman decisiones reactivas. Ante ello, la combinación de imágenes satelitales, datos climáticos y aprendizaje automático permite convertir información compleja en decisiones claras: Sentinel-2 observa cada cinco días a 10 m, Planet casi a diario a 3 m, y los modelos que combinan estas series con clima y relieve explican buena parte de la variación del rendimiento en cultivos de temporal (van Klompenburg et al., 2020; de la Fuente et al., 2023).</w:t>
      </w:r>
    </w:p>
    <w:p>
      <w:pPr>
        <w:spacing w:after="140" w:line="288"/>
        <w:jc w:val="both"/>
      </w:pPr>
      <w:r>
        <w:rPr>
          <w:rFonts w:ascii="Calibri" w:cs="Calibri" w:eastAsia="Calibri" w:hAnsi="Calibri"/>
        </w:rPr>
        <w:t xml:space="preserve">El Reto AgroCebada 2026 plantea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resguarda el comité para calificar las predicciones. Ese rendimiento proviene, en la mayoría de los casos, del registro de compra de la comercializadora y no de una medición en campo, por lo que contiene ruido y, en algunas zonas, está redondeado a medias toneladas.</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ejecuta el modelo, muestra las 197 parcelas en un mapa, entrega la estimación con su rango y explica con palabras sencillas cómo se llegó a cada número.</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se utiliza para responder las tres preguntas guía del reto.</w:t>
      </w:r>
    </w:p>
    <w:p>
      <w:pPr>
        <w:pStyle w:val="Heading1"/>
        <w:spacing w:before="280" w:after="12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Los modelos tradicionales de evaluación y financiamiento agrícola dependen de estimaciones basadas en datos históricos y empíricos que no reflejan la realidad actual de cada parcela. Esa falta de información precisa genera incertidumbre y eleva el riesgo percibido; como resultado, los productores tienen dificultades para acceder a créditos justos y seguros adecuados, y quedan expuestos al clima y a otros imprevistos.</w:t>
      </w:r>
    </w:p>
    <w:p>
      <w:pPr>
        <w:spacing w:after="140" w:line="288"/>
        <w:jc w:val="both"/>
      </w:pPr>
      <w:r>
        <w:rPr>
          <w:rFonts w:ascii="Calibri" w:cs="Calibri" w:eastAsia="Calibri" w:hAnsi="Calibri"/>
        </w:rPr>
        <w:t xml:space="preserve">Este proyecto busca transformar esa vulnerabilidad en estabilidad: reducir la incertidumbre sobre el rendimiento con proyecciones basadas en evidencia satelital y climática, no en suposiciones, y con un error cuantificado. Los datos que genera son transparentes y trazables, lo que reduce la desigualdad de información en la cadena de valor y facilita el acceso a servicios financieros y la inversión pública y privada en el sector. El reto aporta además un caso poco común: datos reales de 197 parcelas con rendimiento comercial, no sintéticos. Resolverlo con rigor —validación reproducible y explicación de cada predicción— es lo que hace creíble la herramienta para el analista de crédito y para el productor, público prioritario según FIRA.</w:t>
      </w:r>
    </w:p>
    <w:p>
      <w:pPr>
        <w:pStyle w:val="Heading1"/>
        <w:spacing w:before="280" w:after="12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Recopilar, auditar y limpiar datos de varias fuentes —índices de vegetación de Planet y Sentinel-2, clima, relieve y registros espaciales— para construir un conjunto reproducible de variables por parcela con la fenología de cada índice.</w:t>
      </w:r>
    </w:p>
    <w:p>
      <w:pPr>
        <w:pStyle w:val="ListParagraph"/>
        <w:numPr>
          <w:ilvl w:val="0"/>
          <w:numId w:val="2"/>
        </w:numPr>
        <w:spacing w:after="80" w:line="276"/>
        <w:jc w:val="both"/>
      </w:pPr>
      <w:r>
        <w:rPr>
          <w:rFonts w:ascii="Calibri" w:cs="Calibri" w:eastAsia="Calibri" w:hAnsi="Calibri"/>
        </w:rPr>
        <w:t xml:space="preserve">Crear y probar modelos de aprendizaje automático (Ridge, Random Forest, LightGBM, proceso gaussiano y ensambles) que predigan la cosecha de cada terreno, comparados con un mismo esquema de validación cruzada repetida y estratificada por estado, con RMSE, MAE y R² frente al promedio regional (RMSE 0.851) y a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Diseñar y poner en funcionamiento una aplicación interactiva que incluya el modelo y muestre las predicciones en un mapa con su rango y una explicación sencilla por parcela; discutir su uso en inclusión financiera.</w:t>
      </w:r>
    </w:p>
    <w:p>
      <w:pPr>
        <w:pStyle w:val="Heading1"/>
        <w:spacing w:before="280" w:after="12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Se utilizó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Una auditoría confirmó 197 identificadores únicos en todas las fuentes, la unión sin pérdidas y el reparto 138/59. Se trabajó con el ciclo abril–octubre de 2025 (más noviembre, para capturar la senescencia). Las observaciones con nubosidad del 100 % se descartaron porque traen los índices vacíos; no se imputó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se tomó la serie del promedio del polígono, se suavizó con una mediana móvil de tres observaciones y se calcularon: mediana de cada mes de abril a noviembre, medianas por ventana (mayo–junio, julio–septiembre, octubre–noviembre), valor y fecha del máximo, amplitud, área bajo la curva de abril a octubre, inicio y fin de la temporada verde (cuando la curva cruza la mitad de su amplitud al subir y al bajar),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Se usó validación cruzada de 5 particiones estratificadas por estado —imita el reparto oficial 70/30, proporcional por zona y espacialmente mezclado— repetida 10 veces con semillas distintas; se reporta promedio y desviación entre repeticiones, y se considera ruido cualquier diferencia de RMSE menor a 0.03 t/ha. Como prueba más exigente se añadió una validación agrupada por municipio. Las variables de vecinos y de zona se recalculan dentro de cada partición solo con las parcelas de entrenamiento de esa partición (y sin contar a la propia parcela), de modo que el rendimiento de una parcela nunca entra en sus propias variables ni en las de las parcelas con las que se evalúa.</w:t>
      </w:r>
    </w:p>
    <w:p>
      <w:pPr>
        <w:spacing w:after="140" w:line="288"/>
        <w:jc w:val="both"/>
      </w:pPr>
      <w:r>
        <w:rPr>
          <w:rFonts w:ascii="Calibri" w:cs="Calibri" w:eastAsia="Calibri" w:hAnsi="Calibri"/>
          <w:b/>
          <w:bCs/>
        </w:rPr>
        <w:t xml:space="preserve">Modelos.</w:t>
      </w:r>
      <w:r>
        <w:rPr>
          <w:rFonts w:ascii="Calibri" w:cs="Calibri" w:eastAsia="Calibri" w:hAnsi="Calibri"/>
        </w:rPr>
        <w:t xml:space="preserve"> Se compararon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Para las preguntas guía se evaluó cada índice con sus variables fenológicas y cada variable climática, solos y con la ubicación fija, y se calcularon la importancia por permutación del modelo final (aumento del RMSE al barajar cada variable) y una ablación por grupos.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Promedio de dos modelos: LightGBM con ubicación, relieve y clima (11 variables) y Random Forest con ubicación, fenología de Planet, clima y relieve (91 variables). La predicción se recorta al rango plausible de 1.5 a 6.5 t/ha; el rango de predicción al 80 % es ±1.28 veces el RMSE de validación. Para explicar cada predicción en la aplicación se calculan valores SHAP (Lundberg y Lee, 2017) promediados entre ambos modelos y agrupados por tipo de variable; con ellos la ficha de cada parcela indica qué factores subieron o bajaron su estimación. Para que la aplicación ejecute el modelo en el navegador se ajustó una regresión ridge sustituta sobre 11 variables y se reporta cuánto difiere del ensamble.</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w:t>
      </w:r>
    </w:p>
    <w:p>
      <w:pPr>
        <w:pStyle w:val="Heading1"/>
        <w:spacing w:before="280" w:after="12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usa las ocho parcelas vecinas baja a 0.501 (R² 0.65): la ubicación por sí sola explica cerca de dos tercios de la variación y es la referencia que cualquier modelo debe superar.</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El clima predice bien pese a tomar solo 25 valores distintos: opera, en la práctica, como indicador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Con 138 parcelas y un rendimiento comercial, redondeado a medias toneladas en toda la zona de Tlaxcala, el piso de ruido es alto.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En la validación agrupada por municipio da RMSE 0.574 frente a 0.708 del kNN puro: las variables satelitales, climáticas y de relieve sí mejoran la extrapolación a municipios no vistos. Por estado, el RMSE es 0.357 en Hidalgo, 0.375 en Tlaxcala y 0.578 en Puebla, donde el rendimiento es más alto y más variable (≈4.5 ± 0.5 t/ha): el modelo acierta el nivel de cada zona, pero explica poco de la variación dentro de Puebla. Las 59 predicciones tienen promedio 3.95 t/ha y van de 2.88 a 4.65, en línea con el entrenamiento: 4.47 en Puebla, 3.79 en Hidalgo y 3.00 en Tlaxcala. Frente al Ridge provisional de nueve variables (0.551) la mejora es de 0.06 t/ha; frente al promedio, 0.36. Un Random Forest del equipo con clima y municipio/estado codificados (one-hot), con particiones propias, obtuvo 0.513 ± 0.087 (MAE 0.363, R² 0.621), coherente con el predominio de la zona.</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ambos sensores capturan la misma fenología y Planet, casi diario, la describe mejor. La combinación óptima reúne información complementaria: la ubicación fija el nivel, relieve y clima afinan la zona y la fenología explica diferencias dentro de ella.</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En esta muestra la predicción espacial domina y los índices afinan en el margen; es una limitación del dato (138 parcelas, rendimiento comercial con redondeo, 25 píxeles de clima), no del método. Las predicciones son estables (desviación entre repeticiones de 0.007 t/ha), pero su rango al 80 % es de ±0.63 t/ha, y la aplicación lo muestra junto a cada estimación.</w:t>
      </w:r>
    </w:p>
    <w:p>
      <w:pPr>
        <w:pStyle w:val="Heading1"/>
        <w:spacing w:before="280" w:after="12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Actualmente el crédito de avío a pequeños productores de cebada se decide con información asimétrica: el intermediario financiero conoce el historial del productor, si lo hay, pero no el potencial productivo de la parcela concreta que respaldará el pago. CebadaVision convierte datos públicos —imágenes satelitales, clima, relieve y la ubicación de la parcela— en una estimación de rendimiento por parcela con error conocido, sin visita de campo y actualizable cada ciclo. Eso cambia tres decisiones.</w:t>
      </w:r>
    </w:p>
    <w:p>
      <w:pPr>
        <w:spacing w:after="140" w:line="288"/>
        <w:jc w:val="both"/>
      </w:pPr>
      <w:r>
        <w:rPr>
          <w:rFonts w:ascii="Calibri" w:cs="Calibri" w:eastAsia="Calibri" w:hAnsi="Calibri"/>
        </w:rPr>
        <w:t xml:space="preserve">Primera, el dimensionamiento del crédito. Con rendimiento esperado, superficie y precio de referencia se obtiene el valor esperado de la cosecha y, con el rango del modelo, un escenario conservador; el monto de avío puede ajustarse a lo que esa parcela puede pagar, no a un promedio regional. La aplicación muestra la producción estimada en toneladas y un semáforo bajo/medio/alto por terciles, pensado como primer filtro de riesgo.</w:t>
      </w:r>
    </w:p>
    <w:p>
      <w:pPr>
        <w:spacing w:after="140" w:line="288"/>
        <w:jc w:val="both"/>
      </w:pPr>
      <w:r>
        <w:rPr>
          <w:rFonts w:ascii="Calibri" w:cs="Calibri" w:eastAsia="Calibri" w:hAnsi="Calibri"/>
        </w:rPr>
        <w:t xml:space="preserve">Segunda, la inclusión de productores sin historial. Alguien sin expediente crediticio puede ser evaluado por la evidencia objetiva de su parcela y de sus vecinas; la ubicación, que es lo que más pesa en el modelo, es justamente información que el productor no puede alterar y que la financiera no necesita verificar en campo.</w:t>
      </w:r>
    </w:p>
    <w:p>
      <w:pPr>
        <w:spacing w:after="140" w:line="288"/>
        <w:jc w:val="both"/>
      </w:pPr>
      <w:r>
        <w:rPr>
          <w:rFonts w:ascii="Calibri" w:cs="Calibri" w:eastAsia="Calibri" w:hAnsi="Calibri"/>
        </w:rPr>
        <w:t xml:space="preserve">Tercera, el diseño de seguros y garantías. El error por zona (0.36 t/ha en Hidalgo y Tlaxcala, 0.58 en Puebla) y la trayectoria del vigor del cultivo durante el ciclo permiten detectar a tiempo desviaciones respecto a lo esperado y activar seguros paramétricos o reestructuras antes de la cosecha.</w:t>
      </w:r>
    </w:p>
    <w:p>
      <w:pPr>
        <w:spacing w:after="140" w:line="288"/>
        <w:jc w:val="both"/>
      </w:pPr>
      <w:r>
        <w:rPr>
          <w:rFonts w:ascii="Calibri" w:cs="Calibri" w:eastAsia="Calibri" w:hAnsi="Calibri"/>
        </w:rPr>
        <w:t xml:space="preserve">Para que esto sea inclusión y no exclusión hace falta transparencia: cada estimación se entrega con su rango y con una explicación sencilla de qué la subió o la bajó, para que el productor pueda entenderla, cuestionarla y usarla en su propia negociación con la comercializadora o la financiera.</w:t>
      </w:r>
    </w:p>
    <w:p>
      <w:pPr>
        <w:pStyle w:val="Heading1"/>
        <w:spacing w:before="280" w:after="12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Se construyó un modelo reproducible que predice el rendimiento de grano de parcelas de cebada de temporal en Hidalgo, Tlaxcala y Puebla con RMSE de 0.491 ± 0.007 t/ha, MAE de 0.336 y R² de 0.664 en validación cruzada estratificada por estado y repetida diez veces, frente a 0.851 del promedio regional y 0.501 de un kNN espacial. El modelo final es un ensamble de LightGBM y Random Forest sobre ubicación, relieve, clima y fenología de Planet, y entrega las 59 predicciones solicitadas con promedio de 3.95 t/ha y un rango al 80 % de ±0.63 t/ha.</w:t>
      </w:r>
    </w:p>
    <w:p>
      <w:pPr>
        <w:spacing w:after="140" w:line="288"/>
        <w:jc w:val="both"/>
      </w:pPr>
      <w:r>
        <w:rPr>
          <w:rFonts w:ascii="Calibri" w:cs="Calibri" w:eastAsia="Calibri" w:hAnsi="Calibri"/>
        </w:rPr>
        <w:t xml:space="preserve">El hallazgo principal es estructural: la ubicación de la parcela explica cerca de dos tercios de la variación del rendimiento, porque las tres zonas rinden distinto y porque parcelas vecinas comparten suelo, clima y manejo. Un modelo que ignore esto subestima su error o atribuye a los índices satelitales un mérito que pertenece a la geografía. Evaluar las variables dentro de esa estructura permitió responder las preguntas guía con evidencia comparable: el índice más importante es el EVI de Planet, por su señal en la emergencia y en el secado; la variable climática con mayor peso es la precipitación del ciclo, en particular su anomalía respecto a 2022–2024; y la mejor combinación es ubicación + relieve + clima + fenología de Planet; sumar Sentinel-2 no mejora.</w:t>
      </w:r>
    </w:p>
    <w:p>
      <w:pPr>
        <w:spacing w:after="140" w:line="288"/>
        <w:jc w:val="both"/>
      </w:pPr>
      <w:r>
        <w:rPr>
          <w:rFonts w:ascii="Calibri" w:cs="Calibri" w:eastAsia="Calibri" w:hAnsi="Calibri"/>
        </w:rPr>
        <w:t xml:space="preserve">Las limitaciones se declaran en la aplicación: rendimiento de origen comercial, redondeado en una zona; clima a 5 km con solo 25 valores distintos; 138 parcelas de un solo ciclo; variedad, fecha de siembra, dosis y siniestros desconocidos. Por eso el aporte de los índices sobre la ubicación es pequeño, aunque mejora la extrapolación a municipios no vistos.</w:t>
      </w:r>
    </w:p>
    <w:p>
      <w:pPr>
        <w:spacing w:after="140" w:line="288"/>
        <w:jc w:val="both"/>
      </w:pPr>
      <w:r>
        <w:rPr>
          <w:rFonts w:ascii="Calibri" w:cs="Calibri" w:eastAsia="Calibri" w:hAnsi="Calibri"/>
        </w:rPr>
        <w:t xml:space="preserve">La aplicación CebadaVision ejecuta el modelo en el navegador, muestra las 197 parcelas en un mapa, permite buscar cada una por su identificador, presenta la estimación con rango y semáforo, explica con palabras sencillas cómo se llegó al número y ofrece un simulador y la descarga del CSV, con prioridad en el productor.</w:t>
      </w:r>
    </w:p>
    <w:p>
      <w:pPr>
        <w:spacing w:after="140" w:line="288"/>
        <w:jc w:val="both"/>
      </w:pPr>
      <w:r>
        <w:rPr>
          <w:rFonts w:ascii="Calibri" w:cs="Calibri" w:eastAsia="Calibri" w:hAnsi="Calibri"/>
        </w:rPr>
        <w:t xml:space="preserve">Como siguiente paso, el mismo pipeline se extendería a varios ciclos y a rendimientos medidos en campo, para modelar con la fenología lo que la ubicación no explica, estimar antes de la cosecha y calibrar el rango por zona. Con FIRA, el modelo podría integrarse a la originación de crédito de avío como variable objetiva de capacidad productiva por parcela.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2026-10-18T06:48:44.543Z</dcterms:created>
  <dcterms:modified xsi:type="dcterms:W3CDTF">2026-10-18T06:48:44.543Z</dcterms:modified>
</cp:coreProperties>
</file>

<file path=docProps/custom.xml><?xml version="1.0" encoding="utf-8"?>
<Properties xmlns="http://schemas.openxmlformats.org/officeDocument/2006/custom-properties" xmlns:vt="http://schemas.openxmlformats.org/officeDocument/2006/docPropsVTypes"/>
</file>