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80" w:after="120"/>
      </w:pPr>
      <w:r>
        <w:rPr>
          <w:rFonts w:ascii="Calibri" w:cs="Calibri" w:eastAsia="Calibri" w:hAnsi="Calibri"/>
          <w:b/>
          <w:bCs/>
          <w:color w:val="2F4F1F"/>
          <w:sz w:val="32"/>
          <w:szCs w:val="32"/>
        </w:rPr>
        <w:t xml:space="preserve">Anexos (máx. 4 cuartillas) — CebadaVision</w:t>
      </w:r>
    </w:p>
    <w:p>
      <w:pPr>
        <w:pStyle w:val="Heading1"/>
        <w:spacing w:before="280" w:after="120"/>
      </w:pPr>
      <w:r>
        <w:rPr>
          <w:rFonts w:ascii="Calibri" w:cs="Calibri" w:eastAsia="Calibri" w:hAnsi="Calibri"/>
          <w:b/>
          <w:bCs/>
          <w:color w:val="2F4F1F"/>
          <w:sz w:val="28"/>
          <w:szCs w:val="28"/>
        </w:rPr>
        <w:t xml:space="preserve">A1. Predicciones de las 59 parcelas (t/ha, 4 decimales)</w:t>
      </w:r>
    </w:p>
    <w:p>
      <w:pPr>
        <w:spacing w:after="140" w:line="288"/>
        <w:jc w:val="both"/>
      </w:pPr>
      <w:r>
        <w:rPr>
          <w:rFonts w:ascii="Calibri" w:cs="Calibri" w:eastAsia="Calibri" w:hAnsi="Calibri"/>
        </w:rPr>
        <w:t xml:space="preserve">Rendimiento de grano estimado por el modelo final (ensamble LightGBM + Random Forest) para las 59 parcelas del conjunto de predicción. Mismo contenido que el archivo CSV enviado a FIRA.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shd w:fill="E8F0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4"/>
            <w:shd w:fill="E8F0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t/ha</w:t>
            </w:r>
          </w:p>
        </w:tc>
        <w:tc>
          <w:tcPr>
            <w:tcW w:type="dxa" w:w="1504"/>
            <w:shd w:fill="E8F0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4"/>
            <w:shd w:fill="E8F0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t/ha</w:t>
            </w:r>
          </w:p>
        </w:tc>
        <w:tc>
          <w:tcPr>
            <w:tcW w:type="dxa" w:w="1504"/>
            <w:shd w:fill="E8F0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6"/>
            <w:shd w:fill="E8F0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t/ha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AGC_003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3.4582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AGC_076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4.6049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AGC_142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4.6490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AGC_011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4.5491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AGC_082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4.5076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AGC_143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4.5267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AGC_016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4.4001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AGC_085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4.2365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AGC_147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2.9875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AGC_025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3.0380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AGC_086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3.0426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AGC_149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4.4601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AGC_027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2.9742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AGC_087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2.8776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AGC_153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4.2589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AGC_028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4.5693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AGC_088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4.4664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AGC_154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4.5223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AGC_029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2.9709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AGC_091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4.5210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AGC_156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3.2345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AGC_030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3.1045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AGC_093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2.9494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AGC_158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4.2025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AGC_031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4.2783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AGC_094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4.4543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AGC_173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3.1163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AGC_036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4.4455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AGC_095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4.5666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AGC_174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4.3857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AGC_039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2.9821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AGC_107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4.4860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AGC_175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4.4178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AGC_042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3.0120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AGC_113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3.1797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AGC_177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4.4497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AGC_043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4.4842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AGC_116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4.4596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AGC_182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4.4916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AGC_050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3.0147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AGC_118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3.0863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AGC_183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2.9948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AGC_052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4.4507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AGC_120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3.0751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AGC_186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4.5575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AGC_061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3.0559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AGC_126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4.4792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AGC_188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4.5433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AGC_063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4.5332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AGC_128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4.5121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AGC_190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4.4076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AGC_065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4.4761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AGC_129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3.3870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AGC_191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4.6349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AGC_071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2.9163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AGC_130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4.4504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AGC_192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4.5541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AGC_075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2.9131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AGC_136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4.4922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cs="Calibri" w:eastAsia="Calibri" w:hAnsi="Calibri"/>
          <w:b/>
          <w:bCs/>
          <w:color w:val="2F4F1F"/>
          <w:sz w:val="28"/>
          <w:szCs w:val="28"/>
        </w:rPr>
        <w:t xml:space="preserve">A2. Actividades y aportaciones de cada integrante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1152"/>
        <w:gridCol w:w="5762"/>
      </w:tblGrid>
      <w:tr>
        <w:trPr>
          <w:tblHeader/>
        </w:trPr>
        <w:tc>
          <w:tcPr>
            <w:tcW w:type="dxa" w:w="2112"/>
            <w:shd w:fill="E8F0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</w:t>
            </w:r>
          </w:p>
        </w:tc>
        <w:tc>
          <w:tcPr>
            <w:tcW w:type="dxa" w:w="1152"/>
            <w:shd w:fill="E8F0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5762"/>
            <w:shd w:fill="E8F0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Actividades y aportaciones</w:t>
            </w:r>
          </w:p>
        </w:tc>
      </w:tr>
      <w:tr>
        <w:trPr>
          <w:tblHeader w:val="false"/>
        </w:trPr>
        <w:tc>
          <w:tcPr>
            <w:tcW w:type="dxa" w:w="21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Osmar Javier (capitán)</w:t>
            </w:r>
          </w:p>
        </w:tc>
        <w:tc>
          <w:tcPr>
            <w:tcW w:type="dxa" w:w="1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Coordinación</w:t>
            </w:r>
          </w:p>
        </w:tc>
        <w:tc>
          <w:tcPr>
            <w:tcW w:type="dxa" w:w="57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Organización en sprints e issues de GitHub; registro de decisiones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DECISIONES.md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seguimiento de las sesiones de dudas con FIRA; integración de entregables y carga en la plataforma.</w:t>
            </w:r>
          </w:p>
        </w:tc>
      </w:tr>
      <w:tr>
        <w:trPr>
          <w:tblHeader w:val="false"/>
        </w:trPr>
        <w:tc>
          <w:tcPr>
            <w:tcW w:type="dxa" w:w="21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David Bonifacio</w:t>
            </w:r>
          </w:p>
        </w:tc>
        <w:tc>
          <w:tcPr>
            <w:tcW w:type="dxa" w:w="1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</w:t>
            </w:r>
          </w:p>
        </w:tc>
        <w:tc>
          <w:tcPr>
            <w:tcW w:type="dxa" w:w="57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Auditoría independiente de IDs, fechas y unión de fuentes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src/auditoria_datos.py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extracción de clima y topografía por polígono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src/extraer_raster.py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tabla PRO por parcela con filtro de nubosidad sin imputación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src/tabla_pro.py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clima por ciclo y README reproducible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src/clima_ciclo.py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21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Hugo Palencia</w:t>
            </w:r>
          </w:p>
        </w:tc>
        <w:tc>
          <w:tcPr>
            <w:tcW w:type="dxa" w:w="1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</w:t>
            </w:r>
          </w:p>
        </w:tc>
        <w:tc>
          <w:tcPr>
            <w:tcW w:type="dxa" w:w="57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V0 (media) y V1 (regresión lineal) con los folds fijos; comparación por bloques de variables; Random Forest con clima y municipio/estado codificados (RMSE 0.513 ± 0.087, R² 0.621), que confirmó el peso de la ubicación.</w:t>
            </w:r>
          </w:p>
        </w:tc>
      </w:tr>
      <w:tr>
        <w:trPr>
          <w:tblHeader w:val="false"/>
        </w:trPr>
        <w:tc>
          <w:tcPr>
            <w:tcW w:type="dxa" w:w="21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David Cervantes</w:t>
            </w:r>
          </w:p>
        </w:tc>
        <w:tc>
          <w:tcPr>
            <w:tcW w:type="dxa" w:w="1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  <w:tc>
          <w:tcPr>
            <w:tcW w:type="dxa" w:w="57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y desarrollo de la aplicación web (React/TypeScript/Leaflet), contrato de datos modelo→app, validador, modo productor/analista, simulador y despliegue público.</w:t>
            </w:r>
          </w:p>
        </w:tc>
      </w:tr>
      <w:tr>
        <w:trPr>
          <w:tblHeader w:val="false"/>
        </w:trPr>
        <w:tc>
          <w:tcPr>
            <w:tcW w:type="dxa" w:w="21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Isaac</w:t>
            </w:r>
          </w:p>
        </w:tc>
        <w:tc>
          <w:tcPr>
            <w:tcW w:type="dxa" w:w="1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</w:t>
            </w:r>
          </w:p>
        </w:tc>
        <w:tc>
          <w:tcPr>
            <w:tcW w:type="dxa" w:w="57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 compartido con las secciones y límites; redacción de Introducción, Justificación y Objetivos (base del informe final); referencias bibliográficas; guion del video con Cervantes.</w:t>
            </w:r>
          </w:p>
        </w:tc>
      </w:tr>
      <w:tr>
        <w:trPr>
          <w:tblHeader w:val="false"/>
        </w:trPr>
        <w:tc>
          <w:tcPr>
            <w:tcW w:type="dxa" w:w="21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1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final</w:t>
            </w:r>
          </w:p>
        </w:tc>
        <w:tc>
          <w:tcPr>
            <w:tcW w:type="dxa" w:w="57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Ingeniería de variables fenológicas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src/features.py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banco de experimentos con CV repetida y agrupada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src/modelar.py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ensamble final y explicación por parcela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src/modelo_final.py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exportador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src/exportar_app.py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cs="Calibri" w:eastAsia="Calibri" w:hAnsi="Calibri"/>
          <w:b/>
          <w:bCs/>
          <w:color w:val="2F4F1F"/>
          <w:sz w:val="28"/>
          <w:szCs w:val="28"/>
        </w:rPr>
        <w:t xml:space="preserve">A3. Enlaces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Aplicación: (pendiente de despliegue)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Video demostrativo: (pendiente)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Repositorio de modelación: https://github.com/OsmarGHz/Cebada-Vision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Repositorio de la aplicación: https://github.com/David54s/agrocebada-pagina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Banco de experimentos completo: </w:t>
      </w:r>
      <w:r>
        <w:rPr>
          <w:rFonts w:ascii="Consolas" w:cs="Consolas" w:eastAsia="Consolas" w:hAnsi="Consolas"/>
          <w:sz w:val="20"/>
          <w:szCs w:val="20"/>
        </w:rPr>
        <w:t xml:space="preserve">reports/experimentos.md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03_Anexos_CebadaVision</dc:title>
  <dc:creator>Equipo CebadaVision</dc:creator>
  <cp:lastModifiedBy>Un-named</cp:lastModifiedBy>
  <cp:revision>1</cp:revision>
  <dcterms:created xsi:type="dcterms:W3CDTF">2026-10-18T06:47:09.327Z</dcterms:created>
  <dcterms:modified xsi:type="dcterms:W3CDTF">2026-10-18T06:47:09.328Z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