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>Bibliografía</w:t>
      </w:r>
    </w:p>
    <w:p>
      <w:pPr>
        <w:pStyle w:val="Normal"/>
        <w:spacing w:after="280"/>
      </w:pPr>
      <w:r>
        <w:t>CebadaVision · Reto AgroCebada 2026 (FIRA)</w:t>
      </w:r>
    </w:p>
    <w:p>
      <w:pPr>
        <w:pStyle w:val="Normal"/>
        <w:keepLines/>
        <w:ind w:left="360" w:hanging="360"/>
      </w:pPr>
      <w:r>
        <w:t xml:space="preserve">Arizo-García, P., Castiñeira-Ibáñez, S., Cruzado-Campos, E., San Bautista, A. y Rubio, C. (2026). High-resolution wheat and barley yield forecasting using multi-temporal satellite time series and machine learning. </w:t>
      </w:r>
      <w:r>
        <w:rPr>
          <w:i/>
        </w:rPr>
        <w:t>Agriculture</w:t>
      </w:r>
      <w:r>
        <w:t xml:space="preserve">, 16(5), 516. </w:t>
      </w:r>
      <w:hyperlink r:id="rId8">
        <w:r>
          <w:rPr>
            <w:color w:val="000000"/>
            <w:rFonts w:ascii="Calibri" w:hAnsi="Calibri"/>
          </w:rPr>
          <w:t>https://doi.org/10.3390/agriculture16050516</w:t>
        </w:r>
      </w:hyperlink>
    </w:p>
    <w:p>
      <w:pPr>
        <w:pStyle w:val="Normal"/>
        <w:keepLines/>
        <w:ind w:left="360" w:hanging="360"/>
      </w:pPr>
      <w:r>
        <w:t xml:space="preserve">Breiman, L. (2001). Random forests. </w:t>
      </w:r>
      <w:r>
        <w:rPr>
          <w:i/>
        </w:rPr>
        <w:t>Machine Learning</w:t>
      </w:r>
      <w:r>
        <w:t>, 45(1), 5–32.</w:t>
      </w:r>
    </w:p>
    <w:p>
      <w:pPr>
        <w:pStyle w:val="Normal"/>
        <w:keepLines/>
        <w:ind w:left="360" w:hanging="360"/>
      </w:pPr>
      <w:r>
        <w:t xml:space="preserve">de la Fuente, D., Rivilla, E., Tena, A., Vitorino, J., Navascués, E. y Tabasco, A. (2023). Yield estimation using machine learning from satellite imagery. </w:t>
      </w:r>
      <w:r>
        <w:rPr>
          <w:i/>
        </w:rPr>
        <w:t>BIO Web of Conferences</w:t>
      </w:r>
      <w:r>
        <w:t xml:space="preserve">, 68, 01013 (44th World Congress of Vine and Wine). </w:t>
      </w:r>
      <w:hyperlink r:id="rId9">
        <w:r>
          <w:rPr>
            <w:color w:val="000000"/>
            <w:rFonts w:ascii="Calibri" w:hAnsi="Calibri"/>
          </w:rPr>
          <w:t>https://doi.org/10.1051/bioconf/20236801013</w:t>
        </w:r>
      </w:hyperlink>
    </w:p>
    <w:p>
      <w:pPr>
        <w:pStyle w:val="Normal"/>
        <w:keepLines/>
        <w:ind w:left="360" w:hanging="360"/>
      </w:pPr>
      <w:r>
        <w:t xml:space="preserve">FIRA (2026). </w:t>
      </w:r>
      <w:r>
        <w:rPr>
          <w:i/>
        </w:rPr>
        <w:t>Bases del Reto AgroCebada 2026</w:t>
      </w:r>
      <w:r>
        <w:t xml:space="preserve">. Fideicomisos Instituidos en Relación con la Agricultura. </w:t>
      </w:r>
      <w:hyperlink r:id="rId10">
        <w:r>
          <w:rPr>
            <w:color w:val="000000"/>
            <w:rFonts w:ascii="Calibri" w:hAnsi="Calibri"/>
          </w:rPr>
          <w:t>https://www.fira.gob.mx/Nd/Convocatoria-2026.html</w:t>
        </w:r>
      </w:hyperlink>
    </w:p>
    <w:p>
      <w:pPr>
        <w:pStyle w:val="Normal"/>
        <w:keepLines/>
        <w:ind w:left="360" w:hanging="360"/>
      </w:pPr>
      <w:r>
        <w:t xml:space="preserve">FIRA (2026). </w:t>
      </w:r>
      <w:r>
        <w:rPr>
          <w:i/>
        </w:rPr>
        <w:t>Ecuaciones de los índices de vegetación, Reto AgroCebada 2026</w:t>
      </w:r>
      <w:r>
        <w:t>. Documento técnico proporcionado por el Comité Organizador, pp. 1–2.</w:t>
      </w:r>
    </w:p>
    <w:p>
      <w:pPr>
        <w:pStyle w:val="Normal"/>
        <w:keepLines/>
        <w:ind w:left="360" w:hanging="360"/>
      </w:pPr>
      <w:r>
        <w:t xml:space="preserve">FIRA (2026). </w:t>
      </w:r>
      <w:r>
        <w:rPr>
          <w:i/>
        </w:rPr>
        <w:t>Lineamientos y Guía de Registro de Proyectos, Reto AgroCebada FIRA 2026</w:t>
      </w:r>
      <w:r>
        <w:t>. Guía proporcionada a los equipos, pp. 2–4.</w:t>
      </w:r>
    </w:p>
    <w:p>
      <w:pPr>
        <w:pStyle w:val="Normal"/>
        <w:keepLines/>
        <w:ind w:left="360" w:hanging="360"/>
      </w:pPr>
      <w:r>
        <w:t xml:space="preserve">FIRA (2026). </w:t>
      </w:r>
      <w:r>
        <w:rPr>
          <w:i/>
        </w:rPr>
        <w:t>Preguntas y respuestas adicionales</w:t>
      </w:r>
      <w:r>
        <w:t>. Documento de apoyo para integrantes del jurado, pp. 1–3; preguntas 1–8.</w:t>
      </w:r>
    </w:p>
    <w:p>
      <w:pPr>
        <w:pStyle w:val="Normal"/>
        <w:keepLines/>
        <w:ind w:left="360" w:hanging="360"/>
      </w:pPr>
      <w:r>
        <w:t xml:space="preserve">FIRA (2026, 9 de octubre). </w:t>
      </w:r>
      <w:r>
        <w:rPr>
          <w:i/>
        </w:rPr>
        <w:t>Segunda sesión de preguntas y respuestas</w:t>
      </w:r>
      <w:r>
        <w:t>. Documento de apoyo para integrantes del jurado, pp. 1–2.</w:t>
      </w:r>
    </w:p>
    <w:p>
      <w:pPr>
        <w:pStyle w:val="Normal"/>
        <w:keepLines/>
        <w:ind w:left="360" w:hanging="360"/>
      </w:pPr>
      <w:r>
        <w:t xml:space="preserve">Funk, C., Peterson, P., Landsfeld, M., et al. (2015). The climate hazards infrared precipitation with stations—a new environmental record for monitoring extremes. </w:t>
      </w:r>
      <w:r>
        <w:rPr>
          <w:i/>
        </w:rPr>
        <w:t>Scientific Data</w:t>
      </w:r>
      <w:r>
        <w:t>, 2, 150066.</w:t>
      </w:r>
    </w:p>
    <w:p>
      <w:pPr>
        <w:pStyle w:val="Normal"/>
        <w:keepLines/>
        <w:ind w:left="360" w:hanging="360"/>
      </w:pPr>
      <w:r>
        <w:t xml:space="preserve">Huete, A., Didan, K., Miura, T., Rodriguez, E. P., Gao, X. y Ferreira, L. G. (2002). Overview of the radiometric and biophysical performance of the MODIS vegetation indices. </w:t>
      </w:r>
      <w:r>
        <w:rPr>
          <w:i/>
        </w:rPr>
        <w:t>Remote Sensing of Environment</w:t>
      </w:r>
      <w:r>
        <w:t>, 83(1–2), 195–213.</w:t>
      </w:r>
    </w:p>
    <w:p>
      <w:pPr>
        <w:pStyle w:val="Normal"/>
        <w:keepLines/>
        <w:ind w:left="360" w:hanging="360"/>
      </w:pPr>
      <w:r>
        <w:t xml:space="preserve">Ke, G., Meng, Q., Finley, T., et al. (2017). LightGBM: A highly efficient gradient boosting decision tree. </w:t>
      </w:r>
      <w:r>
        <w:rPr>
          <w:i/>
        </w:rPr>
        <w:t>Advances in Neural Information Processing Systems</w:t>
      </w:r>
      <w:r>
        <w:t>, 30, 3146–3154.</w:t>
      </w:r>
    </w:p>
    <w:p>
      <w:pPr>
        <w:pStyle w:val="Normal"/>
        <w:keepLines/>
        <w:ind w:left="360" w:hanging="360"/>
      </w:pPr>
      <w:r>
        <w:t xml:space="preserve">Lundberg, S. M. y Lee, S.-I. (2017). A unified approach to interpreting model predictions. </w:t>
      </w:r>
      <w:r>
        <w:rPr>
          <w:i/>
        </w:rPr>
        <w:t>Advances in Neural Information Processing Systems</w:t>
      </w:r>
      <w:r>
        <w:t>, 30, 4765–4774.</w:t>
      </w:r>
    </w:p>
    <w:p>
      <w:pPr>
        <w:pStyle w:val="Normal"/>
        <w:keepLines/>
        <w:ind w:left="360" w:hanging="360"/>
      </w:pPr>
      <w:r>
        <w:t xml:space="preserve">Pedregosa, F., Varoquaux, G., Gramfort, A., et al. (2011). Scikit-learn: Machine learning in Python. </w:t>
      </w:r>
      <w:r>
        <w:rPr>
          <w:i/>
        </w:rPr>
        <w:t>Journal of Machine Learning Research</w:t>
      </w:r>
      <w:r>
        <w:t>, 12, 2825–2830.</w:t>
      </w:r>
    </w:p>
    <w:p>
      <w:pPr>
        <w:pStyle w:val="Normal"/>
        <w:keepLines/>
        <w:ind w:left="360" w:hanging="360"/>
      </w:pPr>
      <w:r>
        <w:t xml:space="preserve">Qi, J., Chehbouni, A., Huete, A. R., Kerr, Y. H. y Sorooshian, S. (1994). A modified soil adjusted vegetation index. </w:t>
      </w:r>
      <w:r>
        <w:rPr>
          <w:i/>
        </w:rPr>
        <w:t>Remote Sensing of Environment</w:t>
      </w:r>
      <w:r>
        <w:t>, 48(2), 119–126.</w:t>
      </w:r>
    </w:p>
    <w:p>
      <w:pPr>
        <w:pStyle w:val="Normal"/>
        <w:keepLines/>
        <w:ind w:left="360" w:hanging="360"/>
      </w:pPr>
      <w:r>
        <w:t xml:space="preserve">Roberts, D. R., Bahn, V., Ciuti, S., et al. (2017). Cross-validation strategies for data with temporal, spatial, hierarchical, or phylogenetic structure. </w:t>
      </w:r>
      <w:r>
        <w:rPr>
          <w:i/>
        </w:rPr>
        <w:t>Ecography</w:t>
      </w:r>
      <w:r>
        <w:t>, 40(8), 913–929.</w:t>
      </w:r>
    </w:p>
    <w:p>
      <w:pPr>
        <w:pStyle w:val="Normal"/>
        <w:keepLines/>
        <w:ind w:left="360" w:hanging="360"/>
      </w:pPr>
      <w:r>
        <w:t xml:space="preserve">SIAP (2023). </w:t>
      </w:r>
      <w:r>
        <w:rPr>
          <w:i/>
        </w:rPr>
        <w:t>Panorama Agroalimentario 2023</w:t>
      </w:r>
      <w:r>
        <w:t xml:space="preserve">. Servicio de Información Agroalimentaria y Pesquera, Secretaría de Agricultura y Desarrollo Rural. </w:t>
      </w:r>
      <w:hyperlink r:id="rId11">
        <w:r>
          <w:rPr>
            <w:color w:val="000000"/>
            <w:rFonts w:ascii="Calibri" w:hAnsi="Calibri"/>
          </w:rPr>
          <w:t>https://www.gob.mx/siap</w:t>
        </w:r>
      </w:hyperlink>
    </w:p>
    <w:p>
      <w:pPr>
        <w:pStyle w:val="Normal"/>
        <w:keepLines/>
        <w:ind w:left="360" w:hanging="360"/>
      </w:pPr>
      <w:r>
        <w:t xml:space="preserve">van Klompenburg, T., Kassahun, A. y Catal, C. (2020). Crop yield prediction using machine learning: A systematic literature review. </w:t>
      </w:r>
      <w:r>
        <w:rPr>
          <w:i/>
        </w:rPr>
        <w:t>Computers and Electronics in Agriculture</w:t>
      </w:r>
      <w:r>
        <w:t>, 177, 105709.</w:t>
      </w:r>
    </w:p>
    <w:p>
      <w:pPr>
        <w:pStyle w:val="Heading1"/>
        <w:keepNext/>
      </w:pPr>
      <w:r>
        <w:t>Uso de inteligencia artificial generativa</w:t>
      </w:r>
    </w:p>
    <w:p>
      <w:pPr>
        <w:pStyle w:val="Normal"/>
      </w:pPr>
      <w:r>
        <w:t>La guía de registro de FIRA (p. 4, apartado Bibliografía) solicita los prompts utilizados, el propósito de cada uno y la herramienta empleada. Esta relación no sustituye las referencias bibliográficas, técnicas o de datos.</w:t>
      </w:r>
    </w:p>
    <w:p>
      <w:pPr>
        <w:pStyle w:val="Normal"/>
      </w:pPr>
      <w:r>
        <w:t xml:space="preserve">El registro personal de Osmar Javier Hernández Prado está disponible en la </w:t>
      </w:r>
      <w:hyperlink r:id="rId12">
        <w:r>
          <w:rPr>
            <w:color w:val="000000"/>
            <w:rFonts w:ascii="Calibri" w:hAnsi="Calibri"/>
          </w:rPr>
          <w:t>declaración de uso de IA</w:t>
        </w:r>
      </w:hyperlink>
      <w:r>
        <w:t xml:space="preserve"> y en el </w:t>
      </w:r>
      <w:hyperlink r:id="rId13">
        <w:r>
          <w:rPr>
            <w:color w:val="000000"/>
            <w:rFonts w:ascii="Calibri" w:hAnsi="Calibri"/>
          </w:rPr>
          <w:t>registro público de 78 intervenciones</w:t>
        </w:r>
      </w:hyperlink>
      <w:r>
        <w:t>. La copia pública señala omisiones de fragmentos personales en nueve intervenciones; el integrante conserva el registro completo y sus fuentes.</w:t>
      </w:r>
    </w:p>
    <w:p>
      <w:pPr>
        <w:pStyle w:val="Normal"/>
      </w:pPr>
      <w:r>
        <w:t>Antes de entregar, debe integrarse en el PDF de Bibliografía la relación de prompts reales, propósito y herramienta de cada integrante, utilizando los registros completos conservados por sus autores. Los enlaces públicos sirven de consulta y respaldo; este apartado sigue pendiente de integración completa y aprobación del equipo.</w:t>
      </w:r>
    </w:p>
    <w:sectPr>
      <w:pgSz w:w="12240" w:h="15840" w:orient="portrait"/>
      <w:pgMar w:top="1152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pPr>
      <w:spacing w:after="200"/>
    </w:pPr>
    <w:rPr>
      <w:rFonts w:ascii="Calibri" w:hAnsi="Calibri"/>
      <w:b/>
      <w:color w:val="000000"/>
      <w:sz w:val="40"/>
      <w:szCs w:val="56"/>
    </w:rPr>
  </w:style>
  <w:style w:type="paragraph" w:styleId="Heading1">
    <w:name w:val="Heading 1"/>
    <w:basedOn w:val="Normal"/>
    <w:next w:val="Normal"/>
    <w:qFormat/>
    <w:pPr>
      <w:spacing w:after="200"/>
    </w:pPr>
    <w:rPr>
      <w:rFonts w:ascii="Calibri" w:hAnsi="Calibri"/>
      <w:b/>
      <w:color w:val="000000"/>
      <w:sz w:val="26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Normal">
    <w:name w:val="Normal"/>
    <w:pPr>
      <w:spacing w:line="269" w:lineRule="auto" w:after="140"/>
    </w:pPr>
    <w:rPr>
      <w:rFonts w:ascii="Calibri" w:hAnsi="Calibri"/>
      <w:color w:val="000000"/>
      <w:sz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yperlink" Target="https://doi.org/10.3390/agriculture16050516" TargetMode="External"/><Relationship Id="rId9" Type="http://schemas.openxmlformats.org/officeDocument/2006/relationships/hyperlink" Target="https://doi.org/10.1051/bioconf/20236801013" TargetMode="External"/><Relationship Id="rId10" Type="http://schemas.openxmlformats.org/officeDocument/2006/relationships/hyperlink" Target="https://www.fira.gob.mx/Nd/Convocatoria-2026.html" TargetMode="External"/><Relationship Id="rId11" Type="http://schemas.openxmlformats.org/officeDocument/2006/relationships/hyperlink" Target="https://www.gob.mx/siap" TargetMode="External"/><Relationship Id="rId12" Type="http://schemas.openxmlformats.org/officeDocument/2006/relationships/hyperlink" Target="https://github.com/OsmarGHz/Cebada-Vision/blob/b01ab9e21ea0c72f139f910f82ef8702379561a5/reports/uso_ia/osmar/declaracion.md" TargetMode="External"/><Relationship Id="rId13" Type="http://schemas.openxmlformats.org/officeDocument/2006/relationships/hyperlink" Target="https://github.com/OsmarGHz/Cebada-Vision/blob/b01ab9e21ea0c72f139f910f82ef8702379561a5/reports/uso_ia/osmar/registro_prompts.m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Bibliografía CebadaVision</dc:title>
  <dc:creator>Equipo CebadaVision</dc:creator>
  <cp:lastModifiedBy>Un-named</cp:lastModifiedBy>
  <cp:revision>1</cp:revision>
  <dcterms:created xsi:type="dcterms:W3CDTF">2026-10-19T03:14:08.052Z</dcterms:created>
  <dcterms:modified xsi:type="dcterms:W3CDTF">2026-10-19T03:14:08.053Z</dcterms:modified>
  <dc:subject>Referencias bibliográficas y registro de uso de IA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