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4e79"/>
          <w:sz w:val="40"/>
          <w:szCs w:val="40"/>
          <w:rtl w:val="0"/>
        </w:rPr>
        <w:t xml:space="preserve">Lab 03: Neural Information Processing</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2e75b6"/>
          <w:sz w:val="28"/>
          <w:szCs w:val="28"/>
          <w:rtl w:val="0"/>
        </w:rPr>
        <w:t xml:space="preserve">Written Analysis Report</w:t>
      </w:r>
      <w:r w:rsidDel="00000000" w:rsidR="00000000" w:rsidRPr="00000000">
        <w:rPr>
          <w:rtl w:val="0"/>
        </w:rPr>
      </w:r>
    </w:p>
    <w:p w:rsidR="00000000" w:rsidDel="00000000" w:rsidP="00000000" w:rsidRDefault="00000000" w:rsidRPr="00000000" w14:paraId="00000003">
      <w:pPr>
        <w:spacing w:after="480" w:before="0" w:lineRule="auto"/>
        <w:jc w:val="center"/>
        <w:rPr>
          <w:rFonts w:ascii="Arial" w:cs="Arial" w:eastAsia="Arial" w:hAnsi="Arial"/>
          <w:color w:val="888888"/>
          <w:sz w:val="24"/>
          <w:szCs w:val="24"/>
        </w:rPr>
      </w:pPr>
      <w:r w:rsidDel="00000000" w:rsidR="00000000" w:rsidRPr="00000000">
        <w:rPr>
          <w:rFonts w:ascii="Arial" w:cs="Arial" w:eastAsia="Arial" w:hAnsi="Arial"/>
          <w:color w:val="888888"/>
          <w:sz w:val="24"/>
          <w:szCs w:val="24"/>
          <w:rtl w:val="0"/>
        </w:rPr>
        <w:t xml:space="preserve">ITAI 4374 — Module 03</w:t>
      </w:r>
    </w:p>
    <w:p w:rsidR="00000000" w:rsidDel="00000000" w:rsidP="00000000" w:rsidRDefault="00000000" w:rsidRPr="00000000" w14:paraId="00000004">
      <w:pPr>
        <w:spacing w:after="480" w:before="0" w:lineRule="auto"/>
        <w:jc w:val="center"/>
        <w:rPr>
          <w:color w:val="888888"/>
        </w:rPr>
      </w:pPr>
      <w:r w:rsidDel="00000000" w:rsidR="00000000" w:rsidRPr="00000000">
        <w:rPr>
          <w:color w:val="888888"/>
          <w:rtl w:val="0"/>
        </w:rPr>
        <w:t xml:space="preserve">By Alfonso Miranda </w:t>
      </w:r>
    </w:p>
    <w:p w:rsidR="00000000" w:rsidDel="00000000" w:rsidP="00000000" w:rsidRDefault="00000000" w:rsidRPr="00000000" w14:paraId="00000005">
      <w:pPr>
        <w:pStyle w:val="Heading1"/>
        <w:spacing w:after="160" w:before="320" w:lineRule="auto"/>
        <w:rPr/>
      </w:pPr>
      <w:r w:rsidDel="00000000" w:rsidR="00000000" w:rsidRPr="00000000">
        <w:rPr>
          <w:rFonts w:ascii="Arial" w:cs="Arial" w:eastAsia="Arial" w:hAnsi="Arial"/>
          <w:b w:val="1"/>
          <w:bCs w:val="1"/>
          <w:sz w:val="32"/>
          <w:szCs w:val="32"/>
          <w:rtl w:val="0"/>
        </w:rPr>
        <w:t xml:space="preserve">1. Biological vs. Artificial Neurons: A Comparison of Information Processing</w:t>
      </w:r>
      <w:r w:rsidDel="00000000" w:rsidR="00000000" w:rsidRPr="00000000">
        <w:rPr>
          <w:rtl w:val="0"/>
        </w:rPr>
      </w:r>
    </w:p>
    <w:p w:rsidR="00000000" w:rsidDel="00000000" w:rsidP="00000000" w:rsidRDefault="00000000" w:rsidRPr="00000000" w14:paraId="00000006">
      <w:pPr>
        <w:spacing w:after="160" w:before="80" w:lineRule="auto"/>
        <w:jc w:val="both"/>
        <w:rPr/>
      </w:pPr>
      <w:r w:rsidDel="00000000" w:rsidR="00000000" w:rsidRPr="00000000">
        <w:rPr>
          <w:rFonts w:ascii="Arial" w:cs="Arial" w:eastAsia="Arial" w:hAnsi="Arial"/>
          <w:sz w:val="24"/>
          <w:szCs w:val="24"/>
          <w:rtl w:val="0"/>
        </w:rPr>
        <w:t xml:space="preserve">Biological neurons and artificial neurons both perform the fundamental task of integrating inputs and producing an output, yet they differ markedly in their mechanisms, precision, and computational style. Understanding these parallels and divergences is central to appreciating how artificial intelligence draws on—and departs from—neuroscience.</w:t>
      </w:r>
      <w:r w:rsidDel="00000000" w:rsidR="00000000" w:rsidRPr="00000000">
        <w:rPr>
          <w:rtl w:val="0"/>
        </w:rPr>
      </w:r>
    </w:p>
    <w:p w:rsidR="00000000" w:rsidDel="00000000" w:rsidP="00000000" w:rsidRDefault="00000000" w:rsidRPr="00000000" w14:paraId="00000007">
      <w:pPr>
        <w:pStyle w:val="Heading2"/>
        <w:spacing w:after="120" w:before="240" w:lineRule="auto"/>
        <w:rPr/>
      </w:pPr>
      <w:r w:rsidDel="00000000" w:rsidR="00000000" w:rsidRPr="00000000">
        <w:rPr>
          <w:rFonts w:ascii="Arial" w:cs="Arial" w:eastAsia="Arial" w:hAnsi="Arial"/>
          <w:b w:val="1"/>
          <w:bCs w:val="1"/>
          <w:sz w:val="26"/>
          <w:szCs w:val="26"/>
          <w:rtl w:val="0"/>
        </w:rPr>
        <w:t xml:space="preserve">1.1 Signal Representation</w:t>
      </w:r>
      <w:r w:rsidDel="00000000" w:rsidR="00000000" w:rsidRPr="00000000">
        <w:rPr>
          <w:rtl w:val="0"/>
        </w:rPr>
      </w:r>
    </w:p>
    <w:p w:rsidR="00000000" w:rsidDel="00000000" w:rsidP="00000000" w:rsidRDefault="00000000" w:rsidRPr="00000000" w14:paraId="00000008">
      <w:pPr>
        <w:spacing w:after="160" w:before="80" w:lineRule="auto"/>
        <w:jc w:val="both"/>
        <w:rPr/>
      </w:pPr>
      <w:sdt>
        <w:sdtPr>
          <w:id w:val="-1136016832"/>
          <w:tag w:val="goog_rdk_0"/>
        </w:sdtPr>
        <w:sdtContent>
          <w:r w:rsidDel="00000000" w:rsidR="00000000" w:rsidRPr="00000000">
            <w:rPr>
              <w:rFonts w:ascii="Arial Unicode MS" w:cs="Arial Unicode MS" w:eastAsia="Arial Unicode MS" w:hAnsi="Arial Unicode MS"/>
              <w:sz w:val="24"/>
              <w:szCs w:val="24"/>
              <w:rtl w:val="0"/>
            </w:rPr>
            <w:t xml:space="preserve">Biological neurons encode information as sequences of action potentials (spikes). These all-or-none electrical events are governed by ion channel dynamics: when sufficient input current depolarizes the membrane from its resting potential (approximately −70 mV) to the threshold (approximately −55 mV), a stereotyped spike of ~+40 mV is generated, followed by a refractory period during which the neuron cannot fire again. Information is thus encoded not in spike amplitude—which is fixed—but in firing rate and timing patterns. This rate-coding strategy allows graded signal representation through a binary mechanism.</w:t>
          </w:r>
        </w:sdtContent>
      </w:sdt>
      <w:r w:rsidDel="00000000" w:rsidR="00000000" w:rsidRPr="00000000">
        <w:rPr>
          <w:rtl w:val="0"/>
        </w:rPr>
      </w:r>
    </w:p>
    <w:p w:rsidR="00000000" w:rsidDel="00000000" w:rsidP="00000000" w:rsidRDefault="00000000" w:rsidRPr="00000000" w14:paraId="00000009">
      <w:pPr>
        <w:spacing w:after="160" w:before="80" w:lineRule="auto"/>
        <w:jc w:val="both"/>
        <w:rPr/>
      </w:pPr>
      <w:r w:rsidDel="00000000" w:rsidR="00000000" w:rsidRPr="00000000">
        <w:rPr>
          <w:rFonts w:ascii="Arial" w:cs="Arial" w:eastAsia="Arial" w:hAnsi="Arial"/>
          <w:sz w:val="24"/>
          <w:szCs w:val="24"/>
          <w:rtl w:val="0"/>
        </w:rPr>
        <w:t xml:space="preserve">Artificial neurons, by contrast, represent information as continuous real-valued numbers. The weighted sum of inputs is passed through a smooth activation function—sigmoid, tanh, or ReLU—producing an analog output in a continuous range. There is no notion of refractory periods or spike timing; computation is instantaneous and deterministic given fixed weights.</w:t>
      </w:r>
      <w:r w:rsidDel="00000000" w:rsidR="00000000" w:rsidRPr="00000000">
        <w:rPr>
          <w:rtl w:val="0"/>
        </w:rPr>
      </w:r>
    </w:p>
    <w:p w:rsidR="00000000" w:rsidDel="00000000" w:rsidP="00000000" w:rsidRDefault="00000000" w:rsidRPr="00000000" w14:paraId="0000000A">
      <w:pPr>
        <w:pStyle w:val="Heading2"/>
        <w:spacing w:after="120" w:before="240" w:lineRule="auto"/>
        <w:rPr/>
      </w:pPr>
      <w:r w:rsidDel="00000000" w:rsidR="00000000" w:rsidRPr="00000000">
        <w:rPr>
          <w:rFonts w:ascii="Arial" w:cs="Arial" w:eastAsia="Arial" w:hAnsi="Arial"/>
          <w:b w:val="1"/>
          <w:bCs w:val="1"/>
          <w:sz w:val="26"/>
          <w:szCs w:val="26"/>
          <w:rtl w:val="0"/>
        </w:rPr>
        <w:t xml:space="preserve">1.2 Threshold and Activation</w:t>
      </w:r>
      <w:r w:rsidDel="00000000" w:rsidR="00000000" w:rsidRPr="00000000">
        <w:rPr>
          <w:rtl w:val="0"/>
        </w:rPr>
      </w:r>
    </w:p>
    <w:p w:rsidR="00000000" w:rsidDel="00000000" w:rsidP="00000000" w:rsidRDefault="00000000" w:rsidRPr="00000000" w14:paraId="0000000B">
      <w:pPr>
        <w:spacing w:after="160" w:before="80" w:lineRule="auto"/>
        <w:jc w:val="both"/>
        <w:rPr/>
      </w:pPr>
      <w:r w:rsidDel="00000000" w:rsidR="00000000" w:rsidRPr="00000000">
        <w:rPr>
          <w:rFonts w:ascii="Arial" w:cs="Arial" w:eastAsia="Arial" w:hAnsi="Arial"/>
          <w:sz w:val="24"/>
          <w:szCs w:val="24"/>
          <w:rtl w:val="0"/>
        </w:rPr>
        <w:t xml:space="preserve">Both systems use a threshold concept, but in different ways. The biological threshold is a critical voltage (the threshold potential) below which no spike is generated and above which a full action potential always fires—the all-or-none principle. This makes the biological neuron a highly nonlinear, binary-output device at the level of individual spikes.</w:t>
      </w:r>
      <w:r w:rsidDel="00000000" w:rsidR="00000000" w:rsidRPr="00000000">
        <w:rPr>
          <w:rtl w:val="0"/>
        </w:rPr>
      </w:r>
    </w:p>
    <w:p w:rsidR="00000000" w:rsidDel="00000000" w:rsidP="00000000" w:rsidRDefault="00000000" w:rsidRPr="00000000" w14:paraId="0000000C">
      <w:pPr>
        <w:spacing w:after="160" w:before="80" w:lineRule="auto"/>
        <w:jc w:val="both"/>
        <w:rPr/>
      </w:pPr>
      <w:r w:rsidDel="00000000" w:rsidR="00000000" w:rsidRPr="00000000">
        <w:rPr>
          <w:rFonts w:ascii="Arial" w:cs="Arial" w:eastAsia="Arial" w:hAnsi="Arial"/>
          <w:sz w:val="24"/>
          <w:szCs w:val="24"/>
          <w:rtl w:val="0"/>
        </w:rPr>
        <w:t xml:space="preserve">Artificial neurons approximate this with smooth activation functions. The sigmoid function most closely mimics the biological response: it transitions from near-zero output for strongly negative inputs to near-one output for strongly positive inputs, with a soft threshold in the middle. The step activation function—output zero below zero, output one above—is the closest mathematical analog to the strict biological all-or-none rule. Modern deep learning, however, favors ReLU for its computational efficiency and reduced vanishing-gradient problem, even though it is biologically less realistic.</w:t>
      </w:r>
      <w:r w:rsidDel="00000000" w:rsidR="00000000" w:rsidRPr="00000000">
        <w:rPr>
          <w:rtl w:val="0"/>
        </w:rPr>
      </w:r>
    </w:p>
    <w:p w:rsidR="00000000" w:rsidDel="00000000" w:rsidP="00000000" w:rsidRDefault="00000000" w:rsidRPr="00000000" w14:paraId="0000000D">
      <w:pPr>
        <w:pStyle w:val="Heading2"/>
        <w:spacing w:after="120" w:before="240" w:lineRule="auto"/>
        <w:rPr/>
      </w:pPr>
      <w:r w:rsidDel="00000000" w:rsidR="00000000" w:rsidRPr="00000000">
        <w:rPr>
          <w:rFonts w:ascii="Arial" w:cs="Arial" w:eastAsia="Arial" w:hAnsi="Arial"/>
          <w:b w:val="1"/>
          <w:bCs w:val="1"/>
          <w:sz w:val="26"/>
          <w:szCs w:val="26"/>
          <w:rtl w:val="0"/>
        </w:rPr>
        <w:t xml:space="preserve">1.3 Learning and Plasticity</w:t>
      </w:r>
      <w:r w:rsidDel="00000000" w:rsidR="00000000" w:rsidRPr="00000000">
        <w:rPr>
          <w:rtl w:val="0"/>
        </w:rPr>
      </w:r>
    </w:p>
    <w:p w:rsidR="00000000" w:rsidDel="00000000" w:rsidP="00000000" w:rsidRDefault="00000000" w:rsidRPr="00000000" w14:paraId="0000000E">
      <w:pPr>
        <w:spacing w:after="160" w:before="80" w:lineRule="auto"/>
        <w:jc w:val="both"/>
        <w:rPr/>
      </w:pPr>
      <w:r w:rsidDel="00000000" w:rsidR="00000000" w:rsidRPr="00000000">
        <w:rPr>
          <w:rFonts w:ascii="Arial" w:cs="Arial" w:eastAsia="Arial" w:hAnsi="Arial"/>
          <w:sz w:val="24"/>
          <w:szCs w:val="24"/>
          <w:rtl w:val="0"/>
        </w:rPr>
        <w:t xml:space="preserve">Biological neurons learn through synaptic plasticity—most famously Hebbian learning (neurons that fire together, wire together) and spike-timing-dependent plasticity (STDP), which modifies synaptic strength based on the precise relative timing of pre- and post-synaptic spikes. This is fundamentally a local learning rule: each synapse updates based only on signals available at that synapse.</w:t>
      </w:r>
      <w:r w:rsidDel="00000000" w:rsidR="00000000" w:rsidRPr="00000000">
        <w:rPr>
          <w:rtl w:val="0"/>
        </w:rPr>
      </w:r>
    </w:p>
    <w:p w:rsidR="00000000" w:rsidDel="00000000" w:rsidP="00000000" w:rsidRDefault="00000000" w:rsidRPr="00000000" w14:paraId="0000000F">
      <w:pPr>
        <w:spacing w:after="160" w:before="80" w:lineRule="auto"/>
        <w:jc w:val="both"/>
        <w:rPr/>
      </w:pPr>
      <w:r w:rsidDel="00000000" w:rsidR="00000000" w:rsidRPr="00000000">
        <w:rPr>
          <w:rFonts w:ascii="Arial" w:cs="Arial" w:eastAsia="Arial" w:hAnsi="Arial"/>
          <w:sz w:val="24"/>
          <w:szCs w:val="24"/>
          <w:rtl w:val="0"/>
        </w:rPr>
        <w:t xml:space="preserve">Artificial networks learn via backpropagation, a global algorithm that computes the gradient of a loss function and propagates error signals backward through the network. Although highly effective, backpropagation has no known direct biological equivalent, as it requires symmetric weight transport and explicit error signals—features unlikely to exist in biological cortex.</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pStyle w:val="Heading1"/>
        <w:spacing w:after="160" w:before="320" w:lineRule="auto"/>
        <w:rPr/>
      </w:pPr>
      <w:r w:rsidDel="00000000" w:rsidR="00000000" w:rsidRPr="00000000">
        <w:rPr>
          <w:rFonts w:ascii="Arial" w:cs="Arial" w:eastAsia="Arial" w:hAnsi="Arial"/>
          <w:b w:val="1"/>
          <w:bCs w:val="1"/>
          <w:sz w:val="32"/>
          <w:szCs w:val="32"/>
          <w:rtl w:val="0"/>
        </w:rPr>
        <w:t xml:space="preserve">2. Biological Principles as Inspiration for AI Development</w:t>
      </w:r>
      <w:r w:rsidDel="00000000" w:rsidR="00000000" w:rsidRPr="00000000">
        <w:rPr>
          <w:rtl w:val="0"/>
        </w:rPr>
      </w:r>
    </w:p>
    <w:p w:rsidR="00000000" w:rsidDel="00000000" w:rsidP="00000000" w:rsidRDefault="00000000" w:rsidRPr="00000000" w14:paraId="00000012">
      <w:pPr>
        <w:spacing w:after="160" w:before="80" w:lineRule="auto"/>
        <w:jc w:val="both"/>
        <w:rPr/>
      </w:pPr>
      <w:r w:rsidDel="00000000" w:rsidR="00000000" w:rsidRPr="00000000">
        <w:rPr>
          <w:rFonts w:ascii="Arial" w:cs="Arial" w:eastAsia="Arial" w:hAnsi="Arial"/>
          <w:sz w:val="24"/>
          <w:szCs w:val="24"/>
          <w:rtl w:val="0"/>
        </w:rPr>
        <w:t xml:space="preserve">Despite the substantial differences described above, biological neural processing has already profoundly shaped AI architecture, and remains a rich source of inspiration for future development.</w:t>
      </w:r>
      <w:r w:rsidDel="00000000" w:rsidR="00000000" w:rsidRPr="00000000">
        <w:rPr>
          <w:rtl w:val="0"/>
        </w:rPr>
      </w:r>
    </w:p>
    <w:p w:rsidR="00000000" w:rsidDel="00000000" w:rsidP="00000000" w:rsidRDefault="00000000" w:rsidRPr="00000000" w14:paraId="00000013">
      <w:pPr>
        <w:pStyle w:val="Heading2"/>
        <w:spacing w:after="120" w:before="240" w:lineRule="auto"/>
        <w:rPr/>
      </w:pPr>
      <w:r w:rsidDel="00000000" w:rsidR="00000000" w:rsidRPr="00000000">
        <w:rPr>
          <w:rFonts w:ascii="Arial" w:cs="Arial" w:eastAsia="Arial" w:hAnsi="Arial"/>
          <w:b w:val="1"/>
          <w:bCs w:val="1"/>
          <w:sz w:val="26"/>
          <w:szCs w:val="26"/>
          <w:rtl w:val="0"/>
        </w:rPr>
        <w:t xml:space="preserve">2.1 Architectural Inspiration</w:t>
      </w:r>
      <w:r w:rsidDel="00000000" w:rsidR="00000000" w:rsidRPr="00000000">
        <w:rPr>
          <w:rtl w:val="0"/>
        </w:rPr>
      </w:r>
    </w:p>
    <w:p w:rsidR="00000000" w:rsidDel="00000000" w:rsidP="00000000" w:rsidRDefault="00000000" w:rsidRPr="00000000" w14:paraId="00000014">
      <w:pPr>
        <w:spacing w:after="160" w:before="80" w:lineRule="auto"/>
        <w:jc w:val="both"/>
        <w:rPr/>
      </w:pPr>
      <w:r w:rsidDel="00000000" w:rsidR="00000000" w:rsidRPr="00000000">
        <w:rPr>
          <w:rFonts w:ascii="Arial" w:cs="Arial" w:eastAsia="Arial" w:hAnsi="Arial"/>
          <w:sz w:val="24"/>
          <w:szCs w:val="24"/>
          <w:rtl w:val="0"/>
        </w:rPr>
        <w:t xml:space="preserve">The hierarchical organization of the visual cortex—where simple edge detectors in V1 feed into progressively more abstract representations in higher areas—directly inspired convolutional neural networks (CNNs). Pooling operations mimic spatial invariance seen in complex cells. Recurrent neural networks (RNNs) and Long Short-Term Memory (LSTM) networks draw on the brain's recurrent connectivity and temporal memory. Attention mechanisms in transformers echo the selective attention observed in prefrontal and parietal cortex, where cognitive resources are dynamically allocated to salient stimuli.</w:t>
      </w:r>
      <w:r w:rsidDel="00000000" w:rsidR="00000000" w:rsidRPr="00000000">
        <w:rPr>
          <w:rtl w:val="0"/>
        </w:rPr>
      </w:r>
    </w:p>
    <w:p w:rsidR="00000000" w:rsidDel="00000000" w:rsidP="00000000" w:rsidRDefault="00000000" w:rsidRPr="00000000" w14:paraId="00000015">
      <w:pPr>
        <w:pStyle w:val="Heading2"/>
        <w:spacing w:after="120" w:before="240" w:lineRule="auto"/>
        <w:rPr/>
      </w:pPr>
      <w:r w:rsidDel="00000000" w:rsidR="00000000" w:rsidRPr="00000000">
        <w:rPr>
          <w:rFonts w:ascii="Arial" w:cs="Arial" w:eastAsia="Arial" w:hAnsi="Arial"/>
          <w:b w:val="1"/>
          <w:bCs w:val="1"/>
          <w:sz w:val="26"/>
          <w:szCs w:val="26"/>
          <w:rtl w:val="0"/>
        </w:rPr>
        <w:t xml:space="preserve">2.2 Sparse and Energy-Efficient Computation</w:t>
      </w:r>
      <w:r w:rsidDel="00000000" w:rsidR="00000000" w:rsidRPr="00000000">
        <w:rPr>
          <w:rtl w:val="0"/>
        </w:rPr>
      </w:r>
    </w:p>
    <w:p w:rsidR="00000000" w:rsidDel="00000000" w:rsidP="00000000" w:rsidRDefault="00000000" w:rsidRPr="00000000" w14:paraId="00000016">
      <w:pPr>
        <w:spacing w:after="160" w:before="80" w:lineRule="auto"/>
        <w:jc w:val="both"/>
        <w:rPr/>
      </w:pPr>
      <w:r w:rsidDel="00000000" w:rsidR="00000000" w:rsidRPr="00000000">
        <w:rPr>
          <w:rFonts w:ascii="Arial" w:cs="Arial" w:eastAsia="Arial" w:hAnsi="Arial"/>
          <w:sz w:val="24"/>
          <w:szCs w:val="24"/>
          <w:rtl w:val="0"/>
        </w:rPr>
        <w:t xml:space="preserve">Biological brains achieve remarkable intelligence at roughly 20 watts—far below any comparably capable artificial system. A key reason is sparse coding: at any moment, only a small fraction (~5%) of neurons are active. This sparsity reduces metabolic cost and interference between representations. Spiking neural networks (SNNs) attempt to capture this efficiency by computing only when spikes occur, making them promising for neuromorphic hardware such as Intel's Loihi chip. Incorporating biological sparsity principles into standard deep learning through regularization (e.g., L1 penalties or dropout) has already improved model generalization.</w:t>
      </w:r>
      <w:r w:rsidDel="00000000" w:rsidR="00000000" w:rsidRPr="00000000">
        <w:rPr>
          <w:rtl w:val="0"/>
        </w:rPr>
      </w:r>
    </w:p>
    <w:p w:rsidR="00000000" w:rsidDel="00000000" w:rsidP="00000000" w:rsidRDefault="00000000" w:rsidRPr="00000000" w14:paraId="00000017">
      <w:pPr>
        <w:pStyle w:val="Heading2"/>
        <w:spacing w:after="120" w:before="240" w:lineRule="auto"/>
        <w:rPr/>
      </w:pPr>
      <w:r w:rsidDel="00000000" w:rsidR="00000000" w:rsidRPr="00000000">
        <w:rPr>
          <w:rFonts w:ascii="Arial" w:cs="Arial" w:eastAsia="Arial" w:hAnsi="Arial"/>
          <w:b w:val="1"/>
          <w:bCs w:val="1"/>
          <w:sz w:val="26"/>
          <w:szCs w:val="26"/>
          <w:rtl w:val="0"/>
        </w:rPr>
        <w:t xml:space="preserve">2.3 Neuroscience-Informed Learning Rules</w:t>
      </w:r>
      <w:r w:rsidDel="00000000" w:rsidR="00000000" w:rsidRPr="00000000">
        <w:rPr>
          <w:rtl w:val="0"/>
        </w:rPr>
      </w:r>
    </w:p>
    <w:p w:rsidR="00000000" w:rsidDel="00000000" w:rsidP="00000000" w:rsidRDefault="00000000" w:rsidRPr="00000000" w14:paraId="00000018">
      <w:pPr>
        <w:spacing w:after="160" w:before="80" w:lineRule="auto"/>
        <w:jc w:val="both"/>
        <w:rPr/>
      </w:pPr>
      <w:r w:rsidDel="00000000" w:rsidR="00000000" w:rsidRPr="00000000">
        <w:rPr>
          <w:rFonts w:ascii="Arial" w:cs="Arial" w:eastAsia="Arial" w:hAnsi="Arial"/>
          <w:sz w:val="24"/>
          <w:szCs w:val="24"/>
          <w:rtl w:val="0"/>
        </w:rPr>
        <w:t xml:space="preserve">Researchers are actively exploring local learning rules inspired by STDP as alternatives to backpropagation. Predictive coding frameworks, in which each layer tries to predict the activity of the layer below and only errors propagate upward, offer a biologically plausible alternative that achieves competitive performance on some benchmarks. Neuromodulation—the broadcast of chemical signals like dopamine that globally modulate synaptic plasticity—inspires reward-modulated learning algorithms relevant to reinforcement learning.</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1"/>
        <w:spacing w:after="160" w:before="320" w:lineRule="auto"/>
        <w:rPr/>
      </w:pPr>
      <w:r w:rsidDel="00000000" w:rsidR="00000000" w:rsidRPr="00000000">
        <w:rPr>
          <w:rFonts w:ascii="Arial" w:cs="Arial" w:eastAsia="Arial" w:hAnsi="Arial"/>
          <w:b w:val="1"/>
          <w:bCs w:val="1"/>
          <w:sz w:val="32"/>
          <w:szCs w:val="32"/>
          <w:rtl w:val="0"/>
        </w:rPr>
        <w:t xml:space="preserve">3. Limitations of Current Artificial Neuron Models</w:t>
      </w:r>
      <w:r w:rsidDel="00000000" w:rsidR="00000000" w:rsidRPr="00000000">
        <w:rPr>
          <w:rtl w:val="0"/>
        </w:rPr>
      </w:r>
    </w:p>
    <w:p w:rsidR="00000000" w:rsidDel="00000000" w:rsidP="00000000" w:rsidRDefault="00000000" w:rsidRPr="00000000" w14:paraId="0000001B">
      <w:pPr>
        <w:pStyle w:val="Heading2"/>
        <w:spacing w:after="120" w:before="240" w:lineRule="auto"/>
        <w:rPr/>
      </w:pPr>
      <w:r w:rsidDel="00000000" w:rsidR="00000000" w:rsidRPr="00000000">
        <w:rPr>
          <w:rFonts w:ascii="Arial" w:cs="Arial" w:eastAsia="Arial" w:hAnsi="Arial"/>
          <w:b w:val="1"/>
          <w:bCs w:val="1"/>
          <w:sz w:val="26"/>
          <w:szCs w:val="26"/>
          <w:rtl w:val="0"/>
        </w:rPr>
        <w:t xml:space="preserve">3.1 Loss of Temporal Dynamics</w:t>
      </w:r>
      <w:r w:rsidDel="00000000" w:rsidR="00000000" w:rsidRPr="00000000">
        <w:rPr>
          <w:rtl w:val="0"/>
        </w:rPr>
      </w:r>
    </w:p>
    <w:p w:rsidR="00000000" w:rsidDel="00000000" w:rsidP="00000000" w:rsidRDefault="00000000" w:rsidRPr="00000000" w14:paraId="0000001C">
      <w:pPr>
        <w:spacing w:after="160" w:before="80" w:lineRule="auto"/>
        <w:jc w:val="both"/>
        <w:rPr/>
      </w:pPr>
      <w:r w:rsidDel="00000000" w:rsidR="00000000" w:rsidRPr="00000000">
        <w:rPr>
          <w:rFonts w:ascii="Arial" w:cs="Arial" w:eastAsia="Arial" w:hAnsi="Arial"/>
          <w:sz w:val="24"/>
          <w:szCs w:val="24"/>
          <w:rtl w:val="0"/>
        </w:rPr>
        <w:t xml:space="preserve">Standard artificial neurons collapse time: a forward pass computes an output instantaneously from a static input vector. The rich temporal structure of biological computation—spike timing, oscillatory dynamics, working memory through sustained firing—is largely absent. RNNs add a recurrent state that evolves over discrete time steps, but this is a coarse approximation of the continuous-time, asynchronous dynamics of biological networks. Tasks requiring precise temporal reasoning, such as processing natural speech or integrating sensory information over seconds, remain challenging for current architectures relative to the biological benchmark.</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sz w:val="26"/>
          <w:szCs w:val="26"/>
          <w:rtl w:val="0"/>
        </w:rPr>
        <w:t xml:space="preserve">3.2 Absence of Biophysical Realism</w:t>
      </w:r>
      <w:r w:rsidDel="00000000" w:rsidR="00000000" w:rsidRPr="00000000">
        <w:rPr>
          <w:rtl w:val="0"/>
        </w:rPr>
      </w:r>
    </w:p>
    <w:p w:rsidR="00000000" w:rsidDel="00000000" w:rsidP="00000000" w:rsidRDefault="00000000" w:rsidRPr="00000000" w14:paraId="0000001E">
      <w:pPr>
        <w:spacing w:after="160" w:before="80" w:lineRule="auto"/>
        <w:jc w:val="both"/>
        <w:rPr/>
      </w:pPr>
      <w:r w:rsidDel="00000000" w:rsidR="00000000" w:rsidRPr="00000000">
        <w:rPr>
          <w:rFonts w:ascii="Arial" w:cs="Arial" w:eastAsia="Arial" w:hAnsi="Arial"/>
          <w:sz w:val="24"/>
          <w:szCs w:val="24"/>
          <w:rtl w:val="0"/>
        </w:rPr>
        <w:t xml:space="preserve">The integrate-and-fire model used in this lab captures the threshold and all-or-none principles but omits the rich biophysics of real neurons: voltage-gated sodium and potassium channels with Hodgkin-Huxley dynamics, dendritic computation (where individual dendritic branches perform nonlinear operations before the signal reaches the soma), calcium-dependent plasticity, and the diversity of neuron types (pyramidal cells, interneurons, Purkinje cells) each with distinct computational roles. Artificial neurons are homogeneous and point-process—they lack the morphological complexity that gives biological neurons their computational richness.</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sz w:val="26"/>
          <w:szCs w:val="26"/>
          <w:rtl w:val="0"/>
        </w:rPr>
        <w:t xml:space="preserve">3.3 Data and Energy Inefficiency</w:t>
      </w:r>
      <w:r w:rsidDel="00000000" w:rsidR="00000000" w:rsidRPr="00000000">
        <w:rPr>
          <w:rtl w:val="0"/>
        </w:rPr>
      </w:r>
    </w:p>
    <w:p w:rsidR="00000000" w:rsidDel="00000000" w:rsidP="00000000" w:rsidRDefault="00000000" w:rsidRPr="00000000" w14:paraId="00000020">
      <w:pPr>
        <w:spacing w:after="160" w:before="80" w:lineRule="auto"/>
        <w:jc w:val="both"/>
        <w:rPr/>
      </w:pPr>
      <w:r w:rsidDel="00000000" w:rsidR="00000000" w:rsidRPr="00000000">
        <w:rPr>
          <w:rFonts w:ascii="Arial" w:cs="Arial" w:eastAsia="Arial" w:hAnsi="Arial"/>
          <w:sz w:val="24"/>
          <w:szCs w:val="24"/>
          <w:rtl w:val="0"/>
        </w:rPr>
        <w:t xml:space="preserve">Biological brains learn from limited experience: a child learns to recognize a dog from a handful of exposures, whereas modern deep learning systems typically require millions of labeled examples. One-shot and few-shot learning remain active and unsolved research problems. Energy efficiency is similarly stark: GPT-class models consume megawatts of power during training, while the human brain processes comparable volumes of language and knowledge with roughly 20 watts of metabolic power.</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sz w:val="26"/>
          <w:szCs w:val="26"/>
          <w:rtl w:val="0"/>
        </w:rPr>
        <w:t xml:space="preserve">3.4 Lack of Continual Learning</w:t>
      </w:r>
      <w:r w:rsidDel="00000000" w:rsidR="00000000" w:rsidRPr="00000000">
        <w:rPr>
          <w:rtl w:val="0"/>
        </w:rPr>
      </w:r>
    </w:p>
    <w:p w:rsidR="00000000" w:rsidDel="00000000" w:rsidP="00000000" w:rsidRDefault="00000000" w:rsidRPr="00000000" w14:paraId="00000022">
      <w:pPr>
        <w:spacing w:after="160" w:before="80" w:lineRule="auto"/>
        <w:jc w:val="both"/>
        <w:rPr/>
      </w:pPr>
      <w:r w:rsidDel="00000000" w:rsidR="00000000" w:rsidRPr="00000000">
        <w:rPr>
          <w:rFonts w:ascii="Arial" w:cs="Arial" w:eastAsia="Arial" w:hAnsi="Arial"/>
          <w:sz w:val="24"/>
          <w:szCs w:val="24"/>
          <w:rtl w:val="0"/>
        </w:rPr>
        <w:t xml:space="preserve">Artificial networks suffer from catastrophic forgetting: when trained on a new task, they tend to overwrite weights encoding previously learned tasks. Biological systems acquire new knowledge continuously without erasing old memories—a process supported by complementary learning systems in the hippocampus (rapid, episodic encoding) and neocortex (slow, statistical consolidation). Replay mechanisms during sleep appear critical to this process. Progress in continual machine learning remains nascent, and this remains one of the most important open problems in AI research.</w:t>
      </w:r>
      <w:r w:rsidDel="00000000" w:rsidR="00000000" w:rsidRPr="00000000">
        <w:rPr>
          <w:rtl w:val="0"/>
        </w:rPr>
      </w:r>
    </w:p>
    <w:p w:rsidR="00000000" w:rsidDel="00000000" w:rsidP="00000000" w:rsidRDefault="00000000" w:rsidRPr="00000000" w14:paraId="00000023">
      <w:pPr>
        <w:pStyle w:val="Heading2"/>
        <w:spacing w:after="120" w:before="240" w:lineRule="auto"/>
        <w:rPr/>
      </w:pPr>
      <w:r w:rsidDel="00000000" w:rsidR="00000000" w:rsidRPr="00000000">
        <w:rPr>
          <w:rFonts w:ascii="Arial" w:cs="Arial" w:eastAsia="Arial" w:hAnsi="Arial"/>
          <w:b w:val="1"/>
          <w:bCs w:val="1"/>
          <w:sz w:val="26"/>
          <w:szCs w:val="26"/>
          <w:rtl w:val="0"/>
        </w:rPr>
        <w:t xml:space="preserve">3.5 Interpretability and Representation</w:t>
      </w:r>
      <w:r w:rsidDel="00000000" w:rsidR="00000000" w:rsidRPr="00000000">
        <w:rPr>
          <w:rtl w:val="0"/>
        </w:rPr>
      </w:r>
    </w:p>
    <w:p w:rsidR="00000000" w:rsidDel="00000000" w:rsidP="00000000" w:rsidRDefault="00000000" w:rsidRPr="00000000" w14:paraId="00000024">
      <w:pPr>
        <w:spacing w:after="160" w:before="80" w:lineRule="auto"/>
        <w:jc w:val="both"/>
        <w:rPr/>
      </w:pPr>
      <w:r w:rsidDel="00000000" w:rsidR="00000000" w:rsidRPr="00000000">
        <w:rPr>
          <w:rFonts w:ascii="Arial" w:cs="Arial" w:eastAsia="Arial" w:hAnsi="Arial"/>
          <w:sz w:val="24"/>
          <w:szCs w:val="24"/>
          <w:rtl w:val="0"/>
        </w:rPr>
        <w:t xml:space="preserve">The representations learned by deep artificial networks are difficult to interpret. Although techniques such as activation maximization and saliency mapping offer partial windows into network function, they fall short of the mechanistic understanding neuroscientists have developed for biological circuits. Conversely, biological representations are often highly structured—neurons in the hippocampus encode spatial position as place fields; grid cells form a Cartesian coordinate system—while artificial networks typically develop distributed, unstructured representations. Bridging this gap is both a scientific and engineering challenge with implications for AI safety and alignment.</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1"/>
        <w:spacing w:after="160" w:before="320" w:lineRule="auto"/>
        <w:rPr/>
      </w:pPr>
      <w:r w:rsidDel="00000000" w:rsidR="00000000" w:rsidRPr="00000000">
        <w:rPr>
          <w:rFonts w:ascii="Arial" w:cs="Arial" w:eastAsia="Arial" w:hAnsi="Arial"/>
          <w:b w:val="1"/>
          <w:bCs w:val="1"/>
          <w:sz w:val="32"/>
          <w:szCs w:val="32"/>
          <w:rtl w:val="0"/>
        </w:rPr>
        <w:t xml:space="preserve">Conclusion</w:t>
      </w:r>
      <w:r w:rsidDel="00000000" w:rsidR="00000000" w:rsidRPr="00000000">
        <w:rPr>
          <w:rtl w:val="0"/>
        </w:rPr>
      </w:r>
    </w:p>
    <w:p w:rsidR="00000000" w:rsidDel="00000000" w:rsidP="00000000" w:rsidRDefault="00000000" w:rsidRPr="00000000" w14:paraId="00000027">
      <w:pPr>
        <w:spacing w:after="160" w:before="80" w:lineRule="auto"/>
        <w:jc w:val="both"/>
        <w:rPr/>
      </w:pPr>
      <w:r w:rsidDel="00000000" w:rsidR="00000000" w:rsidRPr="00000000">
        <w:rPr>
          <w:rFonts w:ascii="Arial" w:cs="Arial" w:eastAsia="Arial" w:hAnsi="Arial"/>
          <w:sz w:val="24"/>
          <w:szCs w:val="24"/>
          <w:rtl w:val="0"/>
        </w:rPr>
        <w:t xml:space="preserve">This lab demonstrated that biological and artificial neurons share a fundamental computational motif—integrate inputs, apply a nonlinearity, emit an output—but diverge significantly in mechanism, dynamics, and efficiency. The biological all-or-none action potential maps most closely onto the step activation function, while sigmoid and tanh provide smooth, differentiable approximations suitable for gradient-based learning. Simple networks of artificial neurons, while capable of integrating information across inputs, lack the temporal richness, energy efficiency, and continual learning capacity of their biological counterparts.</w:t>
      </w:r>
      <w:r w:rsidDel="00000000" w:rsidR="00000000" w:rsidRPr="00000000">
        <w:rPr>
          <w:rtl w:val="0"/>
        </w:rPr>
      </w:r>
    </w:p>
    <w:p w:rsidR="00000000" w:rsidDel="00000000" w:rsidP="00000000" w:rsidRDefault="00000000" w:rsidRPr="00000000" w14:paraId="00000028">
      <w:pPr>
        <w:spacing w:after="160" w:before="80" w:lineRule="auto"/>
        <w:jc w:val="both"/>
        <w:rPr/>
      </w:pPr>
      <w:r w:rsidDel="00000000" w:rsidR="00000000" w:rsidRPr="00000000">
        <w:rPr>
          <w:rFonts w:ascii="Arial" w:cs="Arial" w:eastAsia="Arial" w:hAnsi="Arial"/>
          <w:sz w:val="24"/>
          <w:szCs w:val="24"/>
          <w:rtl w:val="0"/>
        </w:rPr>
        <w:t xml:space="preserve">The most productive path forward for AI likely lies in a deeper collaboration between neuroscience and machine learning: adopting sparsity, local learning rules, temporal coding, and neuromorphic hardware principles where they confer computational advantages, while retaining the algorithmic tractability that has made deep learning so successful. The brain is not a blueprint to be copied, but a proof of concept demonstrating what carbon-based information processing can achieve—and a profound source of inspiration for building more capable, efficient, and interpretable artificial systems.</w:t>
      </w: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jc w:val="right"/>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Bdr>
        <w:bottom w:color="cccccc" w:space="0" w:sz="4" w:val="single"/>
      </w:pBdr>
      <w:rPr/>
    </w:pPr>
    <w:r w:rsidDel="00000000" w:rsidR="00000000" w:rsidRPr="00000000">
      <w:rPr>
        <w:rFonts w:ascii="Arial" w:cs="Arial" w:eastAsia="Arial" w:hAnsi="Arial"/>
        <w:color w:val="888888"/>
        <w:sz w:val="18"/>
        <w:szCs w:val="18"/>
        <w:rtl w:val="0"/>
      </w:rPr>
      <w:t xml:space="preserve">Lab 03: Neural Information Processing — Written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8qWFFQw6ZxIgx1ycqHGvDjkxQg==">CgMxLjAaJAoBMBIfCh0IB0IZCgVBcmlhbBIQQXJpYWwgVW5pY29kZSBNUzgAciExY1FmYUQ0dk5QVW9QdDVLZ1c1bG04aDJ1QnRSWjlZc2w=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