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6F379" w14:textId="419B10DF" w:rsidR="003715E2" w:rsidRDefault="003715E2" w:rsidP="003715E2">
      <w:pPr>
        <w:rPr>
          <w:b/>
          <w:bCs/>
        </w:rPr>
      </w:pPr>
      <w:r w:rsidRPr="003715E2">
        <w:rPr>
          <w:b/>
          <w:bCs/>
        </w:rPr>
        <w:t>TAMV — Ecosistema Civilizacional Digital</w:t>
      </w:r>
    </w:p>
    <w:p w14:paraId="45D4CA2E" w14:textId="12A5F625" w:rsidR="003715E2" w:rsidRPr="003715E2" w:rsidRDefault="003715E2" w:rsidP="003715E2">
      <w:r>
        <w:rPr>
          <w:noProof/>
        </w:rPr>
        <w:drawing>
          <wp:inline distT="0" distB="0" distL="0" distR="0" wp14:anchorId="62AC4BE3" wp14:editId="6E8626A8">
            <wp:extent cx="5612130" cy="5612130"/>
            <wp:effectExtent l="0" t="0" r="7620" b="7620"/>
            <wp:docPr id="12462889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61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C3CBC" w14:textId="77777777" w:rsidR="003715E2" w:rsidRDefault="003715E2" w:rsidP="003715E2">
      <w:pPr>
        <w:rPr>
          <w:b/>
          <w:bCs/>
        </w:rPr>
      </w:pPr>
    </w:p>
    <w:p w14:paraId="16F8A0DE" w14:textId="77777777" w:rsidR="003715E2" w:rsidRDefault="003715E2" w:rsidP="003715E2">
      <w:pPr>
        <w:rPr>
          <w:b/>
          <w:bCs/>
        </w:rPr>
      </w:pPr>
      <w:r>
        <w:rPr>
          <w:b/>
          <w:bCs/>
        </w:rPr>
        <w:t>Autor: Edwin Oswaldo Castillo Trejo (Anubis Villaseñor) – CEO Fundador TAMV ONLINE</w:t>
      </w:r>
    </w:p>
    <w:p w14:paraId="5AF8D080" w14:textId="642C6A58" w:rsidR="003715E2" w:rsidRDefault="003715E2" w:rsidP="003715E2">
      <w:pPr>
        <w:rPr>
          <w:b/>
          <w:bCs/>
        </w:rPr>
      </w:pPr>
      <w:r>
        <w:rPr>
          <w:b/>
          <w:bCs/>
        </w:rPr>
        <w:t xml:space="preserve"> Febrero 2026</w:t>
      </w:r>
    </w:p>
    <w:p w14:paraId="07E61B9D" w14:textId="77777777" w:rsidR="003715E2" w:rsidRDefault="003715E2" w:rsidP="003715E2">
      <w:pPr>
        <w:rPr>
          <w:b/>
          <w:bCs/>
        </w:rPr>
      </w:pPr>
    </w:p>
    <w:p w14:paraId="14658269" w14:textId="77777777" w:rsidR="003715E2" w:rsidRDefault="003715E2" w:rsidP="003715E2">
      <w:pPr>
        <w:rPr>
          <w:b/>
          <w:bCs/>
        </w:rPr>
      </w:pPr>
    </w:p>
    <w:p w14:paraId="1EABB56E" w14:textId="77777777" w:rsidR="003715E2" w:rsidRDefault="003715E2" w:rsidP="003715E2">
      <w:pPr>
        <w:rPr>
          <w:b/>
          <w:bCs/>
        </w:rPr>
      </w:pPr>
    </w:p>
    <w:p w14:paraId="2ED32279" w14:textId="77777777" w:rsidR="003715E2" w:rsidRDefault="003715E2" w:rsidP="003715E2">
      <w:pPr>
        <w:rPr>
          <w:b/>
          <w:bCs/>
        </w:rPr>
      </w:pPr>
    </w:p>
    <w:p w14:paraId="0D4F8A29" w14:textId="77777777" w:rsidR="003715E2" w:rsidRDefault="003715E2" w:rsidP="003715E2">
      <w:pPr>
        <w:rPr>
          <w:b/>
          <w:bCs/>
        </w:rPr>
      </w:pPr>
    </w:p>
    <w:p w14:paraId="5F8C9DDB" w14:textId="77777777" w:rsidR="003715E2" w:rsidRDefault="003715E2" w:rsidP="003715E2">
      <w:pPr>
        <w:rPr>
          <w:b/>
          <w:bCs/>
        </w:rPr>
      </w:pPr>
    </w:p>
    <w:p w14:paraId="29A7511C" w14:textId="3F73FBB8" w:rsidR="003715E2" w:rsidRPr="003715E2" w:rsidRDefault="003715E2" w:rsidP="003715E2">
      <w:r w:rsidRPr="003715E2">
        <w:rPr>
          <w:b/>
          <w:bCs/>
        </w:rPr>
        <w:t>Arquitectura, fundamentos estratégicos y proyección institucional</w:t>
      </w:r>
    </w:p>
    <w:p w14:paraId="12DF653C" w14:textId="77777777" w:rsidR="003715E2" w:rsidRPr="003715E2" w:rsidRDefault="003715E2" w:rsidP="003715E2">
      <w:r w:rsidRPr="003715E2">
        <w:pict w14:anchorId="289637BF">
          <v:rect id="_x0000_i1068" style="width:0;height:1.5pt" o:hralign="center" o:hrstd="t" o:hr="t" fillcolor="#a0a0a0" stroked="f"/>
        </w:pict>
      </w:r>
    </w:p>
    <w:p w14:paraId="1F3B5BE8" w14:textId="77777777" w:rsidR="003715E2" w:rsidRPr="003715E2" w:rsidRDefault="003715E2" w:rsidP="003715E2">
      <w:pPr>
        <w:rPr>
          <w:b/>
          <w:bCs/>
        </w:rPr>
      </w:pPr>
      <w:r w:rsidRPr="003715E2">
        <w:rPr>
          <w:b/>
          <w:bCs/>
        </w:rPr>
        <w:t>1. TAMV como ecosistema civilizacional digital</w:t>
      </w:r>
    </w:p>
    <w:p w14:paraId="43419418" w14:textId="77777777" w:rsidR="003715E2" w:rsidRPr="003715E2" w:rsidRDefault="003715E2" w:rsidP="003715E2">
      <w:r w:rsidRPr="003715E2">
        <w:t xml:space="preserve">TAMV no se presenta como una plataforma tecnológica convencional ni como un producto XR aislado, sino como un </w:t>
      </w:r>
      <w:r w:rsidRPr="003715E2">
        <w:rPr>
          <w:b/>
          <w:bCs/>
        </w:rPr>
        <w:t>ecosistema civilizacional digital</w:t>
      </w:r>
      <w:r w:rsidRPr="003715E2">
        <w:t xml:space="preserve">: una infraestructura integral que articula </w:t>
      </w:r>
      <w:r w:rsidRPr="003715E2">
        <w:rPr>
          <w:b/>
          <w:bCs/>
        </w:rPr>
        <w:t>educación, cultura, gobernanza, economía digital e inteligencia artificial</w:t>
      </w:r>
      <w:r w:rsidRPr="003715E2">
        <w:t>, bajo principios explícitos de dignidad, justicia relacional y memoria colectiva.</w:t>
      </w:r>
    </w:p>
    <w:p w14:paraId="45DB3B21" w14:textId="77777777" w:rsidR="003715E2" w:rsidRPr="003715E2" w:rsidRDefault="003715E2" w:rsidP="003715E2">
      <w:r w:rsidRPr="003715E2">
        <w:t xml:space="preserve">A diferencia de los entornos digitales orientados exclusivamente a la experiencia, TAMV propone un </w:t>
      </w:r>
      <w:r w:rsidRPr="003715E2">
        <w:rPr>
          <w:b/>
          <w:bCs/>
        </w:rPr>
        <w:t>marco sistémico</w:t>
      </w:r>
      <w:r w:rsidRPr="003715E2">
        <w:t xml:space="preserve"> donde los espacios XR, los agentes de IA, los sistemas económicos y los mecanismos de gobernanza operan de manera interdependiente. Esta concepción lo sitúa más cerca de un </w:t>
      </w:r>
      <w:r w:rsidRPr="003715E2">
        <w:rPr>
          <w:b/>
          <w:bCs/>
        </w:rPr>
        <w:t>sistema operativo socio-cultural</w:t>
      </w:r>
      <w:r w:rsidRPr="003715E2">
        <w:t xml:space="preserve"> que de un metaverso en sentido clásico.</w:t>
      </w:r>
    </w:p>
    <w:p w14:paraId="067835BC" w14:textId="77777777" w:rsidR="003715E2" w:rsidRPr="003715E2" w:rsidRDefault="003715E2" w:rsidP="003715E2">
      <w:r w:rsidRPr="003715E2">
        <w:t>El ecosistema integra:</w:t>
      </w:r>
    </w:p>
    <w:p w14:paraId="4CB2317B" w14:textId="77777777" w:rsidR="003715E2" w:rsidRPr="003715E2" w:rsidRDefault="003715E2" w:rsidP="003715E2">
      <w:pPr>
        <w:numPr>
          <w:ilvl w:val="0"/>
          <w:numId w:val="1"/>
        </w:numPr>
      </w:pPr>
      <w:r w:rsidRPr="003715E2">
        <w:rPr>
          <w:b/>
          <w:bCs/>
        </w:rPr>
        <w:t>Entornos XR inmersivos</w:t>
      </w:r>
      <w:r w:rsidRPr="003715E2">
        <w:t xml:space="preserve"> (</w:t>
      </w:r>
      <w:proofErr w:type="spellStart"/>
      <w:r w:rsidRPr="003715E2">
        <w:t>DreamSpaces</w:t>
      </w:r>
      <w:proofErr w:type="spellEnd"/>
      <w:r w:rsidRPr="003715E2">
        <w:t>, ciudades educativas, aulas y espacios culturales).</w:t>
      </w:r>
    </w:p>
    <w:p w14:paraId="6B2120C2" w14:textId="77777777" w:rsidR="003715E2" w:rsidRPr="003715E2" w:rsidRDefault="003715E2" w:rsidP="003715E2">
      <w:pPr>
        <w:numPr>
          <w:ilvl w:val="0"/>
          <w:numId w:val="1"/>
        </w:numPr>
      </w:pPr>
      <w:r w:rsidRPr="003715E2">
        <w:rPr>
          <w:b/>
          <w:bCs/>
        </w:rPr>
        <w:t>IA civilizacional</w:t>
      </w:r>
      <w:r w:rsidRPr="003715E2">
        <w:t xml:space="preserve"> orientada a mediación, acompañamiento y protección.</w:t>
      </w:r>
    </w:p>
    <w:p w14:paraId="70F2B3F3" w14:textId="77777777" w:rsidR="003715E2" w:rsidRPr="003715E2" w:rsidRDefault="003715E2" w:rsidP="003715E2">
      <w:pPr>
        <w:numPr>
          <w:ilvl w:val="0"/>
          <w:numId w:val="1"/>
        </w:numPr>
      </w:pPr>
      <w:r w:rsidRPr="003715E2">
        <w:rPr>
          <w:b/>
          <w:bCs/>
        </w:rPr>
        <w:t>Gobernanza participativa</w:t>
      </w:r>
      <w:r w:rsidRPr="003715E2">
        <w:t>, con protocolos claros de decisión, auditoría y resolución de conflictos.</w:t>
      </w:r>
    </w:p>
    <w:p w14:paraId="29EE6CB0" w14:textId="77777777" w:rsidR="003715E2" w:rsidRPr="003715E2" w:rsidRDefault="003715E2" w:rsidP="003715E2">
      <w:pPr>
        <w:numPr>
          <w:ilvl w:val="0"/>
          <w:numId w:val="1"/>
        </w:numPr>
      </w:pPr>
      <w:r w:rsidRPr="003715E2">
        <w:rPr>
          <w:b/>
          <w:bCs/>
        </w:rPr>
        <w:t>Economía digital ética</w:t>
      </w:r>
      <w:r w:rsidRPr="003715E2">
        <w:t>, basada en membresías, tokens funcionales y distribución responsable de valor.</w:t>
      </w:r>
    </w:p>
    <w:p w14:paraId="3ACC55B5" w14:textId="77777777" w:rsidR="003715E2" w:rsidRPr="003715E2" w:rsidRDefault="003715E2" w:rsidP="003715E2">
      <w:pPr>
        <w:numPr>
          <w:ilvl w:val="0"/>
          <w:numId w:val="1"/>
        </w:numPr>
      </w:pPr>
      <w:r w:rsidRPr="003715E2">
        <w:rPr>
          <w:b/>
          <w:bCs/>
        </w:rPr>
        <w:t>Memoria probatoria y trazabilidad</w:t>
      </w:r>
      <w:r w:rsidRPr="003715E2">
        <w:t>, como base de legitimidad institucional.</w:t>
      </w:r>
    </w:p>
    <w:p w14:paraId="4C00DC51" w14:textId="77777777" w:rsidR="003715E2" w:rsidRPr="003715E2" w:rsidRDefault="003715E2" w:rsidP="003715E2">
      <w:r w:rsidRPr="003715E2">
        <w:pict w14:anchorId="25E5688A">
          <v:rect id="_x0000_i1069" style="width:0;height:1.5pt" o:hralign="center" o:hrstd="t" o:hr="t" fillcolor="#a0a0a0" stroked="f"/>
        </w:pict>
      </w:r>
    </w:p>
    <w:p w14:paraId="5810E7EA" w14:textId="77777777" w:rsidR="003715E2" w:rsidRPr="003715E2" w:rsidRDefault="003715E2" w:rsidP="003715E2">
      <w:pPr>
        <w:rPr>
          <w:b/>
          <w:bCs/>
        </w:rPr>
      </w:pPr>
      <w:r w:rsidRPr="003715E2">
        <w:rPr>
          <w:b/>
          <w:bCs/>
        </w:rPr>
        <w:t>2. Fundamentos conceptuales y respaldo en la literatura</w:t>
      </w:r>
    </w:p>
    <w:p w14:paraId="1B9DE9B5" w14:textId="77777777" w:rsidR="003715E2" w:rsidRPr="003715E2" w:rsidRDefault="003715E2" w:rsidP="003715E2">
      <w:r w:rsidRPr="003715E2">
        <w:t>Aunque TAMV no surge desde una institución académica tradicional, su arquitectura converge de forma consistente con líneas consolidadas de investigación y política pública digital.</w:t>
      </w:r>
    </w:p>
    <w:p w14:paraId="141B753C" w14:textId="77777777" w:rsidR="003715E2" w:rsidRPr="003715E2" w:rsidRDefault="003715E2" w:rsidP="003715E2">
      <w:pPr>
        <w:rPr>
          <w:b/>
          <w:bCs/>
        </w:rPr>
      </w:pPr>
      <w:r w:rsidRPr="003715E2">
        <w:rPr>
          <w:b/>
          <w:bCs/>
        </w:rPr>
        <w:lastRenderedPageBreak/>
        <w:t>2.1 Entornos digitales y reparación del daño relacional</w:t>
      </w:r>
    </w:p>
    <w:p w14:paraId="7C6D4646" w14:textId="77777777" w:rsidR="003715E2" w:rsidRPr="003715E2" w:rsidRDefault="003715E2" w:rsidP="003715E2">
      <w:r w:rsidRPr="003715E2">
        <w:t xml:space="preserve">La literatura sobre </w:t>
      </w:r>
      <w:proofErr w:type="spellStart"/>
      <w:r w:rsidRPr="003715E2">
        <w:t>bullying</w:t>
      </w:r>
      <w:proofErr w:type="spellEnd"/>
      <w:r w:rsidRPr="003715E2">
        <w:t xml:space="preserve">, exclusión y daño relacional muestra que los entornos digitales mal gobernados tienden a reproducir y amplificar desigualdades. TAMV responde a esta evidencia incorporando, desde el diseño, </w:t>
      </w:r>
      <w:r w:rsidRPr="003715E2">
        <w:rPr>
          <w:b/>
          <w:bCs/>
        </w:rPr>
        <w:t>mecanismos de protección, reparación y participación significativa</w:t>
      </w:r>
      <w:r w:rsidRPr="003715E2">
        <w:t>, evitando que la moderación y la justicia sean procesos opacos o arbitrarios.</w:t>
      </w:r>
    </w:p>
    <w:p w14:paraId="072DF693" w14:textId="77777777" w:rsidR="003715E2" w:rsidRPr="003715E2" w:rsidRDefault="003715E2" w:rsidP="003715E2">
      <w:pPr>
        <w:rPr>
          <w:b/>
          <w:bCs/>
        </w:rPr>
      </w:pPr>
      <w:r w:rsidRPr="003715E2">
        <w:rPr>
          <w:b/>
          <w:bCs/>
        </w:rPr>
        <w:t>2.2 De plataformas a ecosistemas de aprendizaje</w:t>
      </w:r>
    </w:p>
    <w:p w14:paraId="095924B8" w14:textId="77777777" w:rsidR="003715E2" w:rsidRPr="003715E2" w:rsidRDefault="003715E2" w:rsidP="003715E2">
      <w:r w:rsidRPr="003715E2">
        <w:t xml:space="preserve">Las tendencias internacionales en educación digital destacan la necesidad de pasar de herramientas cerradas a </w:t>
      </w:r>
      <w:r w:rsidRPr="003715E2">
        <w:rPr>
          <w:b/>
          <w:bCs/>
        </w:rPr>
        <w:t>ecosistemas abiertos</w:t>
      </w:r>
      <w:r w:rsidRPr="003715E2">
        <w:t>, capaces de articular múltiples actores (escuelas, docentes, estudiantes, comunidades culturales). TAMV se alinea con este enfoque al concebirse como infraestructura compartida, adaptable a contextos educativos, culturales y comunitarios diversos.</w:t>
      </w:r>
    </w:p>
    <w:p w14:paraId="3BE26CFA" w14:textId="77777777" w:rsidR="003715E2" w:rsidRPr="003715E2" w:rsidRDefault="003715E2" w:rsidP="003715E2">
      <w:pPr>
        <w:rPr>
          <w:b/>
          <w:bCs/>
        </w:rPr>
      </w:pPr>
      <w:r w:rsidRPr="003715E2">
        <w:rPr>
          <w:b/>
          <w:bCs/>
        </w:rPr>
        <w:t>2.3 XR para aprendizaje profundo y compromiso</w:t>
      </w:r>
    </w:p>
    <w:p w14:paraId="787B8D41" w14:textId="77777777" w:rsidR="003715E2" w:rsidRPr="003715E2" w:rsidRDefault="003715E2" w:rsidP="003715E2">
      <w:r w:rsidRPr="003715E2">
        <w:t xml:space="preserve">La evidencia sobre XR y metaverso educativo indica mejoras en retención, motivación y comprensión cuando los usuarios </w:t>
      </w:r>
      <w:r w:rsidRPr="003715E2">
        <w:rPr>
          <w:b/>
          <w:bCs/>
        </w:rPr>
        <w:t>actúan, deciden y participan</w:t>
      </w:r>
      <w:r w:rsidRPr="003715E2">
        <w:t xml:space="preserve"> en entornos inmersivos bien diseñados. TAMV incorpora estos principios, pero los expande integrando gobernanza, economía y memoria, superando el uso episódico de XR como recurso didáctico aislado.</w:t>
      </w:r>
    </w:p>
    <w:p w14:paraId="36E70008" w14:textId="77777777" w:rsidR="003715E2" w:rsidRPr="003715E2" w:rsidRDefault="003715E2" w:rsidP="003715E2">
      <w:r w:rsidRPr="003715E2">
        <w:pict w14:anchorId="6CE83AEA">
          <v:rect id="_x0000_i1070" style="width:0;height:1.5pt" o:hralign="center" o:hrstd="t" o:hr="t" fillcolor="#a0a0a0" stroked="f"/>
        </w:pict>
      </w:r>
    </w:p>
    <w:p w14:paraId="56F911D7" w14:textId="77777777" w:rsidR="003715E2" w:rsidRPr="003715E2" w:rsidRDefault="003715E2" w:rsidP="003715E2">
      <w:pPr>
        <w:rPr>
          <w:b/>
          <w:bCs/>
        </w:rPr>
      </w:pPr>
      <w:r w:rsidRPr="003715E2">
        <w:rPr>
          <w:b/>
          <w:bCs/>
        </w:rPr>
        <w:t>3. Arquitectura de seguridad, gobernanza y resiliencia</w:t>
      </w:r>
    </w:p>
    <w:p w14:paraId="2C2E4444" w14:textId="77777777" w:rsidR="003715E2" w:rsidRPr="003715E2" w:rsidRDefault="003715E2" w:rsidP="003715E2">
      <w:r w:rsidRPr="003715E2">
        <w:t xml:space="preserve">Uno de los rasgos distintivos de TAMV es su enfoque en </w:t>
      </w:r>
      <w:r w:rsidRPr="003715E2">
        <w:rPr>
          <w:b/>
          <w:bCs/>
        </w:rPr>
        <w:t>seguridad sistémica y resiliencia</w:t>
      </w:r>
      <w:r w:rsidRPr="003715E2">
        <w:t xml:space="preserve">, entendidas no como control autoritario, sino como </w:t>
      </w:r>
      <w:r w:rsidRPr="003715E2">
        <w:rPr>
          <w:b/>
          <w:bCs/>
        </w:rPr>
        <w:t>condición de posibilidad para la confianza y la convivencia digital</w:t>
      </w:r>
      <w:r w:rsidRPr="003715E2">
        <w:t>.</w:t>
      </w:r>
    </w:p>
    <w:p w14:paraId="05FDB268" w14:textId="77777777" w:rsidR="003715E2" w:rsidRPr="003715E2" w:rsidRDefault="003715E2" w:rsidP="003715E2">
      <w:r w:rsidRPr="003715E2">
        <w:t>El ecosistema incorpora:</w:t>
      </w:r>
    </w:p>
    <w:p w14:paraId="70B2011E" w14:textId="77777777" w:rsidR="003715E2" w:rsidRPr="003715E2" w:rsidRDefault="003715E2" w:rsidP="003715E2">
      <w:pPr>
        <w:numPr>
          <w:ilvl w:val="0"/>
          <w:numId w:val="2"/>
        </w:numPr>
      </w:pPr>
      <w:r w:rsidRPr="003715E2">
        <w:rPr>
          <w:b/>
          <w:bCs/>
        </w:rPr>
        <w:t>Sistemas de monitoreo y protección</w:t>
      </w:r>
      <w:r w:rsidRPr="003715E2">
        <w:t xml:space="preserve"> (Anubis, Horus, Osiris) orientados a detectar abusos, amenazas y comportamientos maliciosos.</w:t>
      </w:r>
    </w:p>
    <w:p w14:paraId="77E1C4B8" w14:textId="77777777" w:rsidR="003715E2" w:rsidRPr="003715E2" w:rsidRDefault="003715E2" w:rsidP="003715E2">
      <w:pPr>
        <w:numPr>
          <w:ilvl w:val="0"/>
          <w:numId w:val="2"/>
        </w:numPr>
      </w:pPr>
      <w:r w:rsidRPr="003715E2">
        <w:rPr>
          <w:b/>
          <w:bCs/>
        </w:rPr>
        <w:t>Protocolos operativos escalonados</w:t>
      </w:r>
      <w:r w:rsidRPr="003715E2">
        <w:t xml:space="preserve"> (modos de operación A–D) que permiten responder de forma proporcional ante incidentes, fallas técnicas o ataques coordinados.</w:t>
      </w:r>
    </w:p>
    <w:p w14:paraId="2B44CB8B" w14:textId="77777777" w:rsidR="003715E2" w:rsidRPr="003715E2" w:rsidRDefault="003715E2" w:rsidP="003715E2">
      <w:pPr>
        <w:numPr>
          <w:ilvl w:val="0"/>
          <w:numId w:val="2"/>
        </w:numPr>
      </w:pPr>
      <w:r w:rsidRPr="003715E2">
        <w:rPr>
          <w:b/>
          <w:bCs/>
        </w:rPr>
        <w:t>Memoria probatoria inmutable</w:t>
      </w:r>
      <w:r w:rsidRPr="003715E2">
        <w:t xml:space="preserve"> (</w:t>
      </w:r>
      <w:proofErr w:type="spellStart"/>
      <w:r w:rsidRPr="003715E2">
        <w:t>BookPI</w:t>
      </w:r>
      <w:proofErr w:type="spellEnd"/>
      <w:r w:rsidRPr="003715E2">
        <w:t xml:space="preserve"> / MSR), que registra decisiones, eventos críticos y justificaciones, permitiendo auditoría y rendición de cuentas.</w:t>
      </w:r>
    </w:p>
    <w:p w14:paraId="0941615A" w14:textId="77777777" w:rsidR="003715E2" w:rsidRPr="003715E2" w:rsidRDefault="003715E2" w:rsidP="003715E2">
      <w:r w:rsidRPr="003715E2">
        <w:lastRenderedPageBreak/>
        <w:t>Este diseño responde a consensos ampliamente documentados en la literatura sobre plataformas digitales de gran escala: sin transparencia, trazabilidad y mecanismos claros de responsabilidad, la confianza institucional se erosiona rápidamente, especialmente cuando interviene inteligencia artificial o se gestionan bienes públicos como educación y cultura.</w:t>
      </w:r>
    </w:p>
    <w:p w14:paraId="2C40629C" w14:textId="77777777" w:rsidR="003715E2" w:rsidRPr="003715E2" w:rsidRDefault="003715E2" w:rsidP="003715E2">
      <w:r w:rsidRPr="003715E2">
        <w:pict w14:anchorId="24291979">
          <v:rect id="_x0000_i1071" style="width:0;height:1.5pt" o:hralign="center" o:hrstd="t" o:hr="t" fillcolor="#a0a0a0" stroked="f"/>
        </w:pict>
      </w:r>
    </w:p>
    <w:p w14:paraId="3D13B4E4" w14:textId="77777777" w:rsidR="003715E2" w:rsidRPr="003715E2" w:rsidRDefault="003715E2" w:rsidP="003715E2">
      <w:pPr>
        <w:rPr>
          <w:b/>
          <w:bCs/>
        </w:rPr>
      </w:pPr>
      <w:r w:rsidRPr="003715E2">
        <w:rPr>
          <w:b/>
          <w:bCs/>
        </w:rPr>
        <w:t>4. Diferenciación frente a otros proyectos XR</w:t>
      </w:r>
    </w:p>
    <w:p w14:paraId="380F6DD7" w14:textId="77777777" w:rsidR="003715E2" w:rsidRPr="003715E2" w:rsidRDefault="003715E2" w:rsidP="003715E2">
      <w:r w:rsidRPr="003715E2">
        <w:t>TAMV se distingue de otros proyectos XR —incluidos desarrollos previos de su fundador— en varios niveles clave:</w:t>
      </w:r>
    </w:p>
    <w:p w14:paraId="42F590DF" w14:textId="77777777" w:rsidR="003715E2" w:rsidRPr="003715E2" w:rsidRDefault="003715E2" w:rsidP="003715E2">
      <w:pPr>
        <w:numPr>
          <w:ilvl w:val="0"/>
          <w:numId w:val="3"/>
        </w:numPr>
      </w:pPr>
      <w:r w:rsidRPr="003715E2">
        <w:rPr>
          <w:b/>
          <w:bCs/>
        </w:rPr>
        <w:t>Alcance sistémico</w:t>
      </w:r>
      <w:r w:rsidRPr="003715E2">
        <w:t>: mientras que muchos metaversos se centran en entretenimiento o eventos, TAMV integra XR con educación formal, mediación cultural, economía y gobernanza.</w:t>
      </w:r>
    </w:p>
    <w:p w14:paraId="61C38497" w14:textId="77777777" w:rsidR="003715E2" w:rsidRPr="003715E2" w:rsidRDefault="003715E2" w:rsidP="003715E2">
      <w:pPr>
        <w:numPr>
          <w:ilvl w:val="0"/>
          <w:numId w:val="3"/>
        </w:numPr>
      </w:pPr>
      <w:r w:rsidRPr="003715E2">
        <w:rPr>
          <w:b/>
          <w:bCs/>
        </w:rPr>
        <w:t>Gobernanza explícita</w:t>
      </w:r>
      <w:r w:rsidRPr="003715E2">
        <w:t>: la toma de decisiones, la resolución de conflictos y la protección de derechos no son capas externas, sino módulos centrales del sistema.</w:t>
      </w:r>
    </w:p>
    <w:p w14:paraId="24C27CEF" w14:textId="77777777" w:rsidR="003715E2" w:rsidRPr="003715E2" w:rsidRDefault="003715E2" w:rsidP="003715E2">
      <w:pPr>
        <w:numPr>
          <w:ilvl w:val="0"/>
          <w:numId w:val="3"/>
        </w:numPr>
      </w:pPr>
      <w:r w:rsidRPr="003715E2">
        <w:rPr>
          <w:b/>
          <w:bCs/>
        </w:rPr>
        <w:t>Profundidad pedagógica</w:t>
      </w:r>
      <w:r w:rsidRPr="003715E2">
        <w:t>: el diseño del ecosistema responde explícitamente a enfoques de aprendizaje activo, proyectos colaborativos y formación continua.</w:t>
      </w:r>
    </w:p>
    <w:p w14:paraId="543F9BC3" w14:textId="77777777" w:rsidR="003715E2" w:rsidRPr="003715E2" w:rsidRDefault="003715E2" w:rsidP="003715E2">
      <w:pPr>
        <w:numPr>
          <w:ilvl w:val="0"/>
          <w:numId w:val="3"/>
        </w:numPr>
      </w:pPr>
      <w:r w:rsidRPr="003715E2">
        <w:rPr>
          <w:b/>
          <w:bCs/>
        </w:rPr>
        <w:t>IA como infraestructura ética</w:t>
      </w:r>
      <w:r w:rsidRPr="003715E2">
        <w:t xml:space="preserve">: la IA no se limita a asistentes o automatización, sino que opera como parte de un </w:t>
      </w:r>
      <w:r w:rsidRPr="003715E2">
        <w:rPr>
          <w:b/>
          <w:bCs/>
        </w:rPr>
        <w:t>núcleo civilizatorio</w:t>
      </w:r>
      <w:r w:rsidRPr="003715E2">
        <w:t>, sujeto a principios auditables y comprensibles para actores educativos e institucionales.</w:t>
      </w:r>
    </w:p>
    <w:p w14:paraId="274777DC" w14:textId="77777777" w:rsidR="003715E2" w:rsidRPr="003715E2" w:rsidRDefault="003715E2" w:rsidP="003715E2">
      <w:r w:rsidRPr="003715E2">
        <w:t xml:space="preserve">En este sentido, TAMV no es simplemente una evolución de experiencias XR previas, sino su </w:t>
      </w:r>
      <w:r w:rsidRPr="003715E2">
        <w:rPr>
          <w:b/>
          <w:bCs/>
        </w:rPr>
        <w:t>síntesis elevada a escala civilizatoria</w:t>
      </w:r>
      <w:r w:rsidRPr="003715E2">
        <w:t>.</w:t>
      </w:r>
    </w:p>
    <w:p w14:paraId="7BCDFB99" w14:textId="77777777" w:rsidR="003715E2" w:rsidRPr="003715E2" w:rsidRDefault="003715E2" w:rsidP="003715E2">
      <w:r w:rsidRPr="003715E2">
        <w:pict w14:anchorId="57C2F12D">
          <v:rect id="_x0000_i1072" style="width:0;height:1.5pt" o:hralign="center" o:hrstd="t" o:hr="t" fillcolor="#a0a0a0" stroked="f"/>
        </w:pict>
      </w:r>
    </w:p>
    <w:p w14:paraId="283A2421" w14:textId="77777777" w:rsidR="003715E2" w:rsidRPr="003715E2" w:rsidRDefault="003715E2" w:rsidP="003715E2">
      <w:pPr>
        <w:rPr>
          <w:b/>
          <w:bCs/>
        </w:rPr>
      </w:pPr>
      <w:r w:rsidRPr="003715E2">
        <w:rPr>
          <w:b/>
          <w:bCs/>
        </w:rPr>
        <w:t>5. Fase actual y proyección estratégica</w:t>
      </w:r>
    </w:p>
    <w:p w14:paraId="5988D017" w14:textId="77777777" w:rsidR="003715E2" w:rsidRPr="003715E2" w:rsidRDefault="003715E2" w:rsidP="003715E2">
      <w:r w:rsidRPr="003715E2">
        <w:t xml:space="preserve">TAMV se encuentra en una transición clave: de un desarrollo altamente centralizado a un </w:t>
      </w:r>
      <w:r w:rsidRPr="003715E2">
        <w:rPr>
          <w:b/>
          <w:bCs/>
        </w:rPr>
        <w:t>ecosistema colaborativo y compartido</w:t>
      </w:r>
      <w:r w:rsidRPr="003715E2">
        <w:t>.</w:t>
      </w:r>
    </w:p>
    <w:p w14:paraId="70A3F4D8" w14:textId="77777777" w:rsidR="003715E2" w:rsidRPr="003715E2" w:rsidRDefault="003715E2" w:rsidP="003715E2">
      <w:r w:rsidRPr="003715E2">
        <w:t>Las líneas estratégicas prioritarias incluyen:</w:t>
      </w:r>
    </w:p>
    <w:p w14:paraId="5CF4F149" w14:textId="77777777" w:rsidR="003715E2" w:rsidRPr="003715E2" w:rsidRDefault="003715E2" w:rsidP="003715E2">
      <w:pPr>
        <w:rPr>
          <w:b/>
          <w:bCs/>
        </w:rPr>
      </w:pPr>
      <w:r w:rsidRPr="003715E2">
        <w:rPr>
          <w:b/>
          <w:bCs/>
        </w:rPr>
        <w:t>5.1 Alianzas pedagógicas y culturales</w:t>
      </w:r>
    </w:p>
    <w:p w14:paraId="3BD9703C" w14:textId="77777777" w:rsidR="003715E2" w:rsidRPr="003715E2" w:rsidRDefault="003715E2" w:rsidP="003715E2">
      <w:r w:rsidRPr="003715E2">
        <w:lastRenderedPageBreak/>
        <w:t xml:space="preserve">Construcción de pilotos con docentes, mediadores culturales, bibliotecas, librerías y comunidades educativas, </w:t>
      </w:r>
      <w:proofErr w:type="spellStart"/>
      <w:r w:rsidRPr="003715E2">
        <w:t>co-diseñando</w:t>
      </w:r>
      <w:proofErr w:type="spellEnd"/>
      <w:r w:rsidRPr="003715E2">
        <w:t xml:space="preserve"> experiencias XR con sentido pedagógico y social.</w:t>
      </w:r>
    </w:p>
    <w:p w14:paraId="1FB38B29" w14:textId="77777777" w:rsidR="003715E2" w:rsidRPr="003715E2" w:rsidRDefault="003715E2" w:rsidP="003715E2">
      <w:pPr>
        <w:rPr>
          <w:b/>
          <w:bCs/>
        </w:rPr>
      </w:pPr>
      <w:r w:rsidRPr="003715E2">
        <w:rPr>
          <w:b/>
          <w:bCs/>
        </w:rPr>
        <w:t>5.2 Consolidación del núcleo técnico</w:t>
      </w:r>
    </w:p>
    <w:p w14:paraId="45EE63CF" w14:textId="77777777" w:rsidR="003715E2" w:rsidRPr="003715E2" w:rsidRDefault="003715E2" w:rsidP="003715E2">
      <w:r w:rsidRPr="003715E2">
        <w:t xml:space="preserve">Estabilización de la arquitectura XR y del </w:t>
      </w:r>
      <w:proofErr w:type="spellStart"/>
      <w:r w:rsidRPr="003715E2">
        <w:t>runtime</w:t>
      </w:r>
      <w:proofErr w:type="spellEnd"/>
      <w:r w:rsidRPr="003715E2">
        <w:t xml:space="preserve"> civilizatorio (IA, seguridad, economía y memoria), garantizando coherencia, escalabilidad y auditabilidad.</w:t>
      </w:r>
    </w:p>
    <w:p w14:paraId="6577D3B7" w14:textId="77777777" w:rsidR="003715E2" w:rsidRPr="003715E2" w:rsidRDefault="003715E2" w:rsidP="003715E2">
      <w:pPr>
        <w:rPr>
          <w:b/>
          <w:bCs/>
        </w:rPr>
      </w:pPr>
      <w:r w:rsidRPr="003715E2">
        <w:rPr>
          <w:b/>
          <w:bCs/>
        </w:rPr>
        <w:t>5.3 Implementación en contextos reales</w:t>
      </w:r>
    </w:p>
    <w:p w14:paraId="4101F350" w14:textId="77777777" w:rsidR="003715E2" w:rsidRPr="003715E2" w:rsidRDefault="003715E2" w:rsidP="003715E2">
      <w:r w:rsidRPr="003715E2">
        <w:t>Despliegue de pilotos con comunidades concretas para recoger evidencia cualitativa y cuantitativa sobre participación, motivación, aprendizaje y percepción de justicia y cuidado.</w:t>
      </w:r>
    </w:p>
    <w:p w14:paraId="02E02A1E" w14:textId="77777777" w:rsidR="003715E2" w:rsidRPr="003715E2" w:rsidRDefault="003715E2" w:rsidP="003715E2">
      <w:pPr>
        <w:rPr>
          <w:b/>
          <w:bCs/>
        </w:rPr>
      </w:pPr>
      <w:r w:rsidRPr="003715E2">
        <w:rPr>
          <w:b/>
          <w:bCs/>
        </w:rPr>
        <w:t>5.4 Gobernanza compartida</w:t>
      </w:r>
    </w:p>
    <w:p w14:paraId="6CBC8382" w14:textId="77777777" w:rsidR="003715E2" w:rsidRPr="003715E2" w:rsidRDefault="003715E2" w:rsidP="003715E2">
      <w:r w:rsidRPr="003715E2">
        <w:t>Evolución hacia modelos donde educadores, estudiantes, comunidades e instituciones tengan voz real en la evolución del ecosistema, evitando dinámicas de exclusión y concentración de poder.</w:t>
      </w:r>
    </w:p>
    <w:p w14:paraId="170DFE6E" w14:textId="77777777" w:rsidR="003715E2" w:rsidRPr="003715E2" w:rsidRDefault="003715E2" w:rsidP="003715E2">
      <w:pPr>
        <w:rPr>
          <w:b/>
          <w:bCs/>
        </w:rPr>
      </w:pPr>
      <w:r w:rsidRPr="003715E2">
        <w:rPr>
          <w:b/>
          <w:bCs/>
        </w:rPr>
        <w:t>5.5 Vinculación institucional e internacional</w:t>
      </w:r>
    </w:p>
    <w:p w14:paraId="0EE6713E" w14:textId="77777777" w:rsidR="003715E2" w:rsidRPr="003715E2" w:rsidRDefault="003715E2" w:rsidP="003715E2">
      <w:r w:rsidRPr="003715E2">
        <w:t>Exploración de alianzas con redes y programas dedicados a educación digital, XR y formación docente, alineando TAMV con agendas globales de transformación educativa.</w:t>
      </w:r>
    </w:p>
    <w:p w14:paraId="3993229A" w14:textId="77777777" w:rsidR="003715E2" w:rsidRPr="003715E2" w:rsidRDefault="003715E2" w:rsidP="003715E2">
      <w:r w:rsidRPr="003715E2">
        <w:pict w14:anchorId="6CAB2A5B">
          <v:rect id="_x0000_i1073" style="width:0;height:1.5pt" o:hralign="center" o:hrstd="t" o:hr="t" fillcolor="#a0a0a0" stroked="f"/>
        </w:pict>
      </w:r>
    </w:p>
    <w:p w14:paraId="5CA347EF" w14:textId="4B1D6806" w:rsidR="003715E2" w:rsidRPr="003715E2" w:rsidRDefault="003715E2" w:rsidP="003715E2">
      <w:pPr>
        <w:rPr>
          <w:b/>
          <w:bCs/>
        </w:rPr>
      </w:pPr>
    </w:p>
    <w:p w14:paraId="7F0B7B6E" w14:textId="77777777" w:rsidR="003715E2" w:rsidRPr="003715E2" w:rsidRDefault="003715E2" w:rsidP="003715E2">
      <w:r w:rsidRPr="003715E2">
        <w:t>TAMV se posiciona como una propuesta singular dentro del panorama digital contemporáneo:</w:t>
      </w:r>
      <w:r w:rsidRPr="003715E2">
        <w:br/>
        <w:t xml:space="preserve">un </w:t>
      </w:r>
      <w:r w:rsidRPr="003715E2">
        <w:rPr>
          <w:b/>
          <w:bCs/>
        </w:rPr>
        <w:t>ecosistema civilizacional</w:t>
      </w:r>
      <w:r w:rsidRPr="003715E2">
        <w:t xml:space="preserve"> que integra tecnología inmersiva, inteligencia artificial, gobernanza y economía bajo un marco ético explícito.</w:t>
      </w:r>
    </w:p>
    <w:p w14:paraId="768B2278" w14:textId="77777777" w:rsidR="003715E2" w:rsidRPr="003715E2" w:rsidRDefault="003715E2" w:rsidP="003715E2">
      <w:r w:rsidRPr="003715E2">
        <w:t xml:space="preserve">El recorrido personal de su fundador funciona como </w:t>
      </w:r>
      <w:r w:rsidRPr="003715E2">
        <w:rPr>
          <w:b/>
          <w:bCs/>
        </w:rPr>
        <w:t>origen y criterio de diseño</w:t>
      </w:r>
      <w:r w:rsidRPr="003715E2">
        <w:t xml:space="preserve">, pero no como eje del proyecto. Lo central es el sistema construido: una infraestructura pensada para </w:t>
      </w:r>
      <w:r w:rsidRPr="003715E2">
        <w:rPr>
          <w:b/>
          <w:bCs/>
        </w:rPr>
        <w:t>aprender, crear, convivir y gobernar</w:t>
      </w:r>
      <w:r w:rsidRPr="003715E2">
        <w:t xml:space="preserve"> en entornos digitales de forma justa, auditable y humana.</w:t>
      </w:r>
    </w:p>
    <w:p w14:paraId="41419547" w14:textId="4295EC0A" w:rsidR="003715E2" w:rsidRPr="003715E2" w:rsidRDefault="003715E2" w:rsidP="003715E2">
      <w:pPr>
        <w:ind w:left="720"/>
      </w:pPr>
    </w:p>
    <w:p w14:paraId="216EE501" w14:textId="77777777" w:rsidR="003715E2" w:rsidRDefault="003715E2"/>
    <w:sectPr w:rsidR="003715E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9130B"/>
    <w:multiLevelType w:val="multilevel"/>
    <w:tmpl w:val="9A182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5216D6"/>
    <w:multiLevelType w:val="multilevel"/>
    <w:tmpl w:val="7B34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D06124"/>
    <w:multiLevelType w:val="multilevel"/>
    <w:tmpl w:val="EB4E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B507B1"/>
    <w:multiLevelType w:val="multilevel"/>
    <w:tmpl w:val="6D1C6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795673">
    <w:abstractNumId w:val="0"/>
  </w:num>
  <w:num w:numId="2" w16cid:durableId="1345476075">
    <w:abstractNumId w:val="2"/>
  </w:num>
  <w:num w:numId="3" w16cid:durableId="602542668">
    <w:abstractNumId w:val="3"/>
  </w:num>
  <w:num w:numId="4" w16cid:durableId="15973282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5E2"/>
    <w:rsid w:val="003715E2"/>
    <w:rsid w:val="00E01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F97F9"/>
  <w15:chartTrackingRefBased/>
  <w15:docId w15:val="{EE53D535-2C76-43B9-ABEA-DD6E3E03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15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15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15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15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15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15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15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15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15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15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15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15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15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15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15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15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15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15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15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15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15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15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15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15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15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15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15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15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15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1040</Words>
  <Characters>5724</Characters>
  <Application>Microsoft Office Word</Application>
  <DocSecurity>0</DocSecurity>
  <Lines>47</Lines>
  <Paragraphs>13</Paragraphs>
  <ScaleCrop>false</ScaleCrop>
  <Company/>
  <LinksUpToDate>false</LinksUpToDate>
  <CharactersWithSpaces>6751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2026-02-11T18:49:00Z</dcterms:created>
  <dcterms:modified xsi:type="dcterms:W3CDTF">2026-02-11T18:58:00Z</dcterms:modified>
</cp:coreProperties>
</file>