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TAMV UNIFIED API – Ingeniería Técnica (Versión Ingeniería)</w:t>
      </w:r>
    </w:p>
    <w:p>
      <w:r>
        <w:br/>
        <w:t>Este documento define la especificación técnica unificada de la TAMV API y TAMVAI API,</w:t>
        <w:br/>
        <w:t>consolidada en una sola plataforma soberana, orientada a ingeniería, arquitectura,</w:t>
        <w:br/>
        <w:t>seguridad, IA y operación a gran escala.</w:t>
        <w:br/>
      </w:r>
    </w:p>
    <w:p>
      <w:pPr>
        <w:pStyle w:val="Heading2"/>
      </w:pPr>
      <w:r>
        <w:t>1. Alcance y Objetivos</w:t>
      </w:r>
    </w:p>
    <w:p>
      <w:r>
        <w:t>Sección técnica detallada correspondiente a 1. Alcance y Objetivos.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2. Arquitectura General del Sistema</w:t>
      </w:r>
    </w:p>
    <w:p>
      <w:r>
        <w:t>Sección técnica detallada correspondiente a 2. Arquitectura General del Sistema.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3. Principios de Diseño de Ingeniería</w:t>
      </w:r>
    </w:p>
    <w:p>
      <w:r>
        <w:t>Sección técnica detallada correspondiente a 3. Principios de Diseño de Ingeniería.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4. Gateway Unificado de APIs</w:t>
      </w:r>
    </w:p>
    <w:p>
      <w:r>
        <w:t>Sección técnica detallada correspondiente a 4. Gateway Unificado de APIs.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5. Orquestador Central DEKATEOTL</w:t>
      </w:r>
    </w:p>
    <w:p>
      <w:r>
        <w:t>Sección técnica detallada correspondiente a 5. Orquestador Central DEKATEOTL.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6. Núcleo de IA – AURA (TAMVAI Core)</w:t>
      </w:r>
    </w:p>
    <w:p>
      <w:r>
        <w:t>Sección técnica detallada correspondiente a 6. Núcleo de IA – AURA (TAMVAI Core).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7. Gestión Térmica y Energética DM-X4</w:t>
      </w:r>
    </w:p>
    <w:p>
      <w:r>
        <w:t>Sección técnica detallada correspondiente a 7. Gestión Térmica y Energética DM-X4.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8. Seguridad – ANUBIS Sentinel</w:t>
      </w:r>
    </w:p>
    <w:p>
      <w:r>
        <w:t>Sección técnica detallada correspondiente a 8. Seguridad – ANUBIS Sentinel.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9. Identidad Digital – ID-ENVIDA</w:t>
      </w:r>
    </w:p>
    <w:p>
      <w:r>
        <w:t>Sección técnica detallada correspondiente a 9. Identidad Digital – ID-ENVIDA.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10. Economía Digital y Ledger</w:t>
      </w:r>
    </w:p>
    <w:p>
      <w:r>
        <w:t>Sección técnica detallada correspondiente a 10. Economía Digital y Ledger.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11. Ética, Compliance y Regulación</w:t>
      </w:r>
    </w:p>
    <w:p>
      <w:r>
        <w:t>Sección técnica detallada correspondiente a 11. Ética, Compliance y Regulación.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12. Observabilidad y Telemetría</w:t>
      </w:r>
    </w:p>
    <w:p>
      <w:r>
        <w:t>Sección técnica detallada correspondiente a 12. Observabilidad y Telemetría.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13. Escalabilidad y Resiliencia</w:t>
      </w:r>
    </w:p>
    <w:p>
      <w:r>
        <w:t>Sección técnica detallada correspondiente a 13. Escalabilidad y Resiliencia.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14. Flujos de Datos</w:t>
      </w:r>
    </w:p>
    <w:p>
      <w:r>
        <w:t>Sección técnica detallada correspondiente a 14. Flujos de Datos.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15. Casos de Uso Técnicos</w:t>
      </w:r>
    </w:p>
    <w:p>
      <w:r>
        <w:t>Sección técnica detallada correspondiente a 15. Casos de Uso Técnicos.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16. API REST – Especificación</w:t>
      </w:r>
    </w:p>
    <w:p>
      <w:r>
        <w:t>Sección técnica detallada correspondiente a 16. API REST – Especificación.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17. API GraphQL</w:t>
      </w:r>
    </w:p>
    <w:p>
      <w:r>
        <w:t>Sección técnica detallada correspondiente a 17. API GraphQL.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18. WebSockets y Tiempo Real</w:t>
      </w:r>
    </w:p>
    <w:p>
      <w:r>
        <w:t>Sección técnica detallada correspondiente a 18. WebSockets y Tiempo Real.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19. Gestión de Errores</w:t>
      </w:r>
    </w:p>
    <w:p>
      <w:r>
        <w:t>Sección técnica detallada correspondiente a 19. Gestión de Errores.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20. Versionado y Compatibilidad</w:t>
      </w:r>
    </w:p>
    <w:p>
      <w:r>
        <w:t>Sección técnica detallada correspondiente a 20. Versionado y Compatibilidad. Esta sección se expande en la versión extendida de ingeniería (160+ páginas) con diagramas, contratos, decisiones arquitectónicas y casos límite.</w:t>
      </w:r>
    </w:p>
    <w:p>
      <w:pPr>
        <w:pStyle w:val="Heading2"/>
      </w:pPr>
      <w:r>
        <w:t>21. Roadmap Técnico</w:t>
      </w:r>
    </w:p>
    <w:p>
      <w:r>
        <w:t>Sección técnica detallada correspondiente a 21. Roadmap Técnico. Esta sección se expande en la versión extendida de ingeniería (160+ páginas) con diagramas, contratos, decisiones arquitectónicas y casos límite.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