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Ishikawa Takuboku</w:t>
      </w:r>
    </w:p>
    <w:p>
      <w:pPr>
        <w:pStyle w:val="Heading1"/>
      </w:pPr>
      <w:r>
        <w:t>Biografía Sentimental</w:t>
      </w:r>
    </w:p>
    <w:p>
      <w:r>
        <w:t>Ishikawa Takuboku (1886-1912) renovó el Tanka clásico con un tono confesional y dolorosamente sincero. Su corta vida de pobreza y enfermedad dio lugar a poemas de una cercanía y pasión desgarradoras hacia su familia y sus ideales perdidos.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2: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3: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4: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5: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6: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7: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8: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9: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p>
      <w:pPr>
        <w:pStyle w:val="Heading2"/>
      </w:pPr>
      <w:r>
        <w:t>Poema 10: Tristeza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はたらけどはたらけど猶わが生活樂にならざりぢつと手を見る</w:t>
            </w:r>
          </w:p>
        </w:tc>
        <w:tc>
          <w:tcPr>
            <w:tcW w:type="dxa" w:w="4320"/>
          </w:tcPr>
          <w:p>
            <w:r>
              <w:t>Por más que trabajo mi vida no se vuelve más fácil; contemplo mis manos en silencio.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