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Nakahara Chuya</w:t>
      </w:r>
    </w:p>
    <w:p>
      <w:pPr>
        <w:pStyle w:val="Heading1"/>
      </w:pPr>
      <w:r>
        <w:t>Biografía Sentimental</w:t>
      </w:r>
    </w:p>
    <w:p>
      <w:r>
        <w:t>Nakahara Chuya (1907-1937) fue el 'Rimbaud japonés'. Su vida bohemia y su muerte prematura lo convirtieron en un icono de la juventud. Sus poemas, llenos de una musicalidad triste y de imágenes oníricas, expresan una sed insaciable de amor y pureza.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2: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3: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4: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5: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6: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7: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8: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9: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p>
      <w:pPr>
        <w:pStyle w:val="Heading2"/>
      </w:pPr>
      <w:r>
        <w:t>Poema 10: Sucio dolor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汚れつちまつた悲しみに今日も小雪の降りかかる</w:t>
            </w:r>
          </w:p>
        </w:tc>
        <w:tc>
          <w:tcPr>
            <w:tcW w:type="dxa" w:w="4320"/>
          </w:tcPr>
          <w:p>
            <w:r>
              <w:t>Sobre el sucio dolor, hoy también cae la nieve fina.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