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Kakinomoto no Hitomaro</w:t>
      </w:r>
    </w:p>
    <w:p>
      <w:pPr>
        <w:pStyle w:val="Heading1"/>
      </w:pPr>
      <w:r>
        <w:t>Biografía Sentimental</w:t>
      </w:r>
    </w:p>
    <w:p>
      <w:r>
        <w:t>Kakinomoto no Hitomaro (c. 660-710) es considerado el 'Santo de la Poesía'. Sus elegías por su fallecida esposa en el 'Man'yoshu' son algunas de las expresiones de dolor y amor más poderosas de toda la literatura japonesa.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2: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3: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4: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5: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6: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7: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8: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9: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p>
      <w:pPr>
        <w:pStyle w:val="Heading2"/>
      </w:pPr>
      <w:r>
        <w:t>Poema 10: Partida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(Japonés)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天の海に雲の波立ち月の舟星の林に漕ぎ隠る見ゆ</w:t>
            </w:r>
          </w:p>
        </w:tc>
        <w:tc>
          <w:tcPr>
            <w:tcW w:type="dxa" w:w="4320"/>
          </w:tcPr>
          <w:p>
            <w:r>
              <w:t>En el mar del cielo, las olas de nubes se levantan, y el bote de la luna parece remar y esconderse en el bosque de estrellas.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