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Miyazawa Kenji</w:t>
      </w:r>
    </w:p>
    <w:p>
      <w:pPr>
        <w:pStyle w:val="Heading1"/>
      </w:pPr>
      <w:r>
        <w:t>Biografía Sentimental</w:t>
      </w:r>
    </w:p>
    <w:p>
      <w:r>
        <w:t>Miyazawa Kenji (1896-1933) fue un poeta y visionario budista. Su poesía es una explosión de luz y compasión universal. Incluso en su soledad, sus versos expresan un amor cósmico y una devoción profunda hacia todo lo vivo.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2: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3: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4: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5: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6: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7: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8: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9: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p>
      <w:pPr>
        <w:pStyle w:val="Heading2"/>
      </w:pPr>
      <w:r>
        <w:t>Poema 10: No perder ante la lluvia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雨にも負けず、風にも負けず</w:t>
            </w:r>
          </w:p>
        </w:tc>
        <w:tc>
          <w:tcPr>
            <w:tcW w:type="dxa" w:w="4320"/>
          </w:tcPr>
          <w:p>
            <w:r>
              <w:t>No perder ante la lluvia, no perder ante el viento.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