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0.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bookmarkStart w:id="235" w:name="Xee89abfa2a37bf19544e1d673d5d4ced202c13f"/>
    <w:p>
      <w:pPr>
        <w:pStyle w:val="Heading1"/>
      </w:pPr>
      <w:r>
        <w:rPr>
          <w:rFonts w:ascii="Noto Sans CJK SC" w:hAnsi="Noto Sans CJK SC" w:eastAsia="Noto Sans CJK SC" w:cs="Noto Sans CJK SC"/>
          <w:lang w:val="en-US" w:eastAsia="zh-CN"/>
        </w:rPr>
        <w:t xml:space="preserve">Before the Merits: A Deployment Front Door for High-Impact AI Litigation</w:t>
      </w:r>
    </w:p>
    <w:p>
      <w:pPr>
        <w:pStyle w:val="FirstParagraph"/>
      </w:pPr>
      <w:r>
        <w:rPr>
          <w:rFonts w:hint="eastAsia" w:ascii="Noto Serif CJK SC" w:hAnsi="Noto Serif CJK SC" w:eastAsia="Noto Serif CJK SC" w:cs="Noto Serif CJK SC"/>
          <w:lang w:val="en-US" w:eastAsia="zh-CN"/>
        </w:rPr>
        <w:t xml:space="preserve">匿名</w:t>
      </w:r>
      <w:r>
        <w:rPr>
          <w:rFonts w:ascii="Noto Serif CJK SC" w:hAnsi="Noto Serif CJK SC" w:eastAsia="Noto Serif CJK SC" w:cs="Noto Serif CJK SC"/>
          <w:vertAlign w:val="superscript"/>
          <w:lang w:val="en-US" w:eastAsia="zh-CN"/>
        </w:rPr>
        <w:t xml:space="preserve">∗</w:t>
      </w:r>
    </w:p>
    <w:p>
      <w:pPr>
        <w:pStyle w:val="BodyText"/>
      </w:pPr>
      <w:r>
        <w:rPr>
          <w:rFonts w:hint="eastAsia" w:ascii="Noto Serif CJK SC" w:hAnsi="Noto Serif CJK SC" w:eastAsia="Noto Serif CJK SC" w:cs="Noto Serif CJK SC"/>
          <w:lang w:val="en-US" w:eastAsia="zh-CN"/>
        </w:rPr>
        <w:t xml:space="preserve">投稿稿</w:t>
      </w:r>
    </w:p>
    <w:bookmarkStart w:id="96" w:name="abstract"/>
    <w:p>
      <w:pPr>
        <w:pStyle w:val="Heading3"/>
      </w:pPr>
      <w:r>
        <w:rPr>
          <w:rFonts w:hint="eastAsia" w:ascii="Noto Sans CJK SC" w:hAnsi="Noto Sans CJK SC" w:eastAsia="Noto Sans CJK SC" w:cs="Noto Sans CJK SC"/>
          <w:b/>
          <w:bCs/>
          <w:lang w:val="en-US" w:eastAsia="zh-CN"/>
        </w:rPr>
        <w:t xml:space="preserve">摘要</w:t>
      </w:r>
    </w:p>
    <w:p>
      <w:pPr>
        <w:pStyle w:val="BlockText"/>
      </w:pPr>
      <w:r>
        <w:rPr>
          <w:rFonts w:hint="eastAsia" w:ascii="Noto Serif CJK SC" w:hAnsi="Noto Serif CJK SC" w:eastAsia="Noto Serif CJK SC" w:cs="Noto Serif CJK SC"/>
          <w:lang w:val="en-US" w:eastAsia="zh-CN"/>
        </w:rPr>
        <w:t xml:space="preserve">人工智能诉讼可能在实体法理得以适用之前便已停滞。受影响者可以观察到不利决定或互动，但模型、版本、事件记录与控制权的分配仍分散于不同企业之间。证据开示通常以存在可识别的目标为前提，且无法产生从未建立的部署记录。</w:t>
      </w:r>
    </w:p>
    <w:p>
      <w:pPr>
        <w:pStyle w:val="BlockText"/>
      </w:pPr>
      <w:r>
        <w:rPr>
          <w:rFonts w:hint="eastAsia" w:ascii="Noto Serif CJK SC" w:hAnsi="Noto Serif CJK SC" w:eastAsia="Noto Serif CJK SC" w:cs="Noto Serif CJK SC"/>
          <w:lang w:val="en-US" w:eastAsia="zh-CN"/>
        </w:rPr>
        <w:t xml:space="preserve">本文将这一问题界定为实体审理前归责缺口，并提出一套创设部署责任入口的示范性行业立法。对于被指定的高影响部署，受影响者只须识别影响特定法律所保护利益的不利事件、事件所经由的受覆盖部署，以及将有限范围的身份与事件字段同该事件联系起来的事实，即可启动第一阶段。第一阶段绝不要求只有部署记录才能提供的事实。对外可见的运营者必须识别系统，提供事件回执与保管人图谱，并保全相关记录。只有在下列条件均获满足时，已被识别的企业才会继续参与第二阶段：该企业对与风险相关的功能拥有实际权限；第一阶段的记录表明，该功能构成事件路径的一部分或支配了某项安全保障；且所请求的信息与某项构成要件、抗辩或救济存在并非微不足道的关联。开示须针对具体请求权、符合比例原则、不涉及特权资料，并受保护措施约束。实体问题防火墙则禁止仅因企业参与了部署便对实体问题作出推断。</w:t>
      </w:r>
    </w:p>
    <w:p>
      <w:pPr>
        <w:pStyle w:val="BlockText"/>
      </w:pPr>
      <w:r>
        <w:rPr>
          <w:rFonts w:hint="eastAsia" w:ascii="Noto Serif CJK SC" w:hAnsi="Noto Serif CJK SC" w:eastAsia="Noto Serif CJK SC" w:cs="Noto Serif CJK SC"/>
          <w:lang w:val="en-US" w:eastAsia="zh-CN"/>
        </w:rPr>
        <w:t xml:space="preserve">事前记录义务通过在起诉前保全版本、批准、评估、逐级上报、干预与合同约定的调取字段，使该规则能够实际运作。</w:t>
      </w:r>
      <w:r>
        <w:rPr>
          <w:rFonts w:ascii="Noto Serif CJK SC" w:hAnsi="Noto Serif CJK SC" w:eastAsia="Noto Serif CJK SC" w:cs="Noto Serif CJK SC"/>
          <w:i/>
          <w:iCs/>
          <w:lang w:val="en-US" w:eastAsia="zh-CN"/>
        </w:rPr>
        <w:t xml:space="preserve">Garcia v. Character Technologies</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展示了对外可见的消费者服务中所存在的记录缺失问题；</w:t>
      </w:r>
      <w:r>
        <w:rPr>
          <w:rFonts w:ascii="Noto Serif CJK SC" w:hAnsi="Noto Serif CJK SC" w:eastAsia="Noto Serif CJK SC" w:cs="Noto Serif CJK SC"/>
          <w:i/>
          <w:iCs/>
          <w:lang w:val="en-US" w:eastAsia="zh-CN"/>
        </w:rPr>
        <w:t xml:space="preserve">Mobley v. Workday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则展示了就业技术栈中分散的主体身份、保管与控制。在两种情形下，部署责任入口均负责提供前提事实，而胜负仍由一般法律决定。</w:t>
      </w:r>
    </w:p>
    <w:p>
      <w:pPr>
        <w:pStyle w:val="BlockText"/>
      </w:pPr>
      <w:r>
        <w:rPr>
          <w:rFonts w:hint="eastAsia" w:ascii="Noto Serif CJK SC" w:hAnsi="Noto Serif CJK SC" w:eastAsia="Noto Serif CJK SC" w:cs="Noto Serif CJK SC"/>
          <w:b/>
          <w:bCs/>
          <w:lang w:val="en-US" w:eastAsia="zh-CN"/>
        </w:rPr>
        <w:t xml:space="preserve">关键词：</w:t>
      </w:r>
      <w:r>
        <w:rPr>
          <w:rFonts w:hint="eastAsia" w:ascii="Noto Serif CJK SC" w:hAnsi="Noto Serif CJK SC" w:eastAsia="Noto Serif CJK SC" w:cs="Noto Serif CJK SC"/>
          <w:lang w:val="en-US" w:eastAsia="zh-CN"/>
        </w:rPr>
        <w:t xml:space="preserve">人工智能诉讼；部署责任入口；高影响人工智能；早期信息开示；部署记录；实质性控制</w:t>
      </w:r>
    </w:p>
    <w:p>
      <w:pPr>
        <w:pStyle w:val="FootnoteText"/>
        <w:spacing w:before="40" w:after="0"/>
        <w:ind w:right="6480"/>
        <w:pBdr>
          <w:top w:val="single" w:sz="4" w:space="1" w:color="000000"/>
        </w:pBdr>
      </w:pPr>
    </w:p>
    <w:p>
      <w:pPr>
        <w:pStyle w:val="FootnoteText"/>
        <w:spacing w:before="0" w:after="80" w:line="200" w:lineRule="auto"/>
      </w:pPr>
      <w:r>
        <w:rPr>
          <w:rFonts w:ascii="Noto Serif CJK SC" w:hAnsi="Noto Serif CJK SC" w:eastAsia="Noto Serif CJK SC" w:cs="Noto Serif CJK SC"/>
          <w:lang w:val="en-US" w:eastAsia="zh-CN"/>
          <w:sz w:val="18"/>
          <w:szCs w:val="18"/>
        </w:rPr>
        <w:t xml:space="preserve">* </w:t>
      </w:r>
      <w:r>
        <w:rPr>
          <w:rFonts w:ascii="Noto Serif CJK SC" w:hAnsi="Noto Serif CJK SC" w:eastAsia="Noto Serif CJK SC" w:cs="Noto Serif CJK SC"/>
          <w:lang w:val="en-US" w:eastAsia="zh-CN"/>
          <w:sz w:val="18"/>
          <w:szCs w:val="18"/>
        </w:rPr>
        <w:t xml:space="preserve"> </w:t>
      </w:r>
      <w:r>
        <w:rPr>
          <w:rFonts w:ascii="Noto Serif CJK SC" w:hAnsi="Noto Serif CJK SC" w:eastAsia="Noto Serif CJK SC" w:cs="Noto Serif CJK SC"/>
          <w:lang w:val="en-US" w:eastAsia="zh-CN"/>
          <w:sz w:val="18"/>
          <w:szCs w:val="18"/>
        </w:rPr>
        <w:t xml:space="preserve">Google Gemini 3.1 Pro </w:t>
      </w:r>
      <w:r>
        <w:rPr>
          <w:rFonts w:hint="eastAsia" w:ascii="Noto Serif CJK SC" w:hAnsi="Noto Serif CJK SC" w:eastAsia="Noto Serif CJK SC" w:cs="Noto Serif CJK SC"/>
          <w:lang w:val="en-US" w:eastAsia="zh-CN"/>
          <w:sz w:val="18"/>
          <w:szCs w:val="18"/>
        </w:rPr>
        <w:t xml:space="preserve">被用于</w:t>
      </w:r>
      <w:r>
        <w:rPr>
          <w:rFonts w:ascii="Noto Serif CJK SC" w:hAnsi="Noto Serif CJK SC" w:eastAsia="Noto Serif CJK SC" w:cs="Noto Serif CJK SC"/>
          <w:lang w:val="en-US" w:eastAsia="zh-CN"/>
          <w:sz w:val="18"/>
          <w:szCs w:val="18"/>
        </w:rPr>
        <w:t xml:space="preserve"> LaTeX </w:t>
      </w:r>
      <w:r>
        <w:rPr>
          <w:rFonts w:hint="eastAsia" w:ascii="Noto Serif CJK SC" w:hAnsi="Noto Serif CJK SC" w:eastAsia="Noto Serif CJK SC" w:cs="Noto Serif CJK SC"/>
          <w:lang w:val="en-US" w:eastAsia="zh-CN"/>
          <w:sz w:val="18"/>
          <w:szCs w:val="18"/>
        </w:rPr>
        <w:t xml:space="preserve">格式处理、Microsoft</w:t>
      </w:r>
      <w:r>
        <w:rPr>
          <w:rFonts w:ascii="Noto Serif CJK SC" w:hAnsi="Noto Serif CJK SC" w:eastAsia="Noto Serif CJK SC" w:cs="Noto Serif CJK SC"/>
          <w:lang w:val="en-US" w:eastAsia="zh-CN"/>
          <w:sz w:val="18"/>
          <w:szCs w:val="18"/>
        </w:rPr>
        <w:t xml:space="preserve"> Word </w:t>
      </w:r>
      <w:r>
        <w:rPr>
          <w:rFonts w:hint="eastAsia" w:ascii="Noto Serif CJK SC" w:hAnsi="Noto Serif CJK SC" w:eastAsia="Noto Serif CJK SC" w:cs="Noto Serif CJK SC"/>
          <w:lang w:val="en-US" w:eastAsia="zh-CN"/>
          <w:sz w:val="18"/>
          <w:szCs w:val="18"/>
        </w:rPr>
        <w:t xml:space="preserve">排版、图表制作及文字翻译。所有主张、引文与引证仍由作者负责。</w:t>
      </w:r>
    </w:p>
    <w:bookmarkEnd w:id="96"/>
    <w:bookmarkStart w:id="97" w:name="contents"/>
    <w:p>
      <w:pPr>
        <w:pStyle w:val="Heading3"/>
      </w:pPr>
      <w:r>
        <w:rPr>
          <w:rFonts w:hint="eastAsia" w:ascii="Noto Sans CJK SC" w:hAnsi="Noto Sans CJK SC" w:eastAsia="Noto Sans CJK SC" w:cs="Noto Sans CJK SC"/>
          <w:lang w:val="en-US" w:eastAsia="zh-CN"/>
        </w:rPr>
        <w:t xml:space="preserve">目录</w:t>
      </w:r>
    </w:p>
    <w:p>
      <w:pPr>
        <w:pStyle w:val="FirstParagraph"/>
      </w:pPr>
      <w:hyperlink w:anchor="introduction1">
        <w:r>
          <w:rPr>
            <w:rStyle w:val="Hyperlink"/>
            <w:rFonts w:hint="eastAsia" w:ascii="Noto Serif CJK SC" w:hAnsi="Noto Serif CJK SC" w:eastAsia="Noto Serif CJK SC" w:cs="Noto Serif CJK SC"/>
            <w:lang w:val="en-US" w:eastAsia="zh-CN"/>
          </w:rPr>
          <w:t xml:space="preserve">引言</w:t>
        </w:r>
      </w:hyperlink>
      <w:r>
        <w:rPr>
          <w:rFonts w:ascii="Noto Serif CJK SC" w:hAnsi="Noto Serif CJK SC" w:eastAsia="Noto Serif CJK SC" w:cs="Noto Serif CJK SC"/>
          <w:lang w:val="en-US" w:eastAsia="zh-CN"/>
        </w:rPr>
        <w:br/>
      </w:r>
      <w:hyperlink w:anchor="the-premerits-attribution-gap">
        <w:r>
          <w:rPr>
            <w:rStyle w:val="Hyperlink"/>
            <w:rFonts w:hint="eastAsia" w:ascii="Noto Serif CJK SC" w:hAnsi="Noto Serif CJK SC" w:eastAsia="Noto Serif CJK SC" w:cs="Noto Serif CJK SC"/>
            <w:lang w:val="en-US" w:eastAsia="zh-CN"/>
          </w:rPr>
          <w:t xml:space="preserve">一</w:t>
        </w:r>
        <w:r>
          <w:rPr>
            <w:rFonts w:ascii="Noto Serif CJK SC" w:hAnsi="Noto Serif CJK SC" w:eastAsia="Noto Serif CJK SC" w:cs="Noto Serif CJK SC"/>
            <w:rStyle w:val="Hyperlink"/>
            <w:lang w:val="en-US" w:eastAsia="zh-CN"/>
          </w:rPr>
          <w:t xml:space="preserve">　</w:t>
        </w:r>
        <w:r>
          <w:rPr>
            <w:rStyle w:val="Hyperlink"/>
            <w:rFonts w:hint="eastAsia" w:ascii="Noto Serif CJK SC" w:hAnsi="Noto Serif CJK SC" w:eastAsia="Noto Serif CJK SC" w:cs="Noto Serif CJK SC"/>
            <w:lang w:val="en-US" w:eastAsia="zh-CN"/>
          </w:rPr>
          <w:t xml:space="preserve">实体审理前归责缺口</w:t>
        </w:r>
      </w:hyperlink>
      <w:r>
        <w:rPr>
          <w:rFonts w:ascii="Noto Serif CJK SC" w:hAnsi="Noto Serif CJK SC" w:eastAsia="Noto Serif CJK SC" w:cs="Noto Serif CJK SC"/>
          <w:lang w:val="en-US" w:eastAsia="zh-CN"/>
        </w:rPr>
        <w:br/>
      </w:r>
      <w:hyperlink w:anchor="X373513752e49abb5fbcd58354d54f743b4b83d8">
        <w:r>
          <w:rPr>
            <w:rStyle w:val="Hyperlink"/>
            <w:rFonts w:hint="eastAsia" w:ascii="Noto Serif CJK SC" w:hAnsi="Noto Serif CJK SC" w:eastAsia="Noto Serif CJK SC" w:cs="Noto Serif CJK SC"/>
            <w:lang w:val="en-US" w:eastAsia="zh-CN"/>
          </w:rPr>
          <w:t xml:space="preserve">（一）输出无法揭示部署</w:t>
        </w:r>
      </w:hyperlink>
      <w:r>
        <w:rPr>
          <w:rFonts w:ascii="Noto Serif CJK SC" w:hAnsi="Noto Serif CJK SC" w:eastAsia="Noto Serif CJK SC" w:cs="Noto Serif CJK SC"/>
          <w:lang w:val="en-US" w:eastAsia="zh-CN"/>
        </w:rPr>
        <w:br/>
      </w:r>
      <w:hyperlink w:anchor="two-coordinates-define-the-gap">
        <w:r>
          <w:rPr>
            <w:rStyle w:val="Hyperlink"/>
            <w:rFonts w:hint="eastAsia" w:ascii="Noto Serif CJK SC" w:hAnsi="Noto Serif CJK SC" w:eastAsia="Noto Serif CJK SC" w:cs="Noto Serif CJK SC"/>
            <w:lang w:val="en-US" w:eastAsia="zh-CN"/>
          </w:rPr>
          <w:t xml:space="preserve">（二）两个坐标界定归责缺口</w:t>
        </w:r>
      </w:hyperlink>
      <w:r>
        <w:rPr>
          <w:rFonts w:ascii="Noto Serif CJK SC" w:hAnsi="Noto Serif CJK SC" w:eastAsia="Noto Serif CJK SC" w:cs="Noto Serif CJK SC"/>
          <w:lang w:val="en-US" w:eastAsia="zh-CN"/>
        </w:rPr>
        <w:br/>
      </w:r>
      <w:hyperlink w:anchor="X0d45b1bf289ec41abdcdcdd96a97e2c1be6f103">
        <w:r>
          <w:rPr>
            <w:rStyle w:val="Hyperlink"/>
            <w:rFonts w:hint="eastAsia" w:ascii="Noto Serif CJK SC" w:hAnsi="Noto Serif CJK SC" w:eastAsia="Noto Serif CJK SC" w:cs="Noto Serif CJK SC"/>
            <w:lang w:val="en-US" w:eastAsia="zh-CN"/>
          </w:rPr>
          <w:t xml:space="preserve">（三）通常程序在四项前提具备后启动</w:t>
        </w:r>
      </w:hyperlink>
      <w:r>
        <w:rPr>
          <w:rFonts w:ascii="Noto Serif CJK SC" w:hAnsi="Noto Serif CJK SC" w:eastAsia="Noto Serif CJK SC" w:cs="Noto Serif CJK SC"/>
          <w:lang w:val="en-US" w:eastAsia="zh-CN"/>
        </w:rPr>
        <w:br/>
      </w:r>
      <w:hyperlink w:anchor="Xab8175e220738ba490249d3c1f68399b6f12eb5">
        <w:r>
          <w:rPr>
            <w:rStyle w:val="Hyperlink"/>
            <w:rFonts w:hint="eastAsia" w:ascii="Noto Serif CJK SC" w:hAnsi="Noto Serif CJK SC" w:eastAsia="Noto Serif CJK SC" w:cs="Noto Serif CJK SC"/>
            <w:lang w:val="en-US" w:eastAsia="zh-CN"/>
          </w:rPr>
          <w:t xml:space="preserve">（四）现有证据权利需要部署责任入口作为前端</w:t>
        </w:r>
      </w:hyperlink>
      <w:r>
        <w:rPr>
          <w:rFonts w:ascii="Noto Serif CJK SC" w:hAnsi="Noto Serif CJK SC" w:eastAsia="Noto Serif CJK SC" w:cs="Noto Serif CJK SC"/>
          <w:lang w:val="en-US" w:eastAsia="zh-CN"/>
        </w:rPr>
        <w:br/>
      </w:r>
      <w:hyperlink w:anchor="the-cascade-specifies-the-missing-record">
        <w:r>
          <w:rPr>
            <w:rStyle w:val="Hyperlink"/>
            <w:rFonts w:hint="eastAsia" w:ascii="Noto Serif CJK SC" w:hAnsi="Noto Serif CJK SC" w:eastAsia="Noto Serif CJK SC" w:cs="Noto Serif CJK SC"/>
            <w:lang w:val="en-US" w:eastAsia="zh-CN"/>
          </w:rPr>
          <w:t xml:space="preserve">（五）控制级联界定缺失的记录</w:t>
        </w:r>
      </w:hyperlink>
      <w:r>
        <w:rPr>
          <w:rFonts w:ascii="Noto Serif CJK SC" w:hAnsi="Noto Serif CJK SC" w:eastAsia="Noto Serif CJK SC" w:cs="Noto Serif CJK SC"/>
          <w:lang w:val="en-US" w:eastAsia="zh-CN"/>
        </w:rPr>
        <w:br/>
      </w:r>
      <w:hyperlink w:anchor="the-deployment-frontdoor-rule">
        <w:r>
          <w:rPr>
            <w:rStyle w:val="Hyperlink"/>
            <w:rFonts w:hint="eastAsia" w:ascii="Noto Serif CJK SC" w:hAnsi="Noto Serif CJK SC" w:eastAsia="Noto Serif CJK SC" w:cs="Noto Serif CJK SC"/>
            <w:lang w:val="en-US" w:eastAsia="zh-CN"/>
          </w:rPr>
          <w:t xml:space="preserve">二</w:t>
        </w:r>
        <w:r>
          <w:rPr>
            <w:rFonts w:ascii="Noto Serif CJK SC" w:hAnsi="Noto Serif CJK SC" w:eastAsia="Noto Serif CJK SC" w:cs="Noto Serif CJK SC"/>
            <w:rStyle w:val="Hyperlink"/>
            <w:lang w:val="en-US" w:eastAsia="zh-CN"/>
          </w:rPr>
          <w:t xml:space="preserve">　</w:t>
        </w:r>
        <w:r>
          <w:rPr>
            <w:rStyle w:val="Hyperlink"/>
            <w:rFonts w:hint="eastAsia" w:ascii="Noto Serif CJK SC" w:hAnsi="Noto Serif CJK SC" w:eastAsia="Noto Serif CJK SC" w:cs="Noto Serif CJK SC"/>
            <w:lang w:val="en-US" w:eastAsia="zh-CN"/>
          </w:rPr>
          <w:t xml:space="preserve">部署责任入口规则</w:t>
        </w:r>
      </w:hyperlink>
      <w:r>
        <w:rPr>
          <w:rFonts w:ascii="Noto Serif CJK SC" w:hAnsi="Noto Serif CJK SC" w:eastAsia="Noto Serif CJK SC" w:cs="Noto Serif CJK SC"/>
          <w:lang w:val="en-US" w:eastAsia="zh-CN"/>
        </w:rPr>
        <w:br/>
      </w:r>
      <w:hyperlink w:anchor="sectoral-designation-defines-the-field">
        <w:r>
          <w:rPr>
            <w:rStyle w:val="Hyperlink"/>
            <w:rFonts w:hint="eastAsia" w:ascii="Noto Serif CJK SC" w:hAnsi="Noto Serif CJK SC" w:eastAsia="Noto Serif CJK SC" w:cs="Noto Serif CJK SC"/>
            <w:lang w:val="en-US" w:eastAsia="zh-CN"/>
          </w:rPr>
          <w:t xml:space="preserve">（一）适用范围由行业性指定界定</w:t>
        </w:r>
      </w:hyperlink>
      <w:r>
        <w:rPr>
          <w:rFonts w:ascii="Noto Serif CJK SC" w:hAnsi="Noto Serif CJK SC" w:eastAsia="Noto Serif CJK SC" w:cs="Noto Serif CJK SC"/>
          <w:lang w:val="en-US" w:eastAsia="zh-CN"/>
        </w:rPr>
        <w:br/>
      </w:r>
      <w:hyperlink w:anchor="the-visible-operator-answers-first">
        <w:r>
          <w:rPr>
            <w:rStyle w:val="Hyperlink"/>
            <w:rFonts w:hint="eastAsia" w:ascii="Noto Serif CJK SC" w:hAnsi="Noto Serif CJK SC" w:eastAsia="Noto Serif CJK SC" w:cs="Noto Serif CJK SC"/>
            <w:lang w:val="en-US" w:eastAsia="zh-CN"/>
          </w:rPr>
          <w:t xml:space="preserve">（二）由对外可见的运营者首先作答</w:t>
        </w:r>
      </w:hyperlink>
      <w:r>
        <w:rPr>
          <w:rFonts w:ascii="Noto Serif CJK SC" w:hAnsi="Noto Serif CJK SC" w:eastAsia="Noto Serif CJK SC" w:cs="Noto Serif CJK SC"/>
          <w:lang w:val="en-US" w:eastAsia="zh-CN"/>
        </w:rPr>
        <w:br/>
      </w:r>
      <w:hyperlink w:anchor="X9e7a45e9943e08544407f510f9a942aad7a0627">
        <w:r>
          <w:rPr>
            <w:rStyle w:val="Hyperlink"/>
            <w:rFonts w:hint="eastAsia" w:ascii="Noto Serif CJK SC" w:hAnsi="Noto Serif CJK SC" w:eastAsia="Noto Serif CJK SC" w:cs="Noto Serif CJK SC"/>
            <w:lang w:val="en-US" w:eastAsia="zh-CN"/>
          </w:rPr>
          <w:t xml:space="preserve">（三）实质性控制须同时具备风险特定性、实际权限与信息实质相关性</w:t>
        </w:r>
      </w:hyperlink>
      <w:r>
        <w:rPr>
          <w:rFonts w:ascii="Noto Serif CJK SC" w:hAnsi="Noto Serif CJK SC" w:eastAsia="Noto Serif CJK SC" w:cs="Noto Serif CJK SC"/>
          <w:lang w:val="en-US" w:eastAsia="zh-CN"/>
        </w:rPr>
        <w:br/>
      </w:r>
      <w:hyperlink w:anchor="X1207eb8943d5e4b552dc061fe7ef63b2b80a36e">
        <w:r>
          <w:rPr>
            <w:rStyle w:val="Hyperlink"/>
            <w:rFonts w:hint="eastAsia" w:ascii="Noto Serif CJK SC" w:hAnsi="Noto Serif CJK SC" w:eastAsia="Noto Serif CJK SC" w:cs="Noto Serif CJK SC"/>
            <w:lang w:val="en-US" w:eastAsia="zh-CN"/>
          </w:rPr>
          <w:t xml:space="preserve">（四）记录生成、保全与提供系三项不同义务</w:t>
        </w:r>
      </w:hyperlink>
      <w:r>
        <w:rPr>
          <w:rFonts w:ascii="Noto Serif CJK SC" w:hAnsi="Noto Serif CJK SC" w:eastAsia="Noto Serif CJK SC" w:cs="Noto Serif CJK SC"/>
          <w:lang w:val="en-US" w:eastAsia="zh-CN"/>
        </w:rPr>
        <w:br/>
      </w:r>
      <w:hyperlink w:anchor="protection-remedies-and-safe-exit">
        <w:r>
          <w:rPr>
            <w:rStyle w:val="Hyperlink"/>
            <w:rFonts w:hint="eastAsia" w:ascii="Noto Serif CJK SC" w:hAnsi="Noto Serif CJK SC" w:eastAsia="Noto Serif CJK SC" w:cs="Noto Serif CJK SC"/>
            <w:lang w:val="en-US" w:eastAsia="zh-CN"/>
          </w:rPr>
          <w:t xml:space="preserve">（五）保护、救济与安全退出</w:t>
        </w:r>
      </w:hyperlink>
      <w:r>
        <w:rPr>
          <w:rFonts w:ascii="Noto Serif CJK SC" w:hAnsi="Noto Serif CJK SC" w:eastAsia="Noto Serif CJK SC" w:cs="Noto Serif CJK SC"/>
          <w:lang w:val="en-US" w:eastAsia="zh-CN"/>
        </w:rPr>
        <w:br/>
      </w:r>
      <w:hyperlink w:anchor="model-statutory-text">
        <w:r>
          <w:rPr>
            <w:rStyle w:val="Hyperlink"/>
            <w:rFonts w:hint="eastAsia" w:ascii="Noto Serif CJK SC" w:hAnsi="Noto Serif CJK SC" w:eastAsia="Noto Serif CJK SC" w:cs="Noto Serif CJK SC"/>
            <w:lang w:val="en-US" w:eastAsia="zh-CN"/>
          </w:rPr>
          <w:t xml:space="preserve">（六）示范法条文本</w:t>
        </w:r>
      </w:hyperlink>
      <w:r>
        <w:rPr>
          <w:rFonts w:ascii="Noto Serif CJK SC" w:hAnsi="Noto Serif CJK SC" w:eastAsia="Noto Serif CJK SC" w:cs="Noto Serif CJK SC"/>
          <w:lang w:val="en-US" w:eastAsia="zh-CN"/>
        </w:rPr>
        <w:br/>
      </w:r>
      <w:hyperlink w:anchor="Xe7d7c9ab2869bb790fe3803bc5183db090504b6">
        <w:r>
          <w:rPr>
            <w:rStyle w:val="Hyperlink"/>
            <w:rFonts w:hint="eastAsia" w:ascii="Noto Serif CJK SC" w:hAnsi="Noto Serif CJK SC" w:eastAsia="Noto Serif CJK SC" w:cs="Noto Serif CJK SC"/>
            <w:lang w:val="en-US" w:eastAsia="zh-CN"/>
          </w:rPr>
          <w:t xml:space="preserve">（七）首次答复为何属于实体法上的信息获取权，而非提前启动的证据开示</w:t>
        </w:r>
      </w:hyperlink>
      <w:r>
        <w:rPr>
          <w:rFonts w:ascii="Noto Serif CJK SC" w:hAnsi="Noto Serif CJK SC" w:eastAsia="Noto Serif CJK SC" w:cs="Noto Serif CJK SC"/>
          <w:lang w:val="en-US" w:eastAsia="zh-CN"/>
        </w:rPr>
        <w:br/>
      </w:r>
      <w:hyperlink w:anchor="the-rule-in-operation">
        <w:r>
          <w:rPr>
            <w:rStyle w:val="Hyperlink"/>
            <w:rFonts w:hint="eastAsia" w:ascii="Noto Serif CJK SC" w:hAnsi="Noto Serif CJK SC" w:eastAsia="Noto Serif CJK SC" w:cs="Noto Serif CJK SC"/>
            <w:lang w:val="en-US" w:eastAsia="zh-CN"/>
          </w:rPr>
          <w:t xml:space="preserve">三</w:t>
        </w:r>
        <w:r>
          <w:rPr>
            <w:rFonts w:ascii="Noto Serif CJK SC" w:hAnsi="Noto Serif CJK SC" w:eastAsia="Noto Serif CJK SC" w:cs="Noto Serif CJK SC"/>
            <w:rStyle w:val="Hyperlink"/>
            <w:lang w:val="en-US" w:eastAsia="zh-CN"/>
          </w:rPr>
          <w:t xml:space="preserve">　</w:t>
        </w:r>
        <w:r>
          <w:rPr>
            <w:rStyle w:val="Hyperlink"/>
            <w:rFonts w:hint="eastAsia" w:ascii="Noto Serif CJK SC" w:hAnsi="Noto Serif CJK SC" w:eastAsia="Noto Serif CJK SC" w:cs="Noto Serif CJK SC"/>
            <w:lang w:val="en-US" w:eastAsia="zh-CN"/>
          </w:rPr>
          <w:t xml:space="preserve">规则的具体运行</w:t>
        </w:r>
      </w:hyperlink>
      <w:r>
        <w:rPr>
          <w:rFonts w:ascii="Noto Serif CJK SC" w:hAnsi="Noto Serif CJK SC" w:eastAsia="Noto Serif CJK SC" w:cs="Noto Serif CJK SC"/>
          <w:lang w:val="en-US" w:eastAsia="zh-CN"/>
        </w:rPr>
        <w:br/>
      </w:r>
      <w:hyperlink w:anchor="an-integrated-deployment-garcia">
        <w:r>
          <w:rPr>
            <w:rStyle w:val="Hyperlink"/>
            <w:rFonts w:hint="eastAsia" w:ascii="Noto Serif CJK SC" w:hAnsi="Noto Serif CJK SC" w:eastAsia="Noto Serif CJK SC" w:cs="Noto Serif CJK SC"/>
            <w:lang w:val="en-US" w:eastAsia="zh-CN"/>
          </w:rPr>
          <w:t xml:space="preserve">（一）一体化部署：</w:t>
        </w:r>
        <w:r>
          <w:rPr>
            <w:rFonts w:ascii="Noto Serif CJK SC" w:hAnsi="Noto Serif CJK SC" w:eastAsia="Noto Serif CJK SC" w:cs="Noto Serif CJK SC"/>
            <w:rStyle w:val="Hyperlink"/>
            <w:i/>
            <w:iCs/>
            <w:lang w:val="en-US" w:eastAsia="zh-CN"/>
          </w:rPr>
          <w:t xml:space="preserve">Garcia</w:t>
        </w:r>
      </w:hyperlink>
      <w:r>
        <w:rPr>
          <w:rFonts w:ascii="Noto Serif CJK SC" w:hAnsi="Noto Serif CJK SC" w:eastAsia="Noto Serif CJK SC" w:cs="Noto Serif CJK SC"/>
          <w:lang w:val="en-US" w:eastAsia="zh-CN"/>
        </w:rPr>
        <w:br/>
      </w:r>
      <w:hyperlink w:anchor="X523887ecf0e5c5a8ca26ad4aca0e46251deff1b">
        <w:r>
          <w:rPr>
            <w:rStyle w:val="Hyperlink"/>
            <w:rFonts w:hint="eastAsia" w:ascii="Noto Serif CJK SC" w:hAnsi="Noto Serif CJK SC" w:eastAsia="Noto Serif CJK SC" w:cs="Noto Serif CJK SC"/>
            <w:lang w:val="en-US" w:eastAsia="zh-CN"/>
          </w:rPr>
          <w:t xml:space="preserve">（二）分散式部署：供应商托管数据，雇主控制数据</w:t>
        </w:r>
      </w:hyperlink>
      <w:r>
        <w:rPr>
          <w:rFonts w:ascii="Noto Serif CJK SC" w:hAnsi="Noto Serif CJK SC" w:eastAsia="Noto Serif CJK SC" w:cs="Noto Serif CJK SC"/>
          <w:lang w:val="en-US" w:eastAsia="zh-CN"/>
        </w:rPr>
        <w:br/>
      </w:r>
      <w:hyperlink w:anchor="the-record-infrastructure">
        <w:r>
          <w:rPr>
            <w:rStyle w:val="Hyperlink"/>
            <w:rFonts w:hint="eastAsia" w:ascii="Noto Serif CJK SC" w:hAnsi="Noto Serif CJK SC" w:eastAsia="Noto Serif CJK SC" w:cs="Noto Serif CJK SC"/>
            <w:lang w:val="en-US" w:eastAsia="zh-CN"/>
          </w:rPr>
          <w:t xml:space="preserve">四</w:t>
        </w:r>
        <w:r>
          <w:rPr>
            <w:rFonts w:ascii="Noto Serif CJK SC" w:hAnsi="Noto Serif CJK SC" w:eastAsia="Noto Serif CJK SC" w:cs="Noto Serif CJK SC"/>
            <w:rStyle w:val="Hyperlink"/>
            <w:lang w:val="en-US" w:eastAsia="zh-CN"/>
          </w:rPr>
          <w:t xml:space="preserve">　</w:t>
        </w:r>
        <w:r>
          <w:rPr>
            <w:rStyle w:val="Hyperlink"/>
            <w:rFonts w:hint="eastAsia" w:ascii="Noto Serif CJK SC" w:hAnsi="Noto Serif CJK SC" w:eastAsia="Noto Serif CJK SC" w:cs="Noto Serif CJK SC"/>
            <w:lang w:val="en-US" w:eastAsia="zh-CN"/>
          </w:rPr>
          <w:t xml:space="preserve">记录基础设施</w:t>
        </w:r>
      </w:hyperlink>
      <w:r>
        <w:rPr>
          <w:rFonts w:ascii="Noto Serif CJK SC" w:hAnsi="Noto Serif CJK SC" w:eastAsia="Noto Serif CJK SC" w:cs="Noto Serif CJK SC"/>
          <w:lang w:val="en-US" w:eastAsia="zh-CN"/>
        </w:rPr>
        <w:br/>
      </w:r>
      <w:hyperlink w:anchor="X96e6df3ce2b0fe9ae370cd78843786deb0393c7">
        <w:r>
          <w:rPr>
            <w:rStyle w:val="Hyperlink"/>
            <w:rFonts w:hint="eastAsia" w:ascii="Noto Serif CJK SC" w:hAnsi="Noto Serif CJK SC" w:eastAsia="Noto Serif CJK SC" w:cs="Noto Serif CJK SC"/>
            <w:lang w:val="en-US" w:eastAsia="zh-CN"/>
          </w:rPr>
          <w:t xml:space="preserve">（一）责任章程是部署记录的控制表</w:t>
        </w:r>
      </w:hyperlink>
      <w:r>
        <w:rPr>
          <w:rFonts w:ascii="Noto Serif CJK SC" w:hAnsi="Noto Serif CJK SC" w:eastAsia="Noto Serif CJK SC" w:cs="Noto Serif CJK SC"/>
          <w:lang w:val="en-US" w:eastAsia="zh-CN"/>
        </w:rPr>
        <w:br/>
      </w:r>
      <w:hyperlink w:anchor="the-record-has-a-standard-interface">
        <w:r>
          <w:rPr>
            <w:rStyle w:val="Hyperlink"/>
            <w:rFonts w:hint="eastAsia" w:ascii="Noto Serif CJK SC" w:hAnsi="Noto Serif CJK SC" w:eastAsia="Noto Serif CJK SC" w:cs="Noto Serif CJK SC"/>
            <w:lang w:val="en-US" w:eastAsia="zh-CN"/>
          </w:rPr>
          <w:t xml:space="preserve">（二）记录具有标准接口</w:t>
        </w:r>
      </w:hyperlink>
      <w:r>
        <w:rPr>
          <w:rFonts w:ascii="Noto Serif CJK SC" w:hAnsi="Noto Serif CJK SC" w:eastAsia="Noto Serif CJK SC" w:cs="Noto Serif CJK SC"/>
          <w:lang w:val="en-US" w:eastAsia="zh-CN"/>
        </w:rPr>
        <w:br/>
      </w:r>
      <w:hyperlink w:anchor="X20f93bd622b219086ee0900f04dbdb471b336f6">
        <w:r>
          <w:rPr>
            <w:rStyle w:val="Hyperlink"/>
            <w:rFonts w:hint="eastAsia" w:ascii="Noto Serif CJK SC" w:hAnsi="Noto Serif CJK SC" w:eastAsia="Noto Serif CJK SC" w:cs="Noto Serif CJK SC"/>
            <w:lang w:val="en-US" w:eastAsia="zh-CN"/>
          </w:rPr>
          <w:t xml:space="preserve">（三）身份记录、反馈记录与事件记录适用不同的时间机制</w:t>
        </w:r>
      </w:hyperlink>
      <w:r>
        <w:rPr>
          <w:rFonts w:ascii="Noto Serif CJK SC" w:hAnsi="Noto Serif CJK SC" w:eastAsia="Noto Serif CJK SC" w:cs="Noto Serif CJK SC"/>
          <w:lang w:val="en-US" w:eastAsia="zh-CN"/>
        </w:rPr>
        <w:br/>
      </w:r>
      <w:hyperlink w:anchor="X3bf8f79bbc4024447d2fb1025eff4c0b5e2ceca">
        <w:r>
          <w:rPr>
            <w:rStyle w:val="Hyperlink"/>
            <w:rFonts w:hint="eastAsia" w:ascii="Noto Serif CJK SC" w:hAnsi="Noto Serif CJK SC" w:eastAsia="Noto Serif CJK SC" w:cs="Noto Serif CJK SC"/>
            <w:lang w:val="en-US" w:eastAsia="zh-CN"/>
          </w:rPr>
          <w:t xml:space="preserve">（四）现有制度证明该方案具有可管理性</w:t>
        </w:r>
      </w:hyperlink>
      <w:r>
        <w:rPr>
          <w:rFonts w:ascii="Noto Serif CJK SC" w:hAnsi="Noto Serif CJK SC" w:eastAsia="Noto Serif CJK SC" w:cs="Noto Serif CJK SC"/>
          <w:lang w:val="en-US" w:eastAsia="zh-CN"/>
        </w:rPr>
        <w:br/>
      </w:r>
      <w:hyperlink w:anchor="X16ad30c4d706d066ca5ea4f581954ce6b0ad1f3">
        <w:r>
          <w:rPr>
            <w:rStyle w:val="Hyperlink"/>
            <w:rFonts w:hint="eastAsia" w:ascii="Noto Serif CJK SC" w:hAnsi="Noto Serif CJK SC" w:eastAsia="Noto Serif CJK SC" w:cs="Noto Serif CJK SC"/>
            <w:lang w:val="en-US" w:eastAsia="zh-CN"/>
          </w:rPr>
          <w:t xml:space="preserve">（五）记录保存的风险要求在设计层面贯彻最小化原则</w:t>
        </w:r>
      </w:hyperlink>
      <w:r>
        <w:rPr>
          <w:rFonts w:ascii="Noto Serif CJK SC" w:hAnsi="Noto Serif CJK SC" w:eastAsia="Noto Serif CJK SC" w:cs="Noto Serif CJK SC"/>
          <w:lang w:val="en-US" w:eastAsia="zh-CN"/>
        </w:rPr>
        <w:br/>
      </w:r>
      <w:hyperlink w:anchor="Xecd9a04b62efd8f961ae391a9a4ac0f1d5ab6ef">
        <w:r>
          <w:rPr>
            <w:rStyle w:val="Hyperlink"/>
            <w:rFonts w:hint="eastAsia" w:ascii="Noto Serif CJK SC" w:hAnsi="Noto Serif CJK SC" w:eastAsia="Noto Serif CJK SC" w:cs="Noto Serif CJK SC"/>
            <w:lang w:val="en-US" w:eastAsia="zh-CN"/>
          </w:rPr>
          <w:t xml:space="preserve">（六）准确记录有赖于受保护的逐级上报</w:t>
        </w:r>
      </w:hyperlink>
      <w:r>
        <w:rPr>
          <w:rFonts w:ascii="Noto Serif CJK SC" w:hAnsi="Noto Serif CJK SC" w:eastAsia="Noto Serif CJK SC" w:cs="Noto Serif CJK SC"/>
          <w:lang w:val="en-US" w:eastAsia="zh-CN"/>
        </w:rPr>
        <w:br/>
      </w:r>
      <w:hyperlink w:anchor="the-record-is-also-a-defense-asset">
        <w:r>
          <w:rPr>
            <w:rStyle w:val="Hyperlink"/>
            <w:rFonts w:hint="eastAsia" w:ascii="Noto Serif CJK SC" w:hAnsi="Noto Serif CJK SC" w:eastAsia="Noto Serif CJK SC" w:cs="Noto Serif CJK SC"/>
            <w:lang w:val="en-US" w:eastAsia="zh-CN"/>
          </w:rPr>
          <w:t xml:space="preserve">（七）记录也是一项抗辩资产</w:t>
        </w:r>
      </w:hyperlink>
      <w:r>
        <w:rPr>
          <w:rFonts w:ascii="Noto Serif CJK SC" w:hAnsi="Noto Serif CJK SC" w:eastAsia="Noto Serif CJK SC" w:cs="Noto Serif CJK SC"/>
          <w:lang w:val="en-US" w:eastAsia="zh-CN"/>
        </w:rPr>
        <w:br/>
      </w:r>
      <w:hyperlink w:anchor="X507690928aa67b85f2b8ff948030b87102a043b">
        <w:r>
          <w:rPr>
            <w:rStyle w:val="Hyperlink"/>
            <w:rFonts w:hint="eastAsia" w:ascii="Noto Serif CJK SC" w:hAnsi="Noto Serif CJK SC" w:eastAsia="Noto Serif CJK SC" w:cs="Noto Serif CJK SC"/>
            <w:lang w:val="en-US" w:eastAsia="zh-CN"/>
          </w:rPr>
          <w:t xml:space="preserve">五</w:t>
        </w:r>
        <w:r>
          <w:rPr>
            <w:rFonts w:ascii="Noto Serif CJK SC" w:hAnsi="Noto Serif CJK SC" w:eastAsia="Noto Serif CJK SC" w:cs="Noto Serif CJK SC"/>
            <w:rStyle w:val="Hyperlink"/>
            <w:lang w:val="en-US" w:eastAsia="zh-CN"/>
          </w:rPr>
          <w:t xml:space="preserve">　</w:t>
        </w:r>
        <w:r>
          <w:rPr>
            <w:rStyle w:val="Hyperlink"/>
            <w:rFonts w:hint="eastAsia" w:ascii="Noto Serif CJK SC" w:hAnsi="Noto Serif CJK SC" w:eastAsia="Noto Serif CJK SC" w:cs="Noto Serif CJK SC"/>
            <w:lang w:val="en-US" w:eastAsia="zh-CN"/>
          </w:rPr>
          <w:t xml:space="preserve">实体问题防火墙与可管理的边界</w:t>
        </w:r>
      </w:hyperlink>
      <w:r>
        <w:rPr>
          <w:rFonts w:ascii="Noto Serif CJK SC" w:hAnsi="Noto Serif CJK SC" w:eastAsia="Noto Serif CJK SC" w:cs="Noto Serif CJK SC"/>
          <w:lang w:val="en-US" w:eastAsia="zh-CN"/>
        </w:rPr>
        <w:br/>
      </w:r>
      <w:hyperlink w:anchor="existing-legal-interests-define-the-gate">
        <w:r>
          <w:rPr>
            <w:rStyle w:val="Hyperlink"/>
            <w:rFonts w:hint="eastAsia" w:ascii="Noto Serif CJK SC" w:hAnsi="Noto Serif CJK SC" w:eastAsia="Noto Serif CJK SC" w:cs="Noto Serif CJK SC"/>
            <w:lang w:val="en-US" w:eastAsia="zh-CN"/>
          </w:rPr>
          <w:t xml:space="preserve">（一）现有法律利益界定入口</w:t>
        </w:r>
      </w:hyperlink>
      <w:r>
        <w:rPr>
          <w:rFonts w:ascii="Noto Serif CJK SC" w:hAnsi="Noto Serif CJK SC" w:eastAsia="Noto Serif CJK SC" w:cs="Noto Serif CJK SC"/>
          <w:lang w:val="en-US" w:eastAsia="zh-CN"/>
        </w:rPr>
        <w:br/>
      </w:r>
      <w:hyperlink w:anchor="X64f128467567ab17075eb48d3ab4c084add7f59">
        <w:r>
          <w:rPr>
            <w:rStyle w:val="Hyperlink"/>
            <w:rFonts w:hint="eastAsia" w:ascii="Noto Serif CJK SC" w:hAnsi="Noto Serif CJK SC" w:eastAsia="Noto Serif CJK SC" w:cs="Noto Serif CJK SC"/>
            <w:lang w:val="en-US" w:eastAsia="zh-CN"/>
          </w:rPr>
          <w:t xml:space="preserve">（二）宪法、商业秘密和隐私保护塑造信息获取方式</w:t>
        </w:r>
      </w:hyperlink>
      <w:r>
        <w:rPr>
          <w:rFonts w:ascii="Noto Serif CJK SC" w:hAnsi="Noto Serif CJK SC" w:eastAsia="Noto Serif CJK SC" w:cs="Noto Serif CJK SC"/>
          <w:lang w:val="en-US" w:eastAsia="zh-CN"/>
        </w:rPr>
        <w:br/>
      </w:r>
      <w:hyperlink w:anchor="Xdc02b2c9f8ecb38a0d74a9a8d9de321f0e9eb2a">
        <w:r>
          <w:rPr>
            <w:rStyle w:val="Hyperlink"/>
            <w:rFonts w:hint="eastAsia" w:ascii="Noto Serif CJK SC" w:hAnsi="Noto Serif CJK SC" w:eastAsia="Noto Serif CJK SC" w:cs="Noto Serif CJK SC"/>
            <w:lang w:val="en-US" w:eastAsia="zh-CN"/>
          </w:rPr>
          <w:t xml:space="preserve">（三）仲裁、地域限制与联邦先占支配争议解决场所</w:t>
        </w:r>
      </w:hyperlink>
      <w:r>
        <w:rPr>
          <w:rFonts w:ascii="Noto Serif CJK SC" w:hAnsi="Noto Serif CJK SC" w:eastAsia="Noto Serif CJK SC" w:cs="Noto Serif CJK SC"/>
          <w:lang w:val="en-US" w:eastAsia="zh-CN"/>
        </w:rPr>
        <w:br/>
      </w:r>
      <w:hyperlink w:anchor="Xcb4b30a26b8c574b82ee1211e6956218b6054e7">
        <w:r>
          <w:rPr>
            <w:rStyle w:val="Hyperlink"/>
            <w:rFonts w:hint="eastAsia" w:ascii="Noto Serif CJK SC" w:hAnsi="Noto Serif CJK SC" w:eastAsia="Noto Serif CJK SC" w:cs="Noto Serif CJK SC"/>
            <w:lang w:val="en-US" w:eastAsia="zh-CN"/>
          </w:rPr>
          <w:t xml:space="preserve">（四）分类中立保留实体问题</w:t>
        </w:r>
      </w:hyperlink>
      <w:r>
        <w:rPr>
          <w:rFonts w:ascii="Noto Serif CJK SC" w:hAnsi="Noto Serif CJK SC" w:eastAsia="Noto Serif CJK SC" w:cs="Noto Serif CJK SC"/>
          <w:lang w:val="en-US" w:eastAsia="zh-CN"/>
        </w:rPr>
        <w:br/>
      </w:r>
      <w:hyperlink w:anchor="conclusion1">
        <w:r>
          <w:rPr>
            <w:rStyle w:val="Hyperlink"/>
            <w:rFonts w:hint="eastAsia" w:ascii="Noto Serif CJK SC" w:hAnsi="Noto Serif CJK SC" w:eastAsia="Noto Serif CJK SC" w:cs="Noto Serif CJK SC"/>
            <w:lang w:val="en-US" w:eastAsia="zh-CN"/>
          </w:rPr>
          <w:t xml:space="preserve">结论</w:t>
        </w:r>
      </w:hyperlink>
      <w:r>
        <w:rPr>
          <w:rFonts w:ascii="Noto Serif CJK SC" w:hAnsi="Noto Serif CJK SC" w:eastAsia="Noto Serif CJK SC" w:cs="Noto Serif CJK SC"/>
          <w:lang w:val="en-US" w:eastAsia="zh-CN"/>
        </w:rPr>
        <w:br/>
      </w:r>
    </w:p>
    <w:bookmarkEnd w:id="97"/>
    <w:bookmarkStart w:id="106" w:name="introduction1"/>
    <w:p>
      <w:pPr>
        <w:pStyle w:val="Heading3"/>
      </w:pPr>
      <w:r>
        <w:rPr>
          <w:rFonts w:hint="eastAsia" w:ascii="Noto Sans CJK SC" w:hAnsi="Noto Sans CJK SC" w:eastAsia="Noto Sans CJK SC" w:cs="Noto Sans CJK SC"/>
          <w:lang w:val="en-US" w:eastAsia="zh-CN"/>
        </w:rPr>
        <w:t xml:space="preserve">引言</w:t>
      </w:r>
    </w:p>
    <w:p>
      <w:pPr>
        <w:pStyle w:val="FirstParagraph"/>
      </w:pPr>
      <w:r>
        <w:rPr>
          <w:rFonts w:hint="eastAsia" w:ascii="Noto Serif CJK SC" w:hAnsi="Noto Serif CJK SC" w:eastAsia="Noto Serif CJK SC" w:cs="Noto Serif CJK SC"/>
          <w:lang w:val="en-US" w:eastAsia="zh-CN"/>
        </w:rPr>
        <w:t xml:space="preserve">十四岁的</w:t>
      </w:r>
      <w:r>
        <w:rPr>
          <w:rFonts w:ascii="Noto Serif CJK SC" w:hAnsi="Noto Serif CJK SC" w:eastAsia="Noto Serif CJK SC" w:cs="Noto Serif CJK SC"/>
          <w:lang w:val="en-US" w:eastAsia="zh-CN"/>
        </w:rPr>
        <w:t xml:space="preserve"> Sewell Setzer III </w:t>
      </w:r>
      <w:r>
        <w:rPr>
          <w:rFonts w:hint="eastAsia" w:ascii="Noto Serif CJK SC" w:hAnsi="Noto Serif CJK SC" w:eastAsia="Noto Serif CJK SC" w:cs="Noto Serif CJK SC"/>
          <w:lang w:val="en-US" w:eastAsia="zh-CN"/>
        </w:rPr>
        <w:t xml:space="preserve">并非在实验室中接触一个基础模型。他遭遇的是一种已经部署的关系。在</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Garcia v. Character Technologies, Inc.</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一案中，其母亲的起诉状称，Character.AI</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在一项未成年人可使用的消费者服务中，将持续存在的角色人格、记忆、访问规则、警示、参与度设计与安全控制结合在一起。起诉状还称，Character</w:t>
      </w:r>
      <w:r>
        <w:rPr>
          <w:rFonts w:ascii="Noto Serif CJK SC" w:hAnsi="Noto Serif CJK SC" w:eastAsia="Noto Serif CJK SC" w:cs="Noto Serif CJK SC"/>
          <w:lang w:val="en-US" w:eastAsia="zh-CN"/>
        </w:rPr>
        <w:t xml:space="preserve"> Technologies </w:t>
      </w:r>
      <w:r>
        <w:rPr>
          <w:rFonts w:hint="eastAsia" w:ascii="Noto Serif CJK SC" w:hAnsi="Noto Serif CJK SC" w:eastAsia="Noto Serif CJK SC" w:cs="Noto Serif CJK SC"/>
          <w:lang w:val="en-US" w:eastAsia="zh-CN"/>
        </w:rPr>
        <w:t xml:space="preserve">的创始人与</w:t>
      </w:r>
      <w:r>
        <w:rPr>
          <w:rFonts w:ascii="Noto Serif CJK SC" w:hAnsi="Noto Serif CJK SC" w:eastAsia="Noto Serif CJK SC" w:cs="Noto Serif CJK SC"/>
          <w:lang w:val="en-US" w:eastAsia="zh-CN"/>
        </w:rPr>
        <w:t xml:space="preserve"> Google </w:t>
      </w:r>
      <w:r>
        <w:rPr>
          <w:rFonts w:hint="eastAsia" w:ascii="Noto Serif CJK SC" w:hAnsi="Noto Serif CJK SC" w:eastAsia="Noto Serif CJK SC" w:cs="Noto Serif CJK SC"/>
          <w:lang w:val="en-US" w:eastAsia="zh-CN"/>
        </w:rPr>
        <w:t xml:space="preserve">分别贡献了人员、技术、知识与资源；Sewell</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与一个以虚构电视剧人物为原型的角色互动数月后自杀身亡。其母亲因此提出不法致死、过失、产品缺陷、未尽警示义务、欺骗性行为及其他相关请求。在诉状审查阶段，联邦地区法院认为，将该应用诉称为产品具有合理依据；同时，法院依当时案卷材料，拒绝将生成内容定性为受保护的言论。后来，该案以和解结案，法院并未就缺陷、因果关系或责任作出认定。</w:t>
      </w:r>
      <w:r>
        <w:rPr>
          <w:rFonts w:ascii="Noto Serif CJK SC" w:hAnsi="Noto Serif CJK SC" w:eastAsia="Noto Serif CJK SC" w:cs="Noto Serif CJK SC"/>
          <w:rStyle w:val="FootnoteReference"/>
          <w:lang w:val="en-US" w:eastAsia="zh-CN"/>
        </w:rPr>
        <w:footnoteReference w:id="98"/>
      </w:r>
    </w:p>
    <w:p>
      <w:pPr>
        <w:pStyle w:val="BodyText"/>
      </w:pPr>
      <w:r>
        <w:rPr>
          <w:rFonts w:hint="eastAsia" w:ascii="Noto Serif CJK SC" w:hAnsi="Noto Serif CJK SC" w:eastAsia="Noto Serif CJK SC" w:cs="Noto Serif CJK SC"/>
          <w:lang w:val="en-US" w:eastAsia="zh-CN"/>
        </w:rPr>
        <w:t xml:space="preserve">本案揭示了一项在分析上独立于最终实体裁判结果的问题。用户可以看到界面与输出，一般法律所需的事实却隐于二者之后：实际运行的模型与应用版本为何；是谁选择了关系性目标、系统指令、记忆机制、年龄门槛、危机应对与参与度指标；哪些评估、投诉与事件信号曾经到达；谁能够更新、限制、回滚或停止部署；又是哪家企业保存着每项记录。在直接面向消费者的服务中，运营公司或许显而易见，其部署记录却仍无法获取。在分散式系统中，对外可见的医院、雇主、机关或应用，可能依赖于分别掌握不同控制权的模型供应商、评分服务商、基础设施供应商与系统集成商。请求权人需要配置与控制记录，以检验一项法律已承认的请求；但在获取该记录之前，往往又必须先识别其持有人。实体判断标准已然存在，供该标准适用的事实却不可及。</w:t>
      </w:r>
    </w:p>
    <w:p>
      <w:pPr>
        <w:pStyle w:val="BodyText"/>
      </w:pPr>
      <w:r>
        <w:rPr>
          <w:rFonts w:hint="eastAsia" w:ascii="Noto Serif CJK SC" w:hAnsi="Noto Serif CJK SC" w:eastAsia="Noto Serif CJK SC" w:cs="Noto Serif CJK SC"/>
          <w:lang w:val="en-US" w:eastAsia="zh-CN"/>
        </w:rPr>
        <w:t xml:space="preserve">本文将上述先后次序称为</w:t>
      </w:r>
      <w:r>
        <w:rPr>
          <w:rFonts w:hint="eastAsia" w:ascii="Noto Serif CJK SC" w:hAnsi="Noto Serif CJK SC" w:eastAsia="Noto Serif CJK SC" w:cs="Noto Serif CJK SC"/>
          <w:i/>
          <w:iCs/>
          <w:lang w:val="en-US" w:eastAsia="zh-CN"/>
        </w:rPr>
        <w:t xml:space="preserve">实体审理前归责缺口</w:t>
      </w:r>
      <w:r>
        <w:rPr>
          <w:rFonts w:hint="eastAsia" w:ascii="Noto Serif CJK SC" w:hAnsi="Noto Serif CJK SC" w:eastAsia="Noto Serif CJK SC" w:cs="Noto Serif CJK SC"/>
          <w:lang w:val="en-US" w:eastAsia="zh-CN"/>
        </w:rPr>
        <w:t xml:space="preserve">。该缺口由两种相互关联的失灵构成。第一种是</w:t>
      </w:r>
      <w:r>
        <w:rPr>
          <w:rFonts w:hint="eastAsia" w:ascii="Noto Serif CJK SC" w:hAnsi="Noto Serif CJK SC" w:eastAsia="Noto Serif CJK SC" w:cs="Noto Serif CJK SC"/>
          <w:i/>
          <w:iCs/>
          <w:lang w:val="en-US" w:eastAsia="zh-CN"/>
        </w:rPr>
        <w:t xml:space="preserve">行为人识别失灵</w:t>
      </w:r>
      <w:r>
        <w:rPr>
          <w:rFonts w:hint="eastAsia" w:ascii="Noto Serif CJK SC" w:hAnsi="Noto Serif CJK SC" w:eastAsia="Noto Serif CJK SC" w:cs="Noto Serif CJK SC"/>
          <w:lang w:val="en-US" w:eastAsia="zh-CN"/>
        </w:rPr>
        <w:t xml:space="preserve">：受影响者无法确定哪家企业选择或保留了与所主张风险有关的控制权。第二种是</w:t>
      </w:r>
      <w:r>
        <w:rPr>
          <w:rFonts w:hint="eastAsia" w:ascii="Noto Serif CJK SC" w:hAnsi="Noto Serif CJK SC" w:eastAsia="Noto Serif CJK SC" w:cs="Noto Serif CJK SC"/>
          <w:i/>
          <w:iCs/>
          <w:lang w:val="en-US" w:eastAsia="zh-CN"/>
        </w:rPr>
        <w:t xml:space="preserve">部署记录失灵</w:t>
      </w:r>
      <w:r>
        <w:rPr>
          <w:rFonts w:hint="eastAsia" w:ascii="Noto Serif CJK SC" w:hAnsi="Noto Serif CJK SC" w:eastAsia="Noto Serif CJK SC" w:cs="Noto Serif CJK SC"/>
          <w:lang w:val="en-US" w:eastAsia="zh-CN"/>
        </w:rPr>
        <w:t xml:space="preserve">：即使运营者名称已经显现，检验其行为所需的版本、配置、评估、警示、事件与干预权限，仍保留在组织内部或从未形成记录。第一种失灵在分散式部署中最为严重；第二种失灵则可能决定任何部署中一起案件的命运。</w:t>
      </w:r>
    </w:p>
    <w:p>
      <w:pPr>
        <w:pStyle w:val="BodyText"/>
      </w:pPr>
      <w:r>
        <w:rPr>
          <w:rFonts w:hint="eastAsia" w:ascii="Noto Serif CJK SC" w:hAnsi="Noto Serif CJK SC" w:eastAsia="Noto Serif CJK SC" w:cs="Noto Serif CJK SC"/>
          <w:lang w:val="en-US" w:eastAsia="zh-CN"/>
        </w:rPr>
        <w:t xml:space="preserve">在相关行为人与行为已经明确之后，应适用何种实体规则，人工智能责任研究仍存在分歧。Anat</w:t>
      </w:r>
      <w:r>
        <w:rPr>
          <w:rFonts w:ascii="Noto Serif CJK SC" w:hAnsi="Noto Serif CJK SC" w:eastAsia="Noto Serif CJK SC" w:cs="Noto Serif CJK SC"/>
          <w:lang w:val="en-US" w:eastAsia="zh-CN"/>
        </w:rPr>
        <w:t xml:space="preserve"> Lior </w:t>
      </w:r>
      <w:r>
        <w:rPr>
          <w:rFonts w:hint="eastAsia" w:ascii="Noto Serif CJK SC" w:hAnsi="Noto Serif CJK SC" w:eastAsia="Noto Serif CJK SC" w:cs="Noto Serif CJK SC"/>
          <w:lang w:val="en-US" w:eastAsia="zh-CN"/>
        </w:rPr>
        <w:t xml:space="preserve">主张立法者应对人工智能造成的损害采取严格责任；Zachary</w:t>
      </w:r>
      <w:r>
        <w:rPr>
          <w:rFonts w:ascii="Noto Serif CJK SC" w:hAnsi="Noto Serif CJK SC" w:eastAsia="Noto Serif CJK SC" w:cs="Noto Serif CJK SC"/>
          <w:lang w:val="en-US" w:eastAsia="zh-CN"/>
        </w:rPr>
        <w:t xml:space="preserve"> Henderson </w:t>
      </w:r>
      <w:r>
        <w:rPr>
          <w:rFonts w:hint="eastAsia" w:ascii="Noto Serif CJK SC" w:hAnsi="Noto Serif CJK SC" w:eastAsia="Noto Serif CJK SC" w:cs="Noto Serif CJK SC"/>
          <w:lang w:val="en-US" w:eastAsia="zh-CN"/>
        </w:rPr>
        <w:t xml:space="preserve">则反对类别化的严格责任，认为应继续以过失责任和产品责任为默认规则，辅以保险与范围有限的立法。Catherine</w:t>
      </w:r>
      <w:r>
        <w:rPr>
          <w:rFonts w:ascii="Noto Serif CJK SC" w:hAnsi="Noto Serif CJK SC" w:eastAsia="Noto Serif CJK SC" w:cs="Noto Serif CJK SC"/>
          <w:lang w:val="en-US" w:eastAsia="zh-CN"/>
        </w:rPr>
        <w:t xml:space="preserve"> Sharkey </w:t>
      </w:r>
      <w:r>
        <w:rPr>
          <w:rFonts w:hint="eastAsia" w:ascii="Noto Serif CJK SC" w:hAnsi="Noto Serif CJK SC" w:eastAsia="Noto Serif CJK SC" w:cs="Noto Serif CJK SC"/>
          <w:lang w:val="en-US" w:eastAsia="zh-CN"/>
        </w:rPr>
        <w:t xml:space="preserve">将产品责任视为人工智能领域最有前景的架构，Ketan</w:t>
      </w:r>
      <w:r>
        <w:rPr>
          <w:rFonts w:ascii="Noto Serif CJK SC" w:hAnsi="Noto Serif CJK SC" w:eastAsia="Noto Serif CJK SC" w:cs="Noto Serif CJK SC"/>
          <w:lang w:val="en-US" w:eastAsia="zh-CN"/>
        </w:rPr>
        <w:t xml:space="preserve"> Ramakrishnan </w:t>
      </w:r>
      <w:r>
        <w:rPr>
          <w:rFonts w:hint="eastAsia" w:ascii="Noto Serif CJK SC" w:hAnsi="Noto Serif CJK SC" w:eastAsia="Noto Serif CJK SC" w:cs="Noto Serif CJK SC"/>
          <w:lang w:val="en-US" w:eastAsia="zh-CN"/>
        </w:rPr>
        <w:t xml:space="preserve">则在附加限定的意义上，为将过失责任作为基础模型责任的主要法理基础进行辩护。</w:t>
      </w:r>
      <w:r>
        <w:rPr>
          <w:rFonts w:ascii="Noto Serif CJK SC" w:hAnsi="Noto Serif CJK SC" w:eastAsia="Noto Serif CJK SC" w:cs="Noto Serif CJK SC"/>
          <w:rStyle w:val="FootnoteReference"/>
          <w:lang w:val="en-US" w:eastAsia="zh-CN"/>
        </w:rPr>
        <w:footnoteReference w:id="99"/>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上述观点回答的是实体问题：对于已经识别的行为人与部署，应由何种规则加以调整。本文处理的则是在逻辑上更为先行的信息获取问题：受影响者应如何识别可适用上述任何规则的部署、行为人与有限范围的记录。实体问题防火墙不触动这场实体法分歧。在相关行为与行为人显现之前，过失法无法评价行为。产品责任无法识别哪家公司选择了部署编排框架或保留了更新权。严格责任仍须识别受覆盖的活动或产品，以及其与损害之间的联系。即便某项规则将一类损失排除在责任之外，也须先有充分信息，才能判断案件是否落入该类别。</w:t>
      </w:r>
    </w:p>
    <w:p>
      <w:pPr>
        <w:pStyle w:val="BodyText"/>
      </w:pPr>
      <w:r>
        <w:rPr>
          <w:rFonts w:hint="eastAsia" w:ascii="Noto Serif CJK SC" w:hAnsi="Noto Serif CJK SC" w:eastAsia="Noto Serif CJK SC" w:cs="Noto Serif CJK SC"/>
          <w:lang w:val="en-US" w:eastAsia="zh-CN"/>
        </w:rPr>
        <w:t xml:space="preserve">因此，本文所提问题的范围十分有限：当某项不利事件通过被指定的高影响人工智能部署，影响了特定法律所保护的利益，但受影响者无法识别实际运行的系统、控制持有人或部署记录时，应以哪些事实启动范围有限的身份与事件阶段—又应由哪家企业首先作答？</w:t>
      </w:r>
    </w:p>
    <w:p>
      <w:pPr>
        <w:pStyle w:val="BodyText"/>
      </w:pPr>
      <w:r>
        <w:rPr>
          <w:rFonts w:hint="eastAsia" w:ascii="Noto Serif CJK SC" w:hAnsi="Noto Serif CJK SC" w:eastAsia="Noto Serif CJK SC" w:cs="Noto Serif CJK SC"/>
          <w:lang w:val="en-US" w:eastAsia="zh-CN"/>
        </w:rPr>
        <w:t xml:space="preserve">本文的贡献在于制度上的先后次序。第</w:t>
      </w:r>
      <w:hyperlink w:anchor="Xab8175e220738ba490249d3c1f68399b6f12eb5">
        <w:r>
          <w:rPr>
            <w:rStyle w:val="Hyperlink"/>
            <w:rFonts w:hint="eastAsia" w:ascii="Noto Serif CJK SC" w:hAnsi="Noto Serif CJK SC" w:eastAsia="Noto Serif CJK SC" w:cs="Noto Serif CJK SC"/>
            <w:lang w:val="en-US" w:eastAsia="zh-CN"/>
          </w:rPr>
          <w:t xml:space="preserve">（四）</w:t>
        </w:r>
      </w:hyperlink>
      <w:r>
        <w:rPr>
          <w:rFonts w:hint="eastAsia" w:ascii="Noto Serif CJK SC" w:hAnsi="Noto Serif CJK SC" w:eastAsia="Noto Serif CJK SC" w:cs="Noto Serif CJK SC"/>
          <w:lang w:val="en-US" w:eastAsia="zh-CN"/>
        </w:rPr>
        <w:t xml:space="preserve">节对邻近方案进行整理：这些方案有的从实体义务、披露要求或监管机构出发，有的处理行为人与证据载体已可识别之后的信息获取问题；现有程序则在一项可成立的诉讼已指向可识别对象之后，才提供证据开示。部署责任入口汇集了四项功能：以行业性指定的方式识别法律利益；以事前最低限度记录维持部署的可观察性；以对外可见运营者门槛提供可以找到的首个接收人；以实质性控制检验分配信息获取权，而不分配责任。由此形成的规则，其范围足够狭窄以便管理，功能又足够完整以启动实体程序。</w:t>
      </w:r>
    </w:p>
    <w:p>
      <w:pPr>
        <w:pStyle w:val="BodyText"/>
      </w:pPr>
      <w:r>
        <w:rPr>
          <w:rFonts w:hint="eastAsia" w:ascii="Noto Serif CJK SC" w:hAnsi="Noto Serif CJK SC" w:eastAsia="Noto Serif CJK SC" w:cs="Noto Serif CJK SC"/>
          <w:lang w:val="en-US" w:eastAsia="zh-CN"/>
        </w:rPr>
        <w:t xml:space="preserve">近期研究已将这一相邻的证据问题明确展示在起诉分界线的两侧。Stewart</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提出一项诉前检验权，用于检验修改输入将如何改变某项已知的算法决定。Cen、Ismael</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与</w:t>
      </w:r>
      <w:r>
        <w:rPr>
          <w:rFonts w:ascii="Noto Serif CJK SC" w:hAnsi="Noto Serif CJK SC" w:eastAsia="Noto Serif CJK SC" w:cs="Noto Serif CJK SC"/>
          <w:lang w:val="en-US" w:eastAsia="zh-CN"/>
        </w:rPr>
        <w:t xml:space="preserve"> Zheng </w:t>
      </w:r>
      <w:r>
        <w:rPr>
          <w:rFonts w:hint="eastAsia" w:ascii="Noto Serif CJK SC" w:hAnsi="Noto Serif CJK SC" w:eastAsia="Noto Serif CJK SC" w:cs="Noto Serif CJK SC"/>
          <w:lang w:val="en-US" w:eastAsia="zh-CN"/>
        </w:rPr>
        <w:t xml:space="preserve">识别出“证明的私有化”问题，并在请求者已能识别证据载体与控制该载体的开示义务方之后，对司法信息获取争议进行结构化处理。</w:t>
      </w:r>
      <w:r>
        <w:rPr>
          <w:rFonts w:ascii="Noto Serif CJK SC" w:hAnsi="Noto Serif CJK SC" w:eastAsia="Noto Serif CJK SC" w:cs="Noto Serif CJK SC"/>
          <w:rStyle w:val="FootnoteReference"/>
          <w:lang w:val="en-US" w:eastAsia="zh-CN"/>
        </w:rPr>
        <w:footnoteReference w:id="102"/>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本文则提供一个不同的制度层级：这一前端负责识别部署及其控制持有人，在不利事件演变为诉讼之前建立最低限度的部署记录，并使对外可见的运营者承担有限范围的首次答复义务。之后，反事实测试、通常证据开示与审计，即可针对已知的部署、版本与记录运作。</w:t>
      </w:r>
    </w:p>
    <w:p>
      <w:pPr>
        <w:pStyle w:val="BodyText"/>
      </w:pPr>
      <w:r>
        <w:rPr>
          <w:rFonts w:hint="eastAsia" w:ascii="Noto Serif CJK SC" w:hAnsi="Noto Serif CJK SC" w:eastAsia="Noto Serif CJK SC" w:cs="Noto Serif CJK SC"/>
          <w:lang w:val="en-US" w:eastAsia="zh-CN"/>
        </w:rPr>
        <w:t xml:space="preserve">本方案的主要拟议立法主体，是对特定领域进行规制的州立法机关。对于全国性市场、联邦请求权基础，或需要统一规则的跨州部署，国会也可采用同一架构。法院负责主持封闭的首次答复程序，保护记录，并决定是否有理由启动第二阶段。法院并非依通常证据开示法理创设事前记录义务、不得放弃规则、时效中止期间或执法救济。简言之，本文所提出的，是一套可由法院通过封闭式实体审理前程序加以管理的示范性行业立法。</w:t>
      </w:r>
    </w:p>
    <w:p>
      <w:pPr>
        <w:pStyle w:val="BodyText"/>
      </w:pPr>
      <w:r>
        <w:rPr>
          <w:rFonts w:hint="eastAsia" w:ascii="Noto Serif CJK SC" w:hAnsi="Noto Serif CJK SC" w:eastAsia="Noto Serif CJK SC" w:cs="Noto Serif CJK SC"/>
          <w:lang w:val="en-US" w:eastAsia="zh-CN"/>
        </w:rPr>
        <w:t xml:space="preserve">本文提出一项</w:t>
      </w:r>
      <w:r>
        <w:rPr>
          <w:rFonts w:hint="eastAsia" w:ascii="Noto Serif CJK SC" w:hAnsi="Noto Serif CJK SC" w:eastAsia="Noto Serif CJK SC" w:cs="Noto Serif CJK SC"/>
          <w:i/>
          <w:iCs/>
          <w:lang w:val="en-US" w:eastAsia="zh-CN"/>
        </w:rPr>
        <w:t xml:space="preserve">部署责任入口规则</w:t>
      </w:r>
      <w:r>
        <w:rPr>
          <w:rFonts w:hint="eastAsia" w:ascii="Noto Serif CJK SC" w:hAnsi="Noto Serif CJK SC" w:eastAsia="Noto Serif CJK SC" w:cs="Noto Serif CJK SC"/>
          <w:lang w:val="en-US" w:eastAsia="zh-CN"/>
        </w:rPr>
        <w:t xml:space="preserve">。立法机关首先指定某类部署，并明确受保护的利益、对外可见的运营者、最低限度记录、保存期间、启动条件与救济。受影响者只须识别影响特定法律所保护利益的不利事件、该事件所经由的受覆盖部署，以及将所请求的身份与事件字段同该事件合理联系起来的事实，即可启动第一阶段。第一阶段不要求只有部署记录才能提供的事实。将该部署提供使用，或将其纳入影响受影响者之流程的企业，成为信息开示的入口。该企业必须识别所部署的系统，提供范围有限的事件回执与保管人图谱，保全相应记录，并启动合同约定的调取路径。只有在下列条件均获满足时，已被识别的企业才会继续参与第二阶段：该企业对与风险相关的功能拥有实际权限；第一阶段的记录表明，该功能构成事件路径的一部分或支配了某项安全保障；且所请求的信息与某项构成要件、抗辩或救济存在并非微不足道的关联。</w:t>
      </w:r>
    </w:p>
    <w:p>
      <w:pPr>
        <w:pStyle w:val="BodyText"/>
      </w:pPr>
      <w:r>
        <w:rPr>
          <w:rFonts w:hint="eastAsia" w:ascii="Noto Serif CJK SC" w:hAnsi="Noto Serif CJK SC" w:eastAsia="Noto Serif CJK SC" w:cs="Noto Serif CJK SC"/>
          <w:lang w:val="en-US" w:eastAsia="zh-CN"/>
        </w:rPr>
        <w:t xml:space="preserve">该规则改变的是事实的获取方式，而非决定案件的构成要件。实体问题防火墙不创设任何实体问题推定。管辖权、豁免、特权、比例原则、商业秘密保护与实体抗辩均继续有效。企业完成首次答复义务，并证明其对争议风险不具实质性控制后，其特殊部署责任入口角色即告终止；如无另一项本身足以成立的请求，该企业将恢复通常非当事人地位。最终责任分配仍由相关请求权基础、责任分担与追偿法、合同，以及任何可独立提出的个人请求予以调整。</w:t>
      </w:r>
    </w:p>
    <w:p>
      <w:pPr>
        <w:pStyle w:val="BodyText"/>
      </w:pPr>
      <w:r>
        <w:rPr>
          <w:rFonts w:hint="eastAsia" w:ascii="Noto Serif CJK SC" w:hAnsi="Noto Serif CJK SC" w:eastAsia="Noto Serif CJK SC" w:cs="Noto Serif CJK SC"/>
          <w:lang w:val="en-US" w:eastAsia="zh-CN"/>
        </w:rPr>
        <w:t xml:space="preserve">部署责任入口包含事前组成部分，因为诉讼无法找回部署从未建立的记录。对于每个被指定类别，制定法应当设定一项</w:t>
      </w:r>
      <w:r>
        <w:rPr>
          <w:rFonts w:hint="eastAsia" w:ascii="Noto Serif CJK SC" w:hAnsi="Noto Serif CJK SC" w:eastAsia="Noto Serif CJK SC" w:cs="Noto Serif CJK SC"/>
          <w:i/>
          <w:iCs/>
          <w:lang w:val="en-US" w:eastAsia="zh-CN"/>
        </w:rPr>
        <w:t xml:space="preserve">部署记录义务</w:t>
      </w:r>
      <w:r>
        <w:rPr>
          <w:rFonts w:hint="eastAsia" w:ascii="Noto Serif CJK SC" w:hAnsi="Noto Serif CJK SC" w:eastAsia="Noto Serif CJK SC" w:cs="Noto Serif CJK SC"/>
          <w:lang w:val="en-US" w:eastAsia="zh-CN"/>
        </w:rPr>
        <w:t xml:space="preserve">：识别系统与版本；分配风险责任与批准权限；记录重大评估、未解决的风险决定、变更、投诉、事件与干预；识别能够限制、回滚或停止运行的主体；并在指定期间内保存该记录。责任章程是履行该记录义务的内部工具：它是部署责任入口的基础设施，而非另一项治理产品。</w:t>
      </w:r>
    </w:p>
    <w:p>
      <w:pPr>
        <w:pStyle w:val="BodyText"/>
      </w:pPr>
      <w:r>
        <w:rPr>
          <w:rFonts w:hint="eastAsia" w:ascii="Noto Serif CJK SC" w:hAnsi="Noto Serif CJK SC" w:eastAsia="Noto Serif CJK SC" w:cs="Noto Serif CJK SC"/>
          <w:lang w:val="en-US" w:eastAsia="zh-CN"/>
        </w:rPr>
        <w:t xml:space="preserve">必需记录的范围随实际控制而定。本文使用经压缩的</w:t>
      </w:r>
      <w:r>
        <w:rPr>
          <w:rFonts w:hint="eastAsia" w:ascii="Noto Serif CJK SC" w:hAnsi="Noto Serif CJK SC" w:eastAsia="Noto Serif CJK SC" w:cs="Noto Serif CJK SC"/>
          <w:i/>
          <w:iCs/>
          <w:lang w:val="en-US" w:eastAsia="zh-CN"/>
        </w:rPr>
        <w:t xml:space="preserve">部署控制级联</w:t>
      </w:r>
      <w:r>
        <w:rPr>
          <w:rFonts w:hint="eastAsia" w:ascii="Noto Serif CJK SC" w:hAnsi="Noto Serif CJK SC" w:eastAsia="Noto Serif CJK SC" w:cs="Noto Serif CJK SC"/>
          <w:lang w:val="en-US" w:eastAsia="zh-CN"/>
        </w:rPr>
        <w:t xml:space="preserve">，绘制目标、资源、配置、反馈与停止运行权能如何分布于模型供应商、应用部署者与运营机构之间。该级联是一种记录规格化方法。它识别与授权、通知、可预见性、可行预防措施、因果序列、保全与抗辩相关的证据；所有法律标准均由适用法提供。词元层面的不可预测性或许会增加因果证明的难度，却不会使组织就目的、用户、数据、指令、工具、监测、更新与关停作出的选择归于消失。</w:t>
      </w:r>
    </w:p>
    <w:p>
      <w:pPr>
        <w:pStyle w:val="BodyText"/>
      </w:pPr>
      <w:r>
        <w:rPr>
          <w:rFonts w:hint="eastAsia" w:ascii="Noto Serif CJK SC" w:hAnsi="Noto Serif CJK SC" w:eastAsia="Noto Serif CJK SC" w:cs="Noto Serif CJK SC"/>
          <w:lang w:val="en-US" w:eastAsia="zh-CN"/>
        </w:rPr>
        <w:t xml:space="preserve">三项设计约束界定该规则的具体规格。第一，当请求权人已经找到适格被告与可识别的记录持有人时，通常诉状陈述与证据开示往往能够有效运作。缺口在于建立这些前提事实，并在诉讼发生前建立记录。第二，即使企业最终胜诉，主体识别与信息开示仍会产生实际成本。因此，覆盖范围须按行业指定；第一阶段须为封闭且针对特定事件的程序；第二阶段须针对具体请求权并符合比例原则；隐私、安全、特权与商业秘密亦须获得保护。第三，一些与人工智能相关的损失并无法律救济。因此，指定规则须明确受保护的利益与执法路径，纯粹法律抗辩可在第二阶段前解决，制定法也不会仅因受影响者提及人工智能，便赋予其检查某项部署的一般权利。</w:t>
      </w:r>
    </w:p>
    <w:p>
      <w:pPr>
        <w:pStyle w:val="BodyText"/>
      </w:pPr>
      <w:r>
        <w:rPr>
          <w:rFonts w:hint="eastAsia" w:ascii="Noto Serif CJK SC" w:hAnsi="Noto Serif CJK SC" w:eastAsia="Noto Serif CJK SC" w:cs="Noto Serif CJK SC"/>
          <w:lang w:val="en-US" w:eastAsia="zh-CN"/>
        </w:rPr>
        <w:t xml:space="preserve">本文分五个部分展开这一核心贡献。第一部分识别实体审理前归责缺口，将本文方案与相邻的证据获取研究区分开来，并将部署控制级联压缩为明确缺失记录的工具。第二部分阐明部署责任入口规则，分离第一阶段与第二阶段，界定实质性控制，提供示范性法条，并协调这项实体法上的信息获取权与联邦程序。第三部分将规则适用于两种互为补充的情形：在</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Garcia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案中，对外可见的运营者使记录开示成为中心问题；在</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Mobley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案中，功能身份、数据托管、法律上的控制与验证分散于雇主与供应商之间。第四部分构建经最小化的事前记录基础设施，并将之与现有安全、信息请求与私人信息获取制度加以比较。第五部分则界定四条边界：既有法律利益；宪法与保密保护；仲裁、跨境执行与联邦优先适用；以及分类中立性。结论回归一个命题：人工智能案件应由实体法决定，而不应由阻止实体法开始运作的信息不对称决定。</w:t>
      </w:r>
    </w:p>
    <w:bookmarkEnd w:id="106"/>
    <w:bookmarkStart w:id="134" w:name="the-premerits-attribution-gap"/>
    <w:p>
      <w:pPr>
        <w:pStyle w:val="Heading3"/>
      </w:pPr>
      <w:r>
        <w:rPr>
          <w:rFonts w:hint="eastAsia" w:ascii="Noto Sans CJK SC" w:hAnsi="Noto Sans CJK SC" w:eastAsia="Noto Sans CJK SC" w:cs="Noto Sans CJK SC"/>
          <w:lang w:val="en-US" w:eastAsia="zh-CN"/>
        </w:rPr>
        <w:t xml:space="preserve">一</w:t>
      </w:r>
      <w:r>
        <w:rPr>
          <w:rFonts w:ascii="Noto Sans CJK SC" w:hAnsi="Noto Sans CJK SC" w:eastAsia="Noto Sans CJK SC" w:cs="Noto Sans CJK SC"/>
          <w:lang w:val="en-US" w:eastAsia="zh-CN"/>
        </w:rPr>
        <w:t xml:space="preserve">　</w:t>
      </w:r>
      <w:r>
        <w:rPr>
          <w:rFonts w:hint="eastAsia" w:ascii="Noto Sans CJK SC" w:hAnsi="Noto Sans CJK SC" w:eastAsia="Noto Sans CJK SC" w:cs="Noto Sans CJK SC"/>
          <w:lang w:val="en-US" w:eastAsia="zh-CN"/>
        </w:rPr>
        <w:t xml:space="preserve">实体审理前归责缺口</w:t>
      </w:r>
    </w:p>
    <w:p>
      <w:pPr>
        <w:pStyle w:val="FirstParagraph"/>
      </w:pPr>
      <w:r>
        <w:rPr>
          <w:rFonts w:hint="eastAsia" w:ascii="Noto Serif CJK SC" w:hAnsi="Noto Serif CJK SC" w:eastAsia="Noto Serif CJK SC" w:cs="Noto Serif CJK SC"/>
          <w:lang w:val="en-US" w:eastAsia="zh-CN"/>
        </w:rPr>
        <w:t xml:space="preserve">实体规则与事实获取规则承担不同功能。过失法可能追问合理部署者原本应采取哪些预防措施；产品法可能追问设计或警示是否存在缺陷；反歧视法可能追问筛选流程是否导致法律所禁止的差异结果；行政法可能追问行政机关是否提供了某项权利所要求的理由说明与复审。每项审查都预设了明确的行为、行为人、系统与时点。受影响者通常知道不利结果及传递该结果的机构，却通常不知道将该结果同适用要件联系起来所需的版本、配置、控制权分配或记录。</w:t>
      </w:r>
    </w:p>
    <w:p>
      <w:pPr>
        <w:pStyle w:val="BodyText"/>
      </w:pPr>
      <w:r>
        <w:rPr>
          <w:rFonts w:hint="eastAsia" w:ascii="Noto Serif CJK SC" w:hAnsi="Noto Serif CJK SC" w:eastAsia="Noto Serif CJK SC" w:cs="Noto Serif CJK SC"/>
          <w:lang w:val="en-US" w:eastAsia="zh-CN"/>
        </w:rPr>
        <w:t xml:space="preserve">本部分分四步识别由此形成的缺口。第（一）节将计算不透明性同裁判可以触及的系统与组织事实分离开来。第（二）节说明，当适格对象与记录持有人已可识别时，通常联邦程序开始有效运作，但对于如何建立这些前提，并无统一路径。第（三）节将部署责任入口与相邻的证据获取研究加以区分。第（四）节则将部署控制级联压缩为一项规格，用于明确部署责任入口须识别与保全的事实。</w:t>
      </w:r>
    </w:p>
    <w:bookmarkStart w:id="109" w:name="X373513752e49abb5fbcd58354d54f743b4b83d8"/>
    <w:p>
      <w:pPr>
        <w:pStyle w:val="Heading4"/>
      </w:pPr>
      <w:r>
        <w:rPr>
          <w:rFonts w:hint="eastAsia" w:ascii="Noto Sans CJK SC" w:hAnsi="Noto Sans CJK SC" w:eastAsia="Noto Sans CJK SC" w:cs="Noto Sans CJK SC"/>
          <w:lang w:val="en-US" w:eastAsia="zh-CN"/>
        </w:rPr>
        <w:t xml:space="preserve">（一）输出无法揭示部署</w:t>
      </w:r>
    </w:p>
    <w:p>
      <w:pPr>
        <w:pStyle w:val="FirstParagraph"/>
      </w:pPr>
      <w:r>
        <w:rPr>
          <w:rFonts w:hint="eastAsia" w:ascii="Noto Serif CJK SC" w:hAnsi="Noto Serif CJK SC" w:eastAsia="Noto Serif CJK SC" w:cs="Noto Serif CJK SC"/>
          <w:lang w:val="en-US" w:eastAsia="zh-CN"/>
        </w:rPr>
        <w:t xml:space="preserve">人工智能争议的分析起点应是已部署的系统，而非生成的词元、评分或建议。第一个归责问题并非“谁选择了最终文字或数字”，而是“谁建构、供应、授权并观察了产生法律相关效果的部署，又是谁有能力改变该部署”。模型内部计算或许难以解释，而在法律要求建立并保存相关记录时，其外围控制结构却可在合同、发布记录、配置系统、评估报告、事件队列与访问日志中留下可用证据。即使无法对模型内部路径作出简明解释，上述区分仍使责任证据成为可获取的材料。</w:t>
      </w:r>
    </w:p>
    <w:p>
      <w:pPr>
        <w:pStyle w:val="BodyText"/>
      </w:pPr>
      <w:r>
        <w:rPr>
          <w:rFonts w:hint="eastAsia" w:ascii="Noto Serif CJK SC" w:hAnsi="Noto Serif CJK SC" w:eastAsia="Noto Serif CJK SC" w:cs="Noto Serif CJK SC"/>
          <w:lang w:val="en-US" w:eastAsia="zh-CN"/>
        </w:rPr>
        <w:t xml:space="preserve">应将三种不透明性加以区分。</w:t>
      </w:r>
      <w:r>
        <w:rPr>
          <w:rFonts w:hint="eastAsia" w:ascii="Noto Serif CJK SC" w:hAnsi="Noto Serif CJK SC" w:eastAsia="Noto Serif CJK SC" w:cs="Noto Serif CJK SC"/>
          <w:i/>
          <w:iCs/>
          <w:lang w:val="en-US" w:eastAsia="zh-CN"/>
        </w:rPr>
        <w:t xml:space="preserve">计算不透明性</w:t>
      </w:r>
      <w:r>
        <w:rPr>
          <w:rFonts w:hint="eastAsia" w:ascii="Noto Serif CJK SC" w:hAnsi="Noto Serif CJK SC" w:eastAsia="Noto Serif CJK SC" w:cs="Noto Serif CJK SC"/>
          <w:lang w:val="en-US" w:eastAsia="zh-CN"/>
        </w:rPr>
        <w:t xml:space="preserve">是指无法以人所能理解的尺度，说明内部状态如何产生某项特定输出。</w:t>
      </w:r>
      <w:r>
        <w:rPr>
          <w:rFonts w:hint="eastAsia" w:ascii="Noto Serif CJK SC" w:hAnsi="Noto Serif CJK SC" w:eastAsia="Noto Serif CJK SC" w:cs="Noto Serif CJK SC"/>
          <w:i/>
          <w:iCs/>
          <w:lang w:val="en-US" w:eastAsia="zh-CN"/>
        </w:rPr>
        <w:t xml:space="preserve">系统不透明性</w:t>
      </w:r>
      <w:r>
        <w:rPr>
          <w:rFonts w:hint="eastAsia" w:ascii="Noto Serif CJK SC" w:hAnsi="Noto Serif CJK SC" w:eastAsia="Noto Serif CJK SC" w:cs="Noto Serif CJK SC"/>
          <w:lang w:val="en-US" w:eastAsia="zh-CN"/>
        </w:rPr>
        <w:t xml:space="preserve">涉及模型、指令、检索、记忆、工具、过滤器、凭证与常规软件之间的互动。</w:t>
      </w:r>
      <w:r>
        <w:rPr>
          <w:rFonts w:hint="eastAsia" w:ascii="Noto Serif CJK SC" w:hAnsi="Noto Serif CJK SC" w:eastAsia="Noto Serif CJK SC" w:cs="Noto Serif CJK SC"/>
          <w:i/>
          <w:iCs/>
          <w:lang w:val="en-US" w:eastAsia="zh-CN"/>
        </w:rPr>
        <w:t xml:space="preserve">组织不透明性</w:t>
      </w:r>
      <w:r>
        <w:rPr>
          <w:rFonts w:hint="eastAsia" w:ascii="Noto Serif CJK SC" w:hAnsi="Noto Serif CJK SC" w:eastAsia="Noto Serif CJK SC" w:cs="Noto Serif CJK SC"/>
          <w:lang w:val="en-US" w:eastAsia="zh-CN"/>
        </w:rPr>
        <w:t xml:space="preserve">则涉及是谁批准使用、掌握风险信息、控制资源，或者能够限制与停止运行。第一种不透明性可能源自系统架构，后两种通常源自部署设计与记录保存。</w:t>
      </w:r>
    </w:p>
    <w:p>
      <w:pPr>
        <w:pStyle w:val="BodyText"/>
      </w:pPr>
      <w:r>
        <w:rPr>
          <w:rFonts w:hint="eastAsia" w:ascii="Noto Serif CJK SC" w:hAnsi="Noto Serif CJK SC" w:eastAsia="Noto Serif CJK SC" w:cs="Noto Serif CJK SC"/>
          <w:lang w:val="en-US" w:eastAsia="zh-CN"/>
        </w:rPr>
        <w:t xml:space="preserve">将三者一概称为“黑箱”，会使最难处理的事实遮蔽一般法理能够利用的事实。法院或许无法重构模型为何将某个词元排在另一词元之前，却可以查明：供应商选择了该模型；部署者提供了受保护的记录与外部工具；界面隐去了不确定性；安全团队记录了已知失效模式；管理层拒绝延迟发布；以及操作人员没有足够时间或权限实施干预。故意与知情经常可以从行为和情境中推断，产品缺陷有时可以通过间接证据证明，组织的直接过错也可能存在于信息系统、监督与资源配置之中。</w:t>
      </w:r>
      <w:r>
        <w:rPr>
          <w:rFonts w:ascii="Noto Serif CJK SC" w:hAnsi="Noto Serif CJK SC" w:eastAsia="Noto Serif CJK SC" w:cs="Noto Serif CJK SC"/>
          <w:rStyle w:val="FootnoteReference"/>
          <w:lang w:val="en-US" w:eastAsia="zh-CN"/>
        </w:rPr>
        <w:footnoteReference w:id="107"/>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模型可解释性并非部署层面责任成立的先决条件。</w:t>
      </w:r>
    </w:p>
    <w:p>
      <w:pPr>
        <w:pStyle w:val="BodyText"/>
      </w:pPr>
      <w:r>
        <w:rPr>
          <w:rFonts w:hint="eastAsia" w:ascii="Noto Serif CJK SC" w:hAnsi="Noto Serif CJK SC" w:eastAsia="Noto Serif CJK SC" w:cs="Noto Serif CJK SC"/>
          <w:lang w:val="en-US" w:eastAsia="zh-CN"/>
        </w:rPr>
        <w:t xml:space="preserve">技术栈的分散使这些可获取的事实难以归属于具体主体。以某雇主获得求职者平台许可为例：雇主可能选择职位、标准、候选人范围、建议的权重与最终处理结果；平台供应商可能选择排序模型、训练流程、默认功能、更新频率与偏差测试；系统集成商则可能配置数据字段与工作流程触发条件。求职者看到的是带有雇主品牌的门户和一项拒绝决定，而非上述权能分配。例如，在</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Mobley v. Workday, Inc.</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一案中，起诉状称，雇主客户将候选人筛选委托给</w:t>
      </w:r>
      <w:r>
        <w:rPr>
          <w:rFonts w:ascii="Noto Serif CJK SC" w:hAnsi="Noto Serif CJK SC" w:eastAsia="Noto Serif CJK SC" w:cs="Noto Serif CJK SC"/>
          <w:lang w:val="en-US" w:eastAsia="zh-CN"/>
        </w:rPr>
        <w:t xml:space="preserve"> Workday </w:t>
      </w:r>
      <w:r>
        <w:rPr>
          <w:rFonts w:hint="eastAsia" w:ascii="Noto Serif CJK SC" w:hAnsi="Noto Serif CJK SC" w:eastAsia="Noto Serif CJK SC" w:cs="Noto Serif CJK SC"/>
          <w:lang w:val="en-US" w:eastAsia="zh-CN"/>
        </w:rPr>
        <w:t xml:space="preserve">的人工智能工具。在《联邦民事诉讼规则》第</w:t>
      </w:r>
      <w:r>
        <w:rPr>
          <w:rFonts w:ascii="Noto Serif CJK SC" w:hAnsi="Noto Serif CJK SC" w:eastAsia="Noto Serif CJK SC" w:cs="Noto Serif CJK SC"/>
          <w:lang w:val="en-US" w:eastAsia="zh-CN"/>
        </w:rPr>
        <w:t xml:space="preserve"> 12 </w:t>
      </w:r>
      <w:r>
        <w:rPr>
          <w:rFonts w:hint="eastAsia" w:ascii="Noto Serif CJK SC" w:hAnsi="Noto Serif CJK SC" w:eastAsia="Noto Serif CJK SC" w:cs="Noto Serif CJK SC"/>
          <w:lang w:val="en-US" w:eastAsia="zh-CN"/>
        </w:rPr>
        <w:t xml:space="preserve">条的审查阶段，联邦地区法院认为，诉称将传统招聘职能交由该工具履行，足以依制定法上的代理理论继续审理；但法院并未因此确认该事实主张，亦未解决最终责任问题。</w:t>
      </w:r>
      <w:r>
        <w:rPr>
          <w:rFonts w:ascii="Noto Serif CJK SC" w:hAnsi="Noto Serif CJK SC" w:eastAsia="Noto Serif CJK SC" w:cs="Noto Serif CJK SC"/>
          <w:rStyle w:val="FootnoteReference"/>
          <w:lang w:val="en-US" w:eastAsia="zh-CN"/>
        </w:rPr>
        <w:footnoteReference w:id="108"/>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该裁定表明，一旦供应商及其被诉称承担的功能显现，实体法即可以处理分散式技术栈。但它并未为每一名落选的求职者提供达到该阶段所需的主体身份、版本、配置或评估记录。</w:t>
      </w:r>
    </w:p>
    <w:p>
      <w:pPr>
        <w:pStyle w:val="BodyText"/>
      </w:pPr>
      <w:r>
        <w:rPr>
          <w:rFonts w:hint="eastAsia" w:ascii="Noto Serif CJK SC" w:hAnsi="Noto Serif CJK SC" w:eastAsia="Noto Serif CJK SC" w:cs="Noto Serif CJK SC"/>
          <w:lang w:val="en-US" w:eastAsia="zh-CN"/>
        </w:rPr>
        <w:t xml:space="preserve">当对外可见的机构自身也无法检查供应商所用方法时，同一问题仍会出现。公共雇主可能控制某项评分是否以及如何影响解雇，而供应商控制评分软件与更新。医院可能选择患者群体并将建议纳入工作流程，而供应商控制模型验证与发布。社会保障给付机关可能掌握法律上的决定与申诉路径，承包商则控制计算工具与文档记录。控制权依功能分布，而非整体转移给屏幕上显示其标识的实体。</w:t>
      </w:r>
    </w:p>
    <w:p>
      <w:pPr>
        <w:pStyle w:val="BodyText"/>
      </w:pPr>
      <w:r>
        <w:rPr>
          <w:rFonts w:hint="eastAsia" w:ascii="Noto Serif CJK SC" w:hAnsi="Noto Serif CJK SC" w:eastAsia="Noto Serif CJK SC" w:cs="Noto Serif CJK SC"/>
          <w:lang w:val="en-US" w:eastAsia="zh-CN"/>
        </w:rPr>
        <w:t xml:space="preserve">在上述分布中，现有法律主体的地位保持稳定。运作自主性描述系统如何产生效果，却不能识别一个拥有资产与记录、能够接受送达并承受裁判后果的实体。就本文所考察的受覆盖部署而言，这些法律属性仍由既有组织承受。未来的立法机关可以构建一种范围有限的法律主体地位，并明确其代表人、资产、归责规则、送达与救济。部署责任入口规则无须回答这一未来问题。它所追踪的，是现行法当下可以触及的记录与实际权限。</w:t>
      </w:r>
    </w:p>
    <w:bookmarkEnd w:id="109"/>
    <w:bookmarkStart w:id="110" w:name="two-coordinates-define-the-gap"/>
    <w:p>
      <w:pPr>
        <w:pStyle w:val="Heading4"/>
      </w:pPr>
      <w:r>
        <w:rPr>
          <w:rFonts w:hint="eastAsia" w:ascii="Noto Sans CJK SC" w:hAnsi="Noto Sans CJK SC" w:eastAsia="Noto Sans CJK SC" w:cs="Noto Sans CJK SC"/>
          <w:lang w:val="en-US" w:eastAsia="zh-CN"/>
        </w:rPr>
        <w:t xml:space="preserve">（二）两个坐标界定归责缺口</w:t>
      </w:r>
    </w:p>
    <w:p>
      <w:pPr>
        <w:pStyle w:val="FirstParagraph"/>
      </w:pPr>
      <w:r>
        <w:rPr>
          <w:rFonts w:hint="eastAsia" w:ascii="Noto Serif CJK SC" w:hAnsi="Noto Serif CJK SC" w:eastAsia="Noto Serif CJK SC" w:cs="Noto Serif CJK SC"/>
          <w:lang w:val="en-US" w:eastAsia="zh-CN"/>
        </w:rPr>
        <w:t xml:space="preserve">行为人身份与记录可获得性是彼此独立的两个坐标。将二者视为一个笼统的不透明性问题，会遮蔽所需法律干预的类型。请求权人可能知道相关运营者，却无法取得其部署记录；也可能持有交易或申请记录，却不知道供应实际运作功能的上游实体。分散式技术栈可能使两种情形同时出现。部署责任入口对主体身份识别与记录获取作出先后安排，使每种情形都只获得最小限度且确有实效的回应。</w:t>
      </w:r>
    </w:p>
    <w:p>
      <w:pPr>
        <w:pStyle w:val="BodyText"/>
      </w:pPr>
      <w:r>
        <w:rPr>
          <w:rFonts w:hint="eastAsia" w:ascii="Noto Serif CJK SC" w:hAnsi="Noto Serif CJK SC" w:eastAsia="Noto Serif CJK SC" w:cs="Noto Serif CJK SC"/>
          <w:lang w:val="en-US" w:eastAsia="zh-CN"/>
        </w:rPr>
        <w:t xml:space="preserve">第一种组合，是存在可识别的一体化运营者，且其记录充分。通常程序已有可直接指向的对象，制定法的主要功能因而发生在事前：促进标准化与保存，并实现迅速的首次答复。无须增加另一名实体问题被告，该记录即可明确当时有效的版本、相关政策、警示、事件序列与停止运行权限。如起诉后该请求继续审理，通常证据开示即可以熟悉的方式进一步充实记录。</w:t>
      </w:r>
    </w:p>
    <w:p>
      <w:pPr>
        <w:pStyle w:val="BodyText"/>
      </w:pPr>
      <w:r>
        <w:rPr>
          <w:rFonts w:hint="eastAsia" w:ascii="Noto Serif CJK SC" w:hAnsi="Noto Serif CJK SC" w:eastAsia="Noto Serif CJK SC" w:cs="Noto Serif CJK SC"/>
          <w:lang w:val="en-US" w:eastAsia="zh-CN"/>
        </w:rPr>
        <w:t xml:space="preserve">第二种组合，是运营者可以识别，但其内部记录缺失或分散。品牌与法律实体虽然清晰可见，请求权人以及有时连运营者自身，却无法还原哪些版本、组件、政策与干预角色支配了相关事件。这就是信息开示问题。在一体化消费者服务中，当工程、安全、产品、信任与安全及高管决策分存于不同系统时，该问题即会出现。当公共机构依赖其自身无法独立验证的专有评分时，该问题也会出现。事前义务在此最具意义，因为事件发生后的传票，无法创设运营者从未记录的版本谱系或批准事实。</w:t>
      </w:r>
    </w:p>
    <w:p>
      <w:pPr>
        <w:pStyle w:val="BodyText"/>
      </w:pPr>
      <w:r>
        <w:rPr>
          <w:rFonts w:hint="eastAsia" w:ascii="Noto Serif CJK SC" w:hAnsi="Noto Serif CJK SC" w:eastAsia="Noto Serif CJK SC" w:cs="Noto Serif CJK SC"/>
          <w:lang w:val="en-US" w:eastAsia="zh-CN"/>
        </w:rPr>
        <w:t xml:space="preserve">第三种组合，是事件可以识别，但实际运作的实体未知。求职者可能掌握雇主、职位、时间戳与拒绝决定，却不知道处理申请的产品功能及对其负责的供应商。患者可能知道在某医院就诊，却不知道嵌入临床工作流程的供应商与版本。这就是行为人识别失灵。范围封闭的首次答复程序，先解决来源与保管人字段，然后才允许更广泛的信息获取。对外可见的运营者承担入口角色，是因为它选择将该系统纳入自身流程，且即使相关控制路径由另一家企业掌握，它仍可以保全事件记录。</w:t>
      </w:r>
    </w:p>
    <w:p>
      <w:pPr>
        <w:pStyle w:val="BodyText"/>
      </w:pPr>
      <w:r>
        <w:rPr>
          <w:rFonts w:hint="eastAsia" w:ascii="Noto Serif CJK SC" w:hAnsi="Noto Serif CJK SC" w:eastAsia="Noto Serif CJK SC" w:cs="Noto Serif CJK SC"/>
          <w:lang w:val="en-US" w:eastAsia="zh-CN"/>
        </w:rPr>
        <w:t xml:space="preserve">第四种组合同时包含上述两类问题。实际运作的功能与供应商均被隐去，最低限度记录或者从未建立，或者依合同分散保存。供应商可能托管数据，而客户拥有数据；系统集成商可能持有配置历史，而机构掌握决定；模型供应商可能知道版本谱系，而应用公司掌握提示词、工具与用户暴露情况。在揭示这张图谱之前便要求请求权人选定唯一控制者，会把组织设计转化为诉讼优势。反之，将每一参与者都视为控制者，又会产生相反的错误。部署责任入口先识别具体路径，然后终止路径之外的行为人所承担的特殊角色。</w:t>
      </w:r>
    </w:p>
    <w:p>
      <w:pPr>
        <w:pStyle w:val="BodyText"/>
      </w:pPr>
      <w:r>
        <w:rPr>
          <w:rFonts w:hint="eastAsia" w:ascii="Noto Serif CJK SC" w:hAnsi="Noto Serif CJK SC" w:eastAsia="Noto Serif CJK SC" w:cs="Noto Serif CJK SC"/>
          <w:lang w:val="en-US" w:eastAsia="zh-CN"/>
        </w:rPr>
        <w:t xml:space="preserve">上述两坐标分析导出一项固定次序。对外可见的运营者绘制部署与事件图谱。已被识别的企业确认各自的控制路径与记录路径。所有持有人保全范围有限的相关部分。第一阶段提供版本、来源、控制与事件字段。实质性控制检验排除无关行为人。第二阶段仅针对相关法律理论与尚未解决的控制路径继续进行。该次序构成本文的核心制度收益：它在不预先决定相关记录本欲阐明的责任问题的前提下，开启信息获取路径。</w:t>
      </w:r>
    </w:p>
    <w:bookmarkEnd w:id="110"/>
    <w:bookmarkStart w:id="119" w:name="X0d45b1bf289ec41abdcdcdd96a97e2c1be6f103"/>
    <w:p>
      <w:pPr>
        <w:pStyle w:val="Heading4"/>
      </w:pPr>
      <w:r>
        <w:rPr>
          <w:rFonts w:hint="eastAsia" w:ascii="Noto Sans CJK SC" w:hAnsi="Noto Sans CJK SC" w:eastAsia="Noto Sans CJK SC" w:cs="Noto Sans CJK SC"/>
          <w:lang w:val="en-US" w:eastAsia="zh-CN"/>
        </w:rPr>
        <w:t xml:space="preserve">（三）通常程序在四项前提具备后启动</w:t>
      </w:r>
    </w:p>
    <w:p>
      <w:pPr>
        <w:pStyle w:val="FirstParagraph"/>
      </w:pPr>
      <w:r>
        <w:rPr>
          <w:rFonts w:hint="eastAsia" w:ascii="Noto Serif CJK SC" w:hAnsi="Noto Serif CJK SC" w:eastAsia="Noto Serif CJK SC" w:cs="Noto Serif CJK SC"/>
          <w:lang w:val="en-US" w:eastAsia="zh-CN"/>
        </w:rPr>
        <w:t xml:space="preserve">联邦程序在四项前提具备后提供功能强大的工具：已经提起的诉讼；能够陈述一项可成立法律请求的起诉状；已知的当事人或传票接收人；以及该对象所可触及的现有记录。部署责任入口所提供的，是建立上述前提所需的信息；它并不取代之后的通常程序。</w:t>
      </w:r>
    </w:p>
    <w:p>
      <w:pPr>
        <w:pStyle w:val="BodyText"/>
      </w:pPr>
      <w:r>
        <w:rPr>
          <w:rFonts w:hint="eastAsia" w:ascii="Noto Serif CJK SC" w:hAnsi="Noto Serif CJK SC" w:eastAsia="Noto Serif CJK SC" w:cs="Noto Serif CJK SC"/>
          <w:lang w:val="en-US" w:eastAsia="zh-CN"/>
        </w:rPr>
        <w:t xml:space="preserve">诉状陈述法理可以说明这一次序。《联邦民事诉讼规则》第</w:t>
      </w:r>
      <w:r>
        <w:rPr>
          <w:rFonts w:ascii="Noto Serif CJK SC" w:hAnsi="Noto Serif CJK SC" w:eastAsia="Noto Serif CJK SC" w:cs="Noto Serif CJK SC"/>
          <w:lang w:val="en-US" w:eastAsia="zh-CN"/>
        </w:rPr>
        <w:t xml:space="preserve"> 8 </w:t>
      </w:r>
      <w:r>
        <w:rPr>
          <w:rFonts w:hint="eastAsia" w:ascii="Noto Serif CJK SC" w:hAnsi="Noto Serif CJK SC" w:eastAsia="Noto Serif CJK SC" w:cs="Noto Serif CJK SC"/>
          <w:lang w:val="en-US" w:eastAsia="zh-CN"/>
        </w:rPr>
        <w:t xml:space="preserve">条要求作出简短明了的陈述，表明当事人有权获得救济。</w:t>
      </w:r>
      <w:r>
        <w:rPr>
          <w:rFonts w:ascii="Noto Serif CJK SC" w:hAnsi="Noto Serif CJK SC" w:eastAsia="Noto Serif CJK SC" w:cs="Noto Serif CJK SC"/>
          <w:i/>
          <w:iCs/>
          <w:lang w:val="en-US" w:eastAsia="zh-CN"/>
        </w:rPr>
        <w:t xml:space="preserve">Twombly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与</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Iqbal</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要求提出足以支持合理可信请求的事实材料，而第</w:t>
      </w:r>
      <w:r>
        <w:rPr>
          <w:rFonts w:ascii="Noto Serif CJK SC" w:hAnsi="Noto Serif CJK SC" w:eastAsia="Noto Serif CJK SC" w:cs="Noto Serif CJK SC"/>
          <w:lang w:val="en-US" w:eastAsia="zh-CN"/>
        </w:rPr>
        <w:t xml:space="preserve"> 11(b)(3) </w:t>
      </w:r>
      <w:r>
        <w:rPr>
          <w:rFonts w:hint="eastAsia" w:ascii="Noto Serif CJK SC" w:hAnsi="Noto Serif CJK SC" w:eastAsia="Noto Serif CJK SC" w:cs="Noto Serif CJK SC"/>
          <w:lang w:val="en-US" w:eastAsia="zh-CN"/>
        </w:rPr>
        <w:t xml:space="preserve">条要求律师证明，相关事实主张已有证据支持，或者在特别指明后，可能于获得合理调查或证据开示机会后取得证据支持。</w:t>
      </w:r>
      <w:r>
        <w:rPr>
          <w:rFonts w:ascii="Noto Serif CJK SC" w:hAnsi="Noto Serif CJK SC" w:eastAsia="Noto Serif CJK SC" w:cs="Noto Serif CJK SC"/>
          <w:rStyle w:val="FootnoteReference"/>
          <w:lang w:val="en-US" w:eastAsia="zh-CN"/>
        </w:rPr>
        <w:footnoteReference w:id="111"/>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这一容许至关重要：原告无须在起诉前掌握每一封内部电子邮件或每一份验证报告。但第</w:t>
      </w:r>
      <w:r>
        <w:rPr>
          <w:rFonts w:ascii="Noto Serif CJK SC" w:hAnsi="Noto Serif CJK SC" w:eastAsia="Noto Serif CJK SC" w:cs="Noto Serif CJK SC"/>
          <w:lang w:val="en-US" w:eastAsia="zh-CN"/>
        </w:rPr>
        <w:t xml:space="preserve"> 11 </w:t>
      </w:r>
      <w:r>
        <w:rPr>
          <w:rFonts w:hint="eastAsia" w:ascii="Noto Serif CJK SC" w:hAnsi="Noto Serif CJK SC" w:eastAsia="Noto Serif CJK SC" w:cs="Noto Serif CJK SC"/>
          <w:lang w:val="en-US" w:eastAsia="zh-CN"/>
        </w:rPr>
        <w:t xml:space="preserve">条既不创设证据开示请求权，也不能取代第</w:t>
      </w:r>
      <w:r>
        <w:rPr>
          <w:rFonts w:ascii="Noto Serif CJK SC" w:hAnsi="Noto Serif CJK SC" w:eastAsia="Noto Serif CJK SC" w:cs="Noto Serif CJK SC"/>
          <w:lang w:val="en-US" w:eastAsia="zh-CN"/>
        </w:rPr>
        <w:t xml:space="preserve"> 8 </w:t>
      </w:r>
      <w:r>
        <w:rPr>
          <w:rFonts w:hint="eastAsia" w:ascii="Noto Serif CJK SC" w:hAnsi="Noto Serif CJK SC" w:eastAsia="Noto Serif CJK SC" w:cs="Noto Serif CJK SC"/>
          <w:lang w:val="en-US" w:eastAsia="zh-CN"/>
        </w:rPr>
        <w:t xml:space="preserve">条。两项规则都不会指明一个未知供应商，将拒绝决定同某项产品功能联系起来，识别当时运行的版本，或要求运营者事先将该事实形成记录。</w:t>
      </w:r>
    </w:p>
    <w:p>
      <w:pPr>
        <w:pStyle w:val="BodyText"/>
      </w:pPr>
      <w:r>
        <w:rPr>
          <w:rFonts w:hint="eastAsia" w:ascii="Noto Serif CJK SC" w:hAnsi="Noto Serif CJK SC" w:eastAsia="Noto Serif CJK SC" w:cs="Noto Serif CJK SC"/>
          <w:lang w:val="en-US" w:eastAsia="zh-CN"/>
        </w:rPr>
        <w:t xml:space="preserve">一旦诉讼与目标对象已经存在，证据开示就成为功能强大的工具。《联邦民事诉讼规则》第</w:t>
      </w:r>
      <w:r>
        <w:rPr>
          <w:rFonts w:ascii="Noto Serif CJK SC" w:hAnsi="Noto Serif CJK SC" w:eastAsia="Noto Serif CJK SC" w:cs="Noto Serif CJK SC"/>
          <w:lang w:val="en-US" w:eastAsia="zh-CN"/>
        </w:rPr>
        <w:t xml:space="preserve"> 26(b)(1) </w:t>
      </w:r>
      <w:r>
        <w:rPr>
          <w:rFonts w:hint="eastAsia" w:ascii="Noto Serif CJK SC" w:hAnsi="Noto Serif CJK SC" w:eastAsia="Noto Serif CJK SC" w:cs="Noto Serif CJK SC"/>
          <w:lang w:val="en-US" w:eastAsia="zh-CN"/>
        </w:rPr>
        <w:t xml:space="preserve">条允许开示与诉讼有关、符合比例原则且不受特权保护的材料。第</w:t>
      </w:r>
      <w:r>
        <w:rPr>
          <w:rFonts w:ascii="Noto Serif CJK SC" w:hAnsi="Noto Serif CJK SC" w:eastAsia="Noto Serif CJK SC" w:cs="Noto Serif CJK SC"/>
          <w:lang w:val="en-US" w:eastAsia="zh-CN"/>
        </w:rPr>
        <w:t xml:space="preserve"> 34 </w:t>
      </w:r>
      <w:r>
        <w:rPr>
          <w:rFonts w:hint="eastAsia" w:ascii="Noto Serif CJK SC" w:hAnsi="Noto Serif CJK SC" w:eastAsia="Noto Serif CJK SC" w:cs="Noto Serif CJK SC"/>
          <w:lang w:val="en-US" w:eastAsia="zh-CN"/>
        </w:rPr>
        <w:t xml:space="preserve">条适用于当事人所占有、保管或控制的现有文件与电子存储信息。第</w:t>
      </w:r>
      <w:r>
        <w:rPr>
          <w:rFonts w:ascii="Noto Serif CJK SC" w:hAnsi="Noto Serif CJK SC" w:eastAsia="Noto Serif CJK SC" w:cs="Noto Serif CJK SC"/>
          <w:lang w:val="en-US" w:eastAsia="zh-CN"/>
        </w:rPr>
        <w:t xml:space="preserve"> 45 </w:t>
      </w:r>
      <w:r>
        <w:rPr>
          <w:rFonts w:hint="eastAsia" w:ascii="Noto Serif CJK SC" w:hAnsi="Noto Serif CJK SC" w:eastAsia="Noto Serif CJK SC" w:cs="Noto Serif CJK SC"/>
          <w:lang w:val="en-US" w:eastAsia="zh-CN"/>
        </w:rPr>
        <w:t xml:space="preserve">条适用于名称已知且可以接受送达的非当事人。</w:t>
      </w:r>
      <w:r>
        <w:rPr>
          <w:rFonts w:ascii="Noto Serif CJK SC" w:hAnsi="Noto Serif CJK SC" w:eastAsia="Noto Serif CJK SC" w:cs="Noto Serif CJK SC"/>
          <w:rStyle w:val="FootnoteReference"/>
          <w:lang w:val="en-US" w:eastAsia="zh-CN"/>
        </w:rPr>
        <w:footnoteReference w:id="112"/>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这些机制可以检验代理理论、获取验证证据，并揭示拆分控制权的合同。但它们不会识别传票应发往何人，也无法创设从未存在的发布批准、配置历史或事件记录。</w:t>
      </w:r>
    </w:p>
    <w:p>
      <w:pPr>
        <w:pStyle w:val="BodyText"/>
      </w:pPr>
      <w:r>
        <w:rPr>
          <w:rFonts w:hint="eastAsia" w:ascii="Noto Serif CJK SC" w:hAnsi="Noto Serif CJK SC" w:eastAsia="Noto Serif CJK SC" w:cs="Noto Serif CJK SC"/>
          <w:lang w:val="en-US" w:eastAsia="zh-CN"/>
        </w:rPr>
        <w:t xml:space="preserve">初步披露启动得更晚，且只承担更为有限的功能。《联邦民事诉讼规则》第</w:t>
      </w:r>
      <w:r>
        <w:rPr>
          <w:rFonts w:ascii="Noto Serif CJK SC" w:hAnsi="Noto Serif CJK SC" w:eastAsia="Noto Serif CJK SC" w:cs="Noto Serif CJK SC"/>
          <w:lang w:val="en-US" w:eastAsia="zh-CN"/>
        </w:rPr>
        <w:t xml:space="preserve"> 26(a)(1) </w:t>
      </w:r>
      <w:r>
        <w:rPr>
          <w:rFonts w:hint="eastAsia" w:ascii="Noto Serif CJK SC" w:hAnsi="Noto Serif CJK SC" w:eastAsia="Noto Serif CJK SC" w:cs="Noto Serif CJK SC"/>
          <w:lang w:val="en-US" w:eastAsia="zh-CN"/>
        </w:rPr>
        <w:t xml:space="preserve">条一般要求当事人识别其可能用于支持自身请求或抗辩的证人与材料，并披露损害赔偿与保险信息。这些披露通常发生在第</w:t>
      </w:r>
      <w:r>
        <w:rPr>
          <w:rFonts w:ascii="Noto Serif CJK SC" w:hAnsi="Noto Serif CJK SC" w:eastAsia="Noto Serif CJK SC" w:cs="Noto Serif CJK SC"/>
          <w:lang w:val="en-US" w:eastAsia="zh-CN"/>
        </w:rPr>
        <w:t xml:space="preserve"> 26(f) </w:t>
      </w:r>
      <w:r>
        <w:rPr>
          <w:rFonts w:hint="eastAsia" w:ascii="Noto Serif CJK SC" w:hAnsi="Noto Serif CJK SC" w:eastAsia="Noto Serif CJK SC" w:cs="Noto Serif CJK SC"/>
          <w:lang w:val="en-US" w:eastAsia="zh-CN"/>
        </w:rPr>
        <w:t xml:space="preserve">条会议之后。</w:t>
      </w:r>
      <w:r>
        <w:rPr>
          <w:rFonts w:ascii="Noto Serif CJK SC" w:hAnsi="Noto Serif CJK SC" w:eastAsia="Noto Serif CJK SC" w:cs="Noto Serif CJK SC"/>
          <w:rStyle w:val="FootnoteReference"/>
          <w:lang w:val="en-US" w:eastAsia="zh-CN"/>
        </w:rPr>
        <w:footnoteReference w:id="113"/>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它们并非不利记录清单。如运营者不打算使用某项被拒绝的风险缓解措施、相互矛盾的测试或内部逐级上报来支持自身立场，则它并不仅因该材料的上述性质，就当然负有在初步披露中列明该材料的义务。请求权人可在案件开始后通过证据开示请求该材料；部署责任入口所要解决的，则是如何识别用于提出该请求的系统、持有人与记录类别。</w:t>
      </w:r>
    </w:p>
    <w:p>
      <w:pPr>
        <w:pStyle w:val="BodyText"/>
      </w:pPr>
      <w:r>
        <w:rPr>
          <w:rFonts w:hint="eastAsia" w:ascii="Noto Serif CJK SC" w:hAnsi="Noto Serif CJK SC" w:eastAsia="Noto Serif CJK SC" w:cs="Noto Serif CJK SC"/>
          <w:lang w:val="en-US" w:eastAsia="zh-CN"/>
        </w:rPr>
        <w:t xml:space="preserve">当请求权人已经掌握唯一事件标识符，并知道持有身份记录的中介时，法院授权的早期证据开示确实可以搭起桥梁。在</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Strike 3 Holdings, LLC v. Doe</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一案中，权利人将一项据称网络侵权与某个</w:t>
      </w:r>
      <w:r>
        <w:rPr>
          <w:rFonts w:ascii="Noto Serif CJK SC" w:hAnsi="Noto Serif CJK SC" w:eastAsia="Noto Serif CJK SC" w:cs="Noto Serif CJK SC"/>
          <w:lang w:val="en-US" w:eastAsia="zh-CN"/>
        </w:rPr>
        <w:t xml:space="preserve"> IP </w:t>
      </w:r>
      <w:r>
        <w:rPr>
          <w:rFonts w:hint="eastAsia" w:ascii="Noto Serif CJK SC" w:hAnsi="Noto Serif CJK SC" w:eastAsia="Noto Serif CJK SC" w:cs="Noto Serif CJK SC"/>
          <w:lang w:val="en-US" w:eastAsia="zh-CN"/>
        </w:rPr>
        <w:t xml:space="preserve">地址相联系，并请求对已知的互联网服务提供商早期签发传票，因为该供应商能将此</w:t>
      </w:r>
      <w:r>
        <w:rPr>
          <w:rFonts w:ascii="Noto Serif CJK SC" w:hAnsi="Noto Serif CJK SC" w:eastAsia="Noto Serif CJK SC" w:cs="Noto Serif CJK SC"/>
          <w:lang w:val="en-US" w:eastAsia="zh-CN"/>
        </w:rPr>
        <w:t xml:space="preserve"> IP </w:t>
      </w:r>
      <w:r>
        <w:rPr>
          <w:rFonts w:hint="eastAsia" w:ascii="Noto Serif CJK SC" w:hAnsi="Noto Serif CJK SC" w:eastAsia="Noto Serif CJK SC" w:cs="Noto Serif CJK SC"/>
          <w:lang w:val="en-US" w:eastAsia="zh-CN"/>
        </w:rPr>
        <w:t xml:space="preserve">地址对应至某名订户。哥伦比亚特区巡回上诉法院认为，《联邦民事诉讼规则》第</w:t>
      </w:r>
      <w:r>
        <w:rPr>
          <w:rFonts w:ascii="Noto Serif CJK SC" w:hAnsi="Noto Serif CJK SC" w:eastAsia="Noto Serif CJK SC" w:cs="Noto Serif CJK SC"/>
          <w:lang w:val="en-US" w:eastAsia="zh-CN"/>
        </w:rPr>
        <w:t xml:space="preserve"> 26(d)(1) </w:t>
      </w:r>
      <w:r>
        <w:rPr>
          <w:rFonts w:hint="eastAsia" w:ascii="Noto Serif CJK SC" w:hAnsi="Noto Serif CJK SC" w:eastAsia="Noto Serif CJK SC" w:cs="Noto Serif CJK SC"/>
          <w:lang w:val="en-US" w:eastAsia="zh-CN"/>
        </w:rPr>
        <w:t xml:space="preserve">条允许采用此种路径；当预期证据开示可揭示主体身份时，在符合相关性、比例原则，并存在现实的管辖与胜诉可能性的条件下，以</w:t>
      </w:r>
      <w:r>
        <w:rPr>
          <w:rFonts w:ascii="Noto Serif CJK SC" w:hAnsi="Noto Serif CJK SC" w:eastAsia="Noto Serif CJK SC" w:cs="Noto Serif CJK SC"/>
          <w:lang w:val="en-US" w:eastAsia="zh-CN"/>
        </w:rPr>
        <w:t xml:space="preserve"> Doe </w:t>
      </w:r>
      <w:r>
        <w:rPr>
          <w:rFonts w:hint="eastAsia" w:ascii="Noto Serif CJK SC" w:hAnsi="Noto Serif CJK SC" w:eastAsia="Noto Serif CJK SC" w:cs="Noto Serif CJK SC"/>
          <w:lang w:val="en-US" w:eastAsia="zh-CN"/>
        </w:rPr>
        <w:t xml:space="preserve">为占位被告提起诉讼也可能适当。</w:t>
      </w:r>
      <w:r>
        <w:rPr>
          <w:rFonts w:ascii="Noto Serif CJK SC" w:hAnsi="Noto Serif CJK SC" w:eastAsia="Noto Serif CJK SC" w:cs="Noto Serif CJK SC"/>
          <w:rStyle w:val="FootnoteReference"/>
          <w:lang w:val="en-US" w:eastAsia="zh-CN"/>
        </w:rPr>
        <w:footnoteReference w:id="114"/>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该案在展示这一桥梁的力量时，同样清晰地指明了其前提：一项可成立的实体请求，一个唯一事件标识符，以及一个持有现成身份记录的已知中介。分散式部署可能不具备第二项或第三项前提，因为求职者只能看到带有品牌标识的门户，运营者并未保留功能标识符或运行标识符，或者该中介自身被隐藏在系统集成商之后。</w:t>
      </w:r>
    </w:p>
    <w:p>
      <w:pPr>
        <w:pStyle w:val="BodyText"/>
      </w:pPr>
      <w:r>
        <w:rPr>
          <w:rFonts w:hint="eastAsia" w:ascii="Noto Serif CJK SC" w:hAnsi="Noto Serif CJK SC" w:eastAsia="Noto Serif CJK SC" w:cs="Noto Serif CJK SC"/>
          <w:lang w:val="en-US" w:eastAsia="zh-CN"/>
        </w:rPr>
        <w:t xml:space="preserve">第</w:t>
      </w:r>
      <w:r>
        <w:rPr>
          <w:rFonts w:ascii="Noto Serif CJK SC" w:hAnsi="Noto Serif CJK SC" w:eastAsia="Noto Serif CJK SC" w:cs="Noto Serif CJK SC"/>
          <w:lang w:val="en-US" w:eastAsia="zh-CN"/>
        </w:rPr>
        <w:t xml:space="preserve"> 27 </w:t>
      </w:r>
      <w:r>
        <w:rPr>
          <w:rFonts w:hint="eastAsia" w:ascii="Noto Serif CJK SC" w:hAnsi="Noto Serif CJK SC" w:eastAsia="Noto Serif CJK SC" w:cs="Noto Serif CJK SC"/>
          <w:lang w:val="en-US" w:eastAsia="zh-CN"/>
        </w:rPr>
        <w:t xml:space="preserve">条另行提供一条有用但范围有限的路径。它允许预期成为当事人的主体，在尚无法起诉且证言存在灭失风险时加以保全。申请书必须载明申请人预期证明的事实，以及应予保全的证言要旨。因此，法院将对已知证据的保全，与旨在查明请求权是否存在或应对谁起诉的调查区分开来。在</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Workman v. United States Postal Service</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一案中，申请人试图通过证言判断邮政设施火灾是否能够支持一项请求，第十巡回上诉法院维持了驳回申请的裁定；当事人欠缺起草起诉状所需证据，并不等同于第</w:t>
      </w:r>
      <w:r>
        <w:rPr>
          <w:rFonts w:ascii="Noto Serif CJK SC" w:hAnsi="Noto Serif CJK SC" w:eastAsia="Noto Serif CJK SC" w:cs="Noto Serif CJK SC"/>
          <w:lang w:val="en-US" w:eastAsia="zh-CN"/>
        </w:rPr>
        <w:t xml:space="preserve"> 27 </w:t>
      </w:r>
      <w:r>
        <w:rPr>
          <w:rFonts w:hint="eastAsia" w:ascii="Noto Serif CJK SC" w:hAnsi="Noto Serif CJK SC" w:eastAsia="Noto Serif CJK SC" w:cs="Noto Serif CJK SC"/>
          <w:lang w:val="en-US" w:eastAsia="zh-CN"/>
        </w:rPr>
        <w:t xml:space="preserve">条所称无法提起诉讼。</w:t>
      </w:r>
      <w:r>
        <w:rPr>
          <w:rFonts w:ascii="Noto Serif CJK SC" w:hAnsi="Noto Serif CJK SC" w:eastAsia="Noto Serif CJK SC" w:cs="Noto Serif CJK SC"/>
          <w:rStyle w:val="FootnoteReference"/>
          <w:lang w:val="en-US" w:eastAsia="zh-CN"/>
        </w:rPr>
        <w:footnoteReference w:id="115"/>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证人讯问无法提供一个未知模型版本，也无法提供没有任何证人或企业建立过的部署记录。</w:t>
      </w:r>
    </w:p>
    <w:p>
      <w:pPr>
        <w:pStyle w:val="BodyText"/>
      </w:pPr>
      <w:r>
        <w:rPr>
          <w:rFonts w:hint="eastAsia" w:ascii="Noto Serif CJK SC" w:hAnsi="Noto Serif CJK SC" w:eastAsia="Noto Serif CJK SC" w:cs="Noto Serif CJK SC"/>
          <w:lang w:val="en-US" w:eastAsia="zh-CN"/>
        </w:rPr>
        <w:t xml:space="preserve">分散控制在通常证据开示中又造成一项限制。第</w:t>
      </w:r>
      <w:r>
        <w:rPr>
          <w:rFonts w:ascii="Noto Serif CJK SC" w:hAnsi="Noto Serif CJK SC" w:eastAsia="Noto Serif CJK SC" w:cs="Noto Serif CJK SC"/>
          <w:lang w:val="en-US" w:eastAsia="zh-CN"/>
        </w:rPr>
        <w:t xml:space="preserve"> 34 </w:t>
      </w:r>
      <w:r>
        <w:rPr>
          <w:rFonts w:hint="eastAsia" w:ascii="Noto Serif CJK SC" w:hAnsi="Noto Serif CJK SC" w:eastAsia="Noto Serif CJK SC" w:cs="Noto Serif CJK SC"/>
          <w:lang w:val="en-US" w:eastAsia="zh-CN"/>
        </w:rPr>
        <w:t xml:space="preserve">条下的“控制”是一项法律与组织上的审查，不是“技术托管”的同义词。当作出答复的实体在法律上无权随时获取关联方文件时，第九巡回上诉法院拒绝仅因合作性关联而认定存在控制。第十一巡回上诉法院则在不同的制定法程序与事实记录下，认定在关联实体经常共享响应请求的信息，且接收方在实际上有能力获取该信息时，存在控制。</w:t>
      </w:r>
      <w:r>
        <w:rPr>
          <w:rFonts w:ascii="Noto Serif CJK SC" w:hAnsi="Noto Serif CJK SC" w:eastAsia="Noto Serif CJK SC" w:cs="Noto Serif CJK SC"/>
          <w:rStyle w:val="FootnoteReference"/>
          <w:lang w:val="en-US" w:eastAsia="zh-CN"/>
        </w:rPr>
        <w:footnoteReference w:id="116"/>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些结果理应取决于合同与实际做法。同时，它们也表明，对外可见的运营者为何应当在本地保存最低限度记录，并通过合同从供应商取得调取特定来源信息与事件字段的权利。否则，供应商可能在物理上托管数据，而客户在法律上控制数据，双方都可指向对方，声称其才是适格的证据来源。</w:t>
      </w:r>
    </w:p>
    <w:p>
      <w:pPr>
        <w:pStyle w:val="BodyText"/>
      </w:pPr>
      <w:r>
        <w:rPr>
          <w:rFonts w:hint="eastAsia" w:ascii="Noto Serif CJK SC" w:hAnsi="Noto Serif CJK SC" w:eastAsia="Noto Serif CJK SC" w:cs="Noto Serif CJK SC"/>
          <w:lang w:val="en-US" w:eastAsia="zh-CN"/>
        </w:rPr>
        <w:t xml:space="preserve">以</w:t>
      </w:r>
      <w:r>
        <w:rPr>
          <w:rFonts w:ascii="Noto Serif CJK SC" w:hAnsi="Noto Serif CJK SC" w:eastAsia="Noto Serif CJK SC" w:cs="Noto Serif CJK SC"/>
          <w:lang w:val="en-US" w:eastAsia="zh-CN"/>
        </w:rPr>
        <w:t xml:space="preserve"> Doe </w:t>
      </w:r>
      <w:r>
        <w:rPr>
          <w:rFonts w:hint="eastAsia" w:ascii="Noto Serif CJK SC" w:hAnsi="Noto Serif CJK SC" w:eastAsia="Noto Serif CJK SC" w:cs="Noto Serif CJK SC"/>
          <w:lang w:val="en-US" w:eastAsia="zh-CN"/>
        </w:rPr>
        <w:t xml:space="preserve">为占位被告提起诉讼与此后修正起诉状，可以保全部分请求，却不能建立一张全国性的诉讼时效安全网。《联邦民事诉讼规则》第</w:t>
      </w:r>
      <w:r>
        <w:rPr>
          <w:rFonts w:ascii="Noto Serif CJK SC" w:hAnsi="Noto Serif CJK SC" w:eastAsia="Noto Serif CJK SC" w:cs="Noto Serif CJK SC"/>
          <w:lang w:val="en-US" w:eastAsia="zh-CN"/>
        </w:rPr>
        <w:t xml:space="preserve"> 15(c)(1)(C) </w:t>
      </w:r>
      <w:r>
        <w:rPr>
          <w:rFonts w:hint="eastAsia" w:ascii="Noto Serif CJK SC" w:hAnsi="Noto Serif CJK SC" w:eastAsia="Noto Serif CJK SC" w:cs="Noto Serif CJK SC"/>
          <w:lang w:val="en-US" w:eastAsia="zh-CN"/>
        </w:rPr>
        <w:t xml:space="preserve">条要求，新增当事人必须及时获得通知，并知道如果不是对其身份存在误解，本应对其提起诉讼。</w:t>
      </w:r>
      <w:r>
        <w:rPr>
          <w:rFonts w:ascii="Noto Serif CJK SC" w:hAnsi="Noto Serif CJK SC" w:eastAsia="Noto Serif CJK SC" w:cs="Noto Serif CJK SC"/>
          <w:i/>
          <w:iCs/>
          <w:lang w:val="en-US" w:eastAsia="zh-CN"/>
        </w:rPr>
        <w:t xml:space="preserve">Krupski</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案将未来被告的知情情况视为核心，并承认对若干已知关联实体所承担角色存在混淆，可以构成误解。法院可以将此种情形与完全不知道上游行为人的情形区分开来。在</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Winzer</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案中，第五巡回上诉法院认为，诉讼时效届满后以具名警官取代</w:t>
      </w:r>
      <w:r>
        <w:rPr>
          <w:rFonts w:ascii="Noto Serif CJK SC" w:hAnsi="Noto Serif CJK SC" w:eastAsia="Noto Serif CJK SC" w:cs="Noto Serif CJK SC"/>
          <w:lang w:val="en-US" w:eastAsia="zh-CN"/>
        </w:rPr>
        <w:t xml:space="preserve"> Doe </w:t>
      </w:r>
      <w:r>
        <w:rPr>
          <w:rFonts w:hint="eastAsia" w:ascii="Noto Serif CJK SC" w:hAnsi="Noto Serif CJK SC" w:eastAsia="Noto Serif CJK SC" w:cs="Noto Serif CJK SC"/>
          <w:lang w:val="en-US" w:eastAsia="zh-CN"/>
        </w:rPr>
        <w:t xml:space="preserve">被告，并未纠正第</w:t>
      </w:r>
      <w:r>
        <w:rPr>
          <w:rFonts w:ascii="Noto Serif CJK SC" w:hAnsi="Noto Serif CJK SC" w:eastAsia="Noto Serif CJK SC" w:cs="Noto Serif CJK SC"/>
          <w:lang w:val="en-US" w:eastAsia="zh-CN"/>
        </w:rPr>
        <w:t xml:space="preserve"> 15 </w:t>
      </w:r>
      <w:r>
        <w:rPr>
          <w:rFonts w:hint="eastAsia" w:ascii="Noto Serif CJK SC" w:hAnsi="Noto Serif CJK SC" w:eastAsia="Noto Serif CJK SC" w:cs="Noto Serif CJK SC"/>
          <w:lang w:val="en-US" w:eastAsia="zh-CN"/>
        </w:rPr>
        <w:t xml:space="preserve">条意义上的误解。第</w:t>
      </w:r>
      <w:r>
        <w:rPr>
          <w:rFonts w:ascii="Noto Serif CJK SC" w:hAnsi="Noto Serif CJK SC" w:eastAsia="Noto Serif CJK SC" w:cs="Noto Serif CJK SC"/>
          <w:lang w:val="en-US" w:eastAsia="zh-CN"/>
        </w:rPr>
        <w:t xml:space="preserve"> 15(c)(1)(A) </w:t>
      </w:r>
      <w:r>
        <w:rPr>
          <w:rFonts w:hint="eastAsia" w:ascii="Noto Serif CJK SC" w:hAnsi="Noto Serif CJK SC" w:eastAsia="Noto Serif CJK SC" w:cs="Noto Serif CJK SC"/>
          <w:lang w:val="en-US" w:eastAsia="zh-CN"/>
        </w:rPr>
        <w:t xml:space="preserve">条可以援引更为宽松的州法修正诉状追溯规则，但该路径取决于支配诉讼时效的法律与该州自身设定的条件。</w:t>
      </w:r>
      <w:r>
        <w:rPr>
          <w:rFonts w:ascii="Noto Serif CJK SC" w:hAnsi="Noto Serif CJK SC" w:eastAsia="Noto Serif CJK SC" w:cs="Noto Serif CJK SC"/>
          <w:rStyle w:val="FootnoteReference"/>
          <w:lang w:val="en-US" w:eastAsia="zh-CN"/>
        </w:rPr>
        <w:footnoteReference w:id="117"/>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就属于制定机关立法权限范围的请求而言，部署制定法可在一项合格身份请求尚待处理期间，暂停计算相关时效期间，从而直接解决这一时间问题。此后联邦诉讼中的起诉状修正与追溯效力，仍由第</w:t>
      </w:r>
      <w:r>
        <w:rPr>
          <w:rFonts w:ascii="Noto Serif CJK SC" w:hAnsi="Noto Serif CJK SC" w:eastAsia="Noto Serif CJK SC" w:cs="Noto Serif CJK SC"/>
          <w:lang w:val="en-US" w:eastAsia="zh-CN"/>
        </w:rPr>
        <w:t xml:space="preserve"> 15 </w:t>
      </w:r>
      <w:r>
        <w:rPr>
          <w:rFonts w:hint="eastAsia" w:ascii="Noto Serif CJK SC" w:hAnsi="Noto Serif CJK SC" w:eastAsia="Noto Serif CJK SC" w:cs="Noto Serif CJK SC"/>
          <w:lang w:val="en-US" w:eastAsia="zh-CN"/>
        </w:rPr>
        <w:t xml:space="preserve">条调整。</w:t>
      </w:r>
    </w:p>
    <w:p>
      <w:pPr>
        <w:pStyle w:val="BodyText"/>
      </w:pPr>
      <w:r>
        <w:rPr>
          <w:rFonts w:hint="eastAsia" w:ascii="Noto Serif CJK SC" w:hAnsi="Noto Serif CJK SC" w:eastAsia="Noto Serif CJK SC" w:cs="Noto Serif CJK SC"/>
          <w:lang w:val="en-US" w:eastAsia="zh-CN"/>
        </w:rPr>
        <w:t xml:space="preserve">州法上的诉前程序既证明范围有限的主体身份识别阶段可以管理，又揭示尚不存在统一路径。伊利诺伊州第</w:t>
      </w:r>
      <w:r>
        <w:rPr>
          <w:rFonts w:ascii="Noto Serif CJK SC" w:hAnsi="Noto Serif CJK SC" w:eastAsia="Noto Serif CJK SC" w:cs="Noto Serif CJK SC"/>
          <w:lang w:val="en-US" w:eastAsia="zh-CN"/>
        </w:rPr>
        <w:t xml:space="preserve"> 224 </w:t>
      </w:r>
      <w:r>
        <w:rPr>
          <w:rFonts w:hint="eastAsia" w:ascii="Noto Serif CJK SC" w:hAnsi="Noto Serif CJK SC" w:eastAsia="Noto Serif CJK SC" w:cs="Noto Serif CJK SC"/>
          <w:lang w:val="en-US" w:eastAsia="zh-CN"/>
        </w:rPr>
        <w:t xml:space="preserve">条规则允许提起一项经核实的独立诉讼，其目的仅限于识别可能承担责任的个人或实体，且程序通常在身份识别完成后终止。得克萨斯州第</w:t>
      </w:r>
      <w:r>
        <w:rPr>
          <w:rFonts w:ascii="Noto Serif CJK SC" w:hAnsi="Noto Serif CJK SC" w:eastAsia="Noto Serif CJK SC" w:cs="Noto Serif CJK SC"/>
          <w:lang w:val="en-US" w:eastAsia="zh-CN"/>
        </w:rPr>
        <w:t xml:space="preserve"> 202 </w:t>
      </w:r>
      <w:r>
        <w:rPr>
          <w:rFonts w:hint="eastAsia" w:ascii="Noto Serif CJK SC" w:hAnsi="Noto Serif CJK SC" w:eastAsia="Noto Serif CJK SC" w:cs="Noto Serif CJK SC"/>
          <w:lang w:val="en-US" w:eastAsia="zh-CN"/>
        </w:rPr>
        <w:t xml:space="preserve">条规则允许提交经核实的申请，在预期收益超过负担，或保全证据可能避免司法不公或延误时，就潜在请求开展调查。纽约州允许为提起诉讼而辅助进行信息开示。加利福尼亚州的证据保全制度则采取相反立场：它明文排除为确定请求权是否存在或识别当事人而进行的证据开示。</w:t>
      </w:r>
      <w:r>
        <w:rPr>
          <w:rFonts w:ascii="Noto Serif CJK SC" w:hAnsi="Noto Serif CJK SC" w:eastAsia="Noto Serif CJK SC" w:cs="Noto Serif CJK SC"/>
          <w:rStyle w:val="FootnoteReference"/>
          <w:lang w:val="en-US" w:eastAsia="zh-CN"/>
        </w:rPr>
        <w:footnoteReference w:id="118"/>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这些制度所提供的是若干设计要素—核实程序、封闭性目的、负担审查、简短程序与费用分担—而非现成的联邦法解决方案。</w:t>
      </w:r>
    </w:p>
    <w:p>
      <w:pPr>
        <w:pStyle w:val="BodyText"/>
      </w:pPr>
      <w:r>
        <w:rPr>
          <w:rFonts w:hint="eastAsia" w:ascii="Noto Serif CJK SC" w:hAnsi="Noto Serif CJK SC" w:eastAsia="Noto Serif CJK SC" w:cs="Noto Serif CJK SC"/>
          <w:lang w:val="en-US" w:eastAsia="zh-CN"/>
        </w:rPr>
        <w:t xml:space="preserve">因此，上述法理次序明确了本方案最具实际后果的功能。一旦诉讼入口已经开启，通常证据开示即可检验实体问题。部署责任入口提供达到该诉讼入口所需的主体身份、最低限度记录与控制图谱，并使这些事实在诉讼时效、记录删除与分散保管决定案件走向之前即可获取。</w:t>
      </w:r>
    </w:p>
    <w:bookmarkEnd w:id="119"/>
    <w:bookmarkStart w:id="126" w:name="Xab8175e220738ba490249d3c1f68399b6f12eb5"/>
    <w:p>
      <w:pPr>
        <w:pStyle w:val="Heading4"/>
      </w:pPr>
      <w:r>
        <w:rPr>
          <w:rFonts w:hint="eastAsia" w:ascii="Noto Sans CJK SC" w:hAnsi="Noto Sans CJK SC" w:eastAsia="Noto Sans CJK SC" w:cs="Noto Sans CJK SC"/>
          <w:lang w:val="en-US" w:eastAsia="zh-CN"/>
        </w:rPr>
        <w:t xml:space="preserve">（四）现有证据权利需要部署责任入口作为前端</w:t>
      </w:r>
    </w:p>
    <w:p>
      <w:pPr>
        <w:pStyle w:val="FirstParagraph"/>
      </w:pPr>
      <w:r>
        <w:rPr>
          <w:rFonts w:hint="eastAsia" w:ascii="Noto Serif CJK SC" w:hAnsi="Noto Serif CJK SC" w:eastAsia="Noto Serif CJK SC" w:cs="Noto Serif CJK SC"/>
          <w:lang w:val="en-US" w:eastAsia="zh-CN"/>
        </w:rPr>
        <w:t xml:space="preserve">证据信息获取研究如今已经延伸至诉讼立案界线的两侧。Stewart</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提出的反事实询问权，使受到已知算法不利决定影响的人能够在起诉前生成行为证据。相关组织须使用作出决定时的模型版本提供范围有限的接口，并由日志与留存义务提供支持。</w:t>
      </w:r>
      <w:r>
        <w:rPr>
          <w:rFonts w:ascii="Noto Serif CJK SC" w:hAnsi="Noto Serif CJK SC" w:eastAsia="Noto Serif CJK SC" w:cs="Noto Serif CJK SC"/>
          <w:rStyle w:val="FootnoteReference"/>
          <w:lang w:val="en-US" w:eastAsia="zh-CN"/>
        </w:rPr>
        <w:footnoteReference w:id="120"/>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是最接近诉前阶段的干预方案。然而，该方案以已经识别的不利决定、能够提供测试入口的组织以及与该决定相联系的模型为起点。部署责任入口则建构分散式部署可能隐藏的身份与信息路由前提：受规制功能是否参与了该事件，实际运行的是哪一产品和版本，哪些主体提供并运营该系统，以及谁能够调取事件记录。第一阶段提供这一图谱后，反事实询问便可以作为第二阶段中一种范围有限的测试形式运行。</w:t>
      </w:r>
    </w:p>
    <w:p>
      <w:pPr>
        <w:pStyle w:val="BodyText"/>
      </w:pPr>
      <w:r>
        <w:rPr>
          <w:rFonts w:ascii="Noto Serif CJK SC" w:hAnsi="Noto Serif CJK SC" w:eastAsia="Noto Serif CJK SC" w:cs="Noto Serif CJK SC"/>
          <w:lang w:val="en-US" w:eastAsia="zh-CN"/>
        </w:rPr>
        <w:t xml:space="preserve">Cen、Ismael </w:t>
      </w:r>
      <w:r>
        <w:rPr>
          <w:rFonts w:hint="eastAsia" w:ascii="Noto Serif CJK SC" w:hAnsi="Noto Serif CJK SC" w:eastAsia="Noto Serif CJK SC" w:cs="Noto Serif CJK SC"/>
          <w:lang w:val="en-US" w:eastAsia="zh-CN"/>
        </w:rPr>
        <w:t xml:space="preserve">与</w:t>
      </w:r>
      <w:r>
        <w:rPr>
          <w:rFonts w:ascii="Noto Serif CJK SC" w:hAnsi="Noto Serif CJK SC" w:eastAsia="Noto Serif CJK SC" w:cs="Noto Serif CJK SC"/>
          <w:lang w:val="en-US" w:eastAsia="zh-CN"/>
        </w:rPr>
        <w:t xml:space="preserve"> Zheng </w:t>
      </w:r>
      <w:r>
        <w:rPr>
          <w:rFonts w:hint="eastAsia" w:ascii="Noto Serif CJK SC" w:hAnsi="Noto Serif CJK SC" w:eastAsia="Noto Serif CJK SC" w:cs="Noto Serif CJK SC"/>
          <w:lang w:val="en-US" w:eastAsia="zh-CN"/>
        </w:rPr>
        <w:t xml:space="preserve">处理与之互补的信息获取争议。他们识别出七种反复出现的不对称——模型、数据、文档、日志、专业知识、算力和基础设施——并描述了一种“第二十二条军规”（Catch-22）困境：请求方需要证据证明信息获取具有正当性，而提供方却控制着作出该证明所需的证据。他们提出的三部分测试比较所请求信息获取的收益与风险、重现请求权构成要件所需的最低限度信息获取，以及功能上等效的替代方案。</w:t>
      </w:r>
      <w:r>
        <w:rPr>
          <w:rFonts w:ascii="Noto Serif CJK SC" w:hAnsi="Noto Serif CJK SC" w:eastAsia="Noto Serif CJK SC" w:cs="Noto Serif CJK SC"/>
          <w:rStyle w:val="FootnoteReference"/>
          <w:lang w:val="en-US" w:eastAsia="zh-CN"/>
        </w:rPr>
        <w:footnoteReference w:id="121"/>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该框架有助于法院决定已识别的提供方应当披露</w:t>
      </w:r>
      <w:r>
        <w:rPr>
          <w:rFonts w:hint="eastAsia" w:ascii="Noto Serif CJK SC" w:hAnsi="Noto Serif CJK SC" w:eastAsia="Noto Serif CJK SC" w:cs="Noto Serif CJK SC"/>
          <w:i/>
          <w:iCs/>
          <w:lang w:val="en-US" w:eastAsia="zh-CN"/>
        </w:rPr>
        <w:t xml:space="preserve">多少</w:t>
      </w:r>
      <w:r>
        <w:rPr>
          <w:rFonts w:hint="eastAsia" w:ascii="Noto Serif CJK SC" w:hAnsi="Noto Serif CJK SC" w:eastAsia="Noto Serif CJK SC" w:cs="Noto Serif CJK SC"/>
          <w:lang w:val="en-US" w:eastAsia="zh-CN"/>
        </w:rPr>
        <w:t xml:space="preserve">现有证据。第一阶段提供部署、事件、保管人和控制图谱；随后，第二阶段可以在针对具体请求权的记录基础上，适用通常的比例原则、保护令、替代获取方式和</w:t>
      </w:r>
      <w:r>
        <w:rPr>
          <w:rFonts w:ascii="Noto Serif CJK SC" w:hAnsi="Noto Serif CJK SC" w:eastAsia="Noto Serif CJK SC" w:cs="Noto Serif CJK SC"/>
          <w:lang w:val="en-US" w:eastAsia="zh-CN"/>
        </w:rPr>
        <w:t xml:space="preserve"> Cen </w:t>
      </w:r>
      <w:r>
        <w:rPr>
          <w:rFonts w:hint="eastAsia" w:ascii="Noto Serif CJK SC" w:hAnsi="Noto Serif CJK SC" w:eastAsia="Noto Serif CJK SC" w:cs="Noto Serif CJK SC"/>
          <w:lang w:val="en-US" w:eastAsia="zh-CN"/>
        </w:rPr>
        <w:t xml:space="preserve">框架。</w:t>
      </w:r>
    </w:p>
    <w:p>
      <w:pPr>
        <w:pStyle w:val="BodyText"/>
      </w:pPr>
      <w:r>
        <w:rPr>
          <w:rFonts w:hint="eastAsia" w:ascii="Noto Serif CJK SC" w:hAnsi="Noto Serif CJK SC" w:eastAsia="Noto Serif CJK SC" w:cs="Noto Serif CJK SC"/>
          <w:lang w:val="en-US" w:eastAsia="zh-CN"/>
        </w:rPr>
        <w:t xml:space="preserve">其他研究界定了相邻组成部分，却没有提供这一面向请求权人的路径。García-Llorente</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与</w:t>
      </w:r>
      <w:r>
        <w:rPr>
          <w:rFonts w:ascii="Noto Serif CJK SC" w:hAnsi="Noto Serif CJK SC" w:eastAsia="Noto Serif CJK SC" w:cs="Noto Serif CJK SC"/>
          <w:lang w:val="en-US" w:eastAsia="zh-CN"/>
        </w:rPr>
        <w:t xml:space="preserve"> Olmeda </w:t>
      </w:r>
      <w:r>
        <w:rPr>
          <w:rFonts w:hint="eastAsia" w:ascii="Noto Serif CJK SC" w:hAnsi="Noto Serif CJK SC" w:eastAsia="Noto Serif CJK SC" w:cs="Noto Serif CJK SC"/>
          <w:lang w:val="en-US" w:eastAsia="zh-CN"/>
        </w:rPr>
        <w:t xml:space="preserve">提出一套最低限度技术证据包，以实现充分的可理解性与可审计性；采购研究将合同档案视为治理记录；组织研究则表明，问责记录可能改变其所观察的行为。</w:t>
      </w:r>
      <w:r>
        <w:rPr>
          <w:rFonts w:ascii="Noto Serif CJK SC" w:hAnsi="Noto Serif CJK SC" w:eastAsia="Noto Serif CJK SC" w:cs="Noto Serif CJK SC"/>
          <w:rStyle w:val="FootnoteReference"/>
          <w:lang w:val="en-US" w:eastAsia="zh-CN"/>
        </w:rPr>
        <w:footnoteReference w:id="122"/>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这些贡献有助于判断一套有用记录应当包含什么，以及如何控制其成本。部署责任入口提供一套法律上的先后次序，使受影响者能够调取记录，同时不把采购合同或技术资料包本身视为权利来源。</w:t>
      </w:r>
    </w:p>
    <w:p>
      <w:pPr>
        <w:pStyle w:val="BodyText"/>
      </w:pPr>
      <w:r>
        <w:rPr>
          <w:rFonts w:ascii="Noto Serif CJK SC" w:hAnsi="Noto Serif CJK SC" w:eastAsia="Noto Serif CJK SC" w:cs="Noto Serif CJK SC"/>
          <w:lang w:val="en-US" w:eastAsia="zh-CN"/>
        </w:rPr>
        <w:t xml:space="preserve">2026 </w:t>
      </w:r>
      <w:r>
        <w:rPr>
          <w:rFonts w:hint="eastAsia" w:ascii="Noto Serif CJK SC" w:hAnsi="Noto Serif CJK SC" w:eastAsia="Noto Serif CJK SC" w:cs="Noto Serif CJK SC"/>
          <w:lang w:val="en-US" w:eastAsia="zh-CN"/>
        </w:rPr>
        <w:t xml:space="preserve">年一项针对</w:t>
      </w:r>
      <w:r>
        <w:rPr>
          <w:rFonts w:ascii="Noto Serif CJK SC" w:hAnsi="Noto Serif CJK SC" w:eastAsia="Noto Serif CJK SC" w:cs="Noto Serif CJK SC"/>
          <w:lang w:val="en-US" w:eastAsia="zh-CN"/>
        </w:rPr>
        <w:t xml:space="preserve"> 559 </w:t>
      </w:r>
      <w:r>
        <w:rPr>
          <w:rFonts w:hint="eastAsia" w:ascii="Noto Serif CJK SC" w:hAnsi="Noto Serif CJK SC" w:eastAsia="Noto Serif CJK SC" w:cs="Noto Serif CJK SC"/>
          <w:lang w:val="en-US" w:eastAsia="zh-CN"/>
        </w:rPr>
        <w:t xml:space="preserve">份联邦法院裁判意见的系统研究进一步发现，法院主要依靠既有法理解决涉及人工智能的争议，而进入诉讼的损害类型受现有法律承认哪些损害所塑造。</w:t>
      </w:r>
      <w:r>
        <w:rPr>
          <w:rFonts w:ascii="Noto Serif CJK SC" w:hAnsi="Noto Serif CJK SC" w:eastAsia="Noto Serif CJK SC" w:cs="Noto Serif CJK SC"/>
          <w:rStyle w:val="FootnoteReference"/>
          <w:lang w:val="en-US" w:eastAsia="zh-CN"/>
        </w:rPr>
        <w:footnoteReference w:id="125"/>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一证据支持本文关于通常法律的前提，同时进一步凸显其制度贡献。部署责任入口是实定法上的信息路由与记录形成层：对外可见的运营者、范围有限的首次答复、事前部署记录、实质性控制分配、分阶段信息获取、安全退出以及实体问题防火墙。它使测试和通常程序能够针对已经识别的部署运行，而不主张创设一套新的普遍证据法或人工智能责任法。</w:t>
      </w:r>
    </w:p>
    <w:bookmarkEnd w:id="126"/>
    <w:bookmarkStart w:id="133" w:name="the-cascade-specifies-the-missing-record"/>
    <w:p>
      <w:pPr>
        <w:pStyle w:val="Heading4"/>
      </w:pPr>
      <w:r>
        <w:rPr>
          <w:rFonts w:hint="eastAsia" w:ascii="Noto Sans CJK SC" w:hAnsi="Noto Sans CJK SC" w:eastAsia="Noto Sans CJK SC" w:cs="Noto Sans CJK SC"/>
          <w:lang w:val="en-US" w:eastAsia="zh-CN"/>
        </w:rPr>
        <w:t xml:space="preserve">（五）控制级联界定缺失的记录</w:t>
      </w:r>
    </w:p>
    <w:p>
      <w:pPr>
        <w:pStyle w:val="FirstParagraph"/>
      </w:pPr>
      <w:r>
        <w:rPr>
          <w:rFonts w:hint="eastAsia" w:ascii="Noto Serif CJK SC" w:hAnsi="Noto Serif CJK SC" w:eastAsia="Noto Serif CJK SC" w:cs="Noto Serif CJK SC"/>
          <w:lang w:val="en-US" w:eastAsia="zh-CN"/>
        </w:rPr>
        <w:t xml:space="preserve">部署控制级联以一种严谨方式界定上述前提。该框架改编自系统安全分析，将人工智能部署表示为相互连接的控制者、控制动作、过程模型、反馈渠道和干预能力。系统理论方法将损失视为一种控制问题；约束缺失、不安全行动、反馈不足或控制者对运行环境持有错误模型，都可能导致该问题。</w:t>
      </w:r>
      <w:r>
        <w:rPr>
          <w:rFonts w:ascii="Noto Serif CJK SC" w:hAnsi="Noto Serif CJK SC" w:eastAsia="Noto Serif CJK SC" w:cs="Noto Serif CJK SC"/>
          <w:rStyle w:val="FootnoteReference"/>
          <w:lang w:val="en-US" w:eastAsia="zh-CN"/>
        </w:rPr>
        <w:footnoteReference w:id="127"/>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控制级联借用这一术语体系，仅用于界定可争议的证据。义务、过错、因果关系、抗辩与救济仍由适用法律规定。</w:t>
      </w:r>
    </w:p>
    <w:p>
      <w:pPr>
        <w:pStyle w:val="BodyText"/>
      </w:pPr>
      <w:r>
        <w:rPr>
          <w:rFonts w:hint="eastAsia" w:ascii="Noto Serif CJK SC" w:hAnsi="Noto Serif CJK SC" w:eastAsia="Noto Serif CJK SC" w:cs="Noto Serif CJK SC"/>
          <w:lang w:val="en-US" w:eastAsia="zh-CN"/>
        </w:rPr>
        <w:t xml:space="preserve">四个功能层级为本文所处理的集成式部署和分散式部署提供了一套可以重复使用的图谱：</w:t>
      </w:r>
    </w:p>
    <w:p>
      <w:pPr>
        <w:pStyle w:val="DefinitionTerm"/>
      </w:pPr>
      <w:r>
        <w:rPr>
          <w:rFonts w:ascii="Noto Serif CJK SC" w:hAnsi="Noto Serif CJK SC" w:eastAsia="Noto Serif CJK SC" w:cs="Noto Serif CJK SC"/>
          <w:lang w:val="en-US" w:eastAsia="zh-CN"/>
        </w:rPr>
        <w:t xml:space="preserve">1.</w:t>
      </w:r>
    </w:p>
    <w:p>
      <w:pPr>
        <w:pStyle w:val="Definition"/>
      </w:pPr>
      <w:r>
        <w:rPr>
          <w:rFonts w:hint="eastAsia" w:ascii="Noto Serif CJK SC" w:hAnsi="Noto Serif CJK SC" w:eastAsia="Noto Serif CJK SC" w:cs="Noto Serif CJK SC"/>
          <w:i/>
          <w:iCs/>
          <w:lang w:val="en-US" w:eastAsia="zh-CN"/>
        </w:rPr>
        <w:t xml:space="preserve">权限与资源</w:t>
      </w:r>
      <w:r>
        <w:rPr>
          <w:rFonts w:hint="eastAsia" w:ascii="Noto Serif CJK SC" w:hAnsi="Noto Serif CJK SC" w:eastAsia="Noto Serif CJK SC" w:cs="Noto Serif CJK SC"/>
          <w:lang w:val="en-US" w:eastAsia="zh-CN"/>
        </w:rPr>
        <w:t xml:space="preserve">：设定目标、风险容忍度、人员配置、算力、数据访问权限和发布条件的主体；</w:t>
      </w:r>
    </w:p>
    <w:p>
      <w:pPr>
        <w:pStyle w:val="DefinitionTerm"/>
      </w:pPr>
      <w:r>
        <w:rPr>
          <w:rFonts w:ascii="Noto Serif CJK SC" w:hAnsi="Noto Serif CJK SC" w:eastAsia="Noto Serif CJK SC" w:cs="Noto Serif CJK SC"/>
          <w:lang w:val="en-US" w:eastAsia="zh-CN"/>
        </w:rPr>
        <w:t xml:space="preserve">2.</w:t>
      </w:r>
    </w:p>
    <w:p>
      <w:pPr>
        <w:pStyle w:val="Definition"/>
      </w:pPr>
      <w:r>
        <w:rPr>
          <w:rFonts w:hint="eastAsia" w:ascii="Noto Serif CJK SC" w:hAnsi="Noto Serif CJK SC" w:eastAsia="Noto Serif CJK SC" w:cs="Noto Serif CJK SC"/>
          <w:i/>
          <w:iCs/>
          <w:lang w:val="en-US" w:eastAsia="zh-CN"/>
        </w:rPr>
        <w:t xml:space="preserve">模型与组件供应</w:t>
      </w:r>
      <w:r>
        <w:rPr>
          <w:rFonts w:hint="eastAsia" w:ascii="Noto Serif CJK SC" w:hAnsi="Noto Serif CJK SC" w:eastAsia="Noto Serif CJK SC" w:cs="Noto Serif CJK SC"/>
          <w:lang w:val="en-US" w:eastAsia="zh-CN"/>
        </w:rPr>
        <w:t xml:space="preserve">：开发或选择模型、记录限制、开展评估、发布更新以及提供接口或权重的主体；</w:t>
      </w:r>
    </w:p>
    <w:p>
      <w:pPr>
        <w:pStyle w:val="DefinitionTerm"/>
      </w:pPr>
      <w:r>
        <w:rPr>
          <w:rFonts w:ascii="Noto Serif CJK SC" w:hAnsi="Noto Serif CJK SC" w:eastAsia="Noto Serif CJK SC" w:cs="Noto Serif CJK SC"/>
          <w:lang w:val="en-US" w:eastAsia="zh-CN"/>
        </w:rPr>
        <w:t xml:space="preserve">3.</w:t>
      </w:r>
    </w:p>
    <w:p>
      <w:pPr>
        <w:pStyle w:val="Definition"/>
      </w:pPr>
      <w:r>
        <w:rPr>
          <w:rFonts w:hint="eastAsia" w:ascii="Noto Serif CJK SC" w:hAnsi="Noto Serif CJK SC" w:eastAsia="Noto Serif CJK SC" w:cs="Noto Serif CJK SC"/>
          <w:i/>
          <w:iCs/>
          <w:lang w:val="en-US" w:eastAsia="zh-CN"/>
        </w:rPr>
        <w:t xml:space="preserve">部署与编排框架运行</w:t>
      </w:r>
      <w:r>
        <w:rPr>
          <w:rFonts w:hint="eastAsia" w:ascii="Noto Serif CJK SC" w:hAnsi="Noto Serif CJK SC" w:eastAsia="Noto Serif CJK SC" w:cs="Noto Serif CJK SC"/>
          <w:lang w:val="en-US" w:eastAsia="zh-CN"/>
        </w:rPr>
        <w:t xml:space="preserve">：选择指令、检索、记忆、过滤器、路由、工具、凭证、适格用户、监测与逐级上报机制的主体；以及</w:t>
      </w:r>
    </w:p>
    <w:p>
      <w:pPr>
        <w:pStyle w:val="DefinitionTerm"/>
      </w:pPr>
      <w:r>
        <w:rPr>
          <w:rFonts w:ascii="Noto Serif CJK SC" w:hAnsi="Noto Serif CJK SC" w:eastAsia="Noto Serif CJK SC" w:cs="Noto Serif CJK SC"/>
          <w:lang w:val="en-US" w:eastAsia="zh-CN"/>
        </w:rPr>
        <w:t xml:space="preserve">4.</w:t>
      </w:r>
    </w:p>
    <w:p>
      <w:pPr>
        <w:pStyle w:val="Definition"/>
      </w:pPr>
      <w:r>
        <w:rPr>
          <w:rFonts w:hint="eastAsia" w:ascii="Noto Serif CJK SC" w:hAnsi="Noto Serif CJK SC" w:eastAsia="Noto Serif CJK SC" w:cs="Noto Serif CJK SC"/>
          <w:i/>
          <w:iCs/>
          <w:lang w:val="en-US" w:eastAsia="zh-CN"/>
        </w:rPr>
        <w:t xml:space="preserve">受影响环境</w:t>
      </w:r>
      <w:r>
        <w:rPr>
          <w:rFonts w:hint="eastAsia" w:ascii="Noto Serif CJK SC" w:hAnsi="Noto Serif CJK SC" w:eastAsia="Noto Serif CJK SC" w:cs="Noto Serif CJK SC"/>
          <w:lang w:val="en-US" w:eastAsia="zh-CN"/>
        </w:rPr>
        <w:t xml:space="preserve">：提供输入并承受影响的运营人员、用户、数据主体、第三方系统和制度条件。</w:t>
      </w:r>
    </w:p>
    <w:p>
      <w:pPr>
        <w:pStyle w:val="FirstParagraph"/>
      </w:pPr>
      <w:r>
        <w:rPr>
          <w:rFonts w:hint="eastAsia" w:ascii="Noto Serif CJK SC" w:hAnsi="Noto Serif CJK SC" w:eastAsia="Noto Serif CJK SC" w:cs="Noto Serif CJK SC"/>
          <w:lang w:val="en-US" w:eastAsia="zh-CN"/>
        </w:rPr>
        <w:t xml:space="preserve">这些是角色，而非四家企业。在集成式服务中，一家企业可以同时占据前三个层级。API</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部署可能把这些层级分配给模型供应商、应用开发者、企业客户和专业用户。公共机关可以设定法律目标和评分用途，而由承包商提供并更新模型。该图谱防止以公司标签或合同名称替代实际功能。</w:t>
      </w:r>
    </w:p>
    <w:tbl>
      <w:tblPr>
        <w:tblStyle w:val="FigureTable"/>
        <w:tblW w:type="dxa" w:w="7920"/>
        <w:tblLayout w:type="fixed"/>
        <w:tblLook w:firstRow="0" w:lastRow="0" w:firstColumn="0" w:lastColumn="0" w:noHBand="0" w:noVBand="0" w:val="0000"/>
        <w:jc w:val="center"/>
        <w:tblInd w:type="dxa" w:w="0"/>
      </w:tblPr>
      <w:tblGrid>
        <w:gridCol w:w="7920"/>
      </w:tblGrid>
      <w:tr>
        <w:trPr>
          <w:cantSplit/>
        </w:trPr>
        <w:tc>
          <w:tcPr>
            <w:tcW w:type="dxa" w:w="7920"/>
          </w:tcPr>
          <w:p>
            <w:pPr>
              <w:pStyle w:val="Compact"/>
              <w:jc w:val="center"/>
              <w:spacing w:before="0" w:after="0"/>
            </w:pPr>
            <w:r>
              <w:rPr>
                <w:rFonts w:ascii="Noto Serif CJK SC" w:hAnsi="Noto Serif CJK SC" w:eastAsia="Noto Serif CJK SC" w:cs="Noto Serif CJK SC"/>
                <w:lang w:val="en-US" w:eastAsia="zh-CN"/>
              </w:rPr>
              <w:drawing>
                <wp:inline>
                  <wp:extent cx="5029200" cy="3794760"/>
                  <wp:effectExtent b="0" l="0" r="0" t="0"/>
                  <wp:docPr descr="[图片]" title="" id="131" name="Picture"/>
                  <a:graphic>
                    <a:graphicData uri="http://schemas.openxmlformats.org/drawingml/2006/picture">
                      <pic:pic>
                        <pic:nvPicPr>
                          <pic:cNvPr descr="build/chinese-coauthor/media/cascade-zh.png" id="132" name="Picture"/>
                          <pic:cNvPicPr>
                            <a:picLocks noChangeArrowheads="1" noChangeAspect="1"/>
                          </pic:cNvPicPr>
                        </pic:nvPicPr>
                        <pic:blipFill>
                          <a:blip r:embed="rId130"/>
                          <a:stretch>
                            <a:fillRect/>
                          </a:stretch>
                        </pic:blipFill>
                        <pic:spPr bwMode="auto">
                          <a:xfrm>
                            <a:off x="0" y="0"/>
                            <a:ext cx="5029200" cy="3794760"/>
                          </a:xfrm>
                          <a:prstGeom prst="rect">
                            <a:avLst/>
                          </a:prstGeom>
                          <a:noFill/>
                          <a:ln w="9525">
                            <a:noFill/>
                            <a:headEnd/>
                            <a:tailEnd/>
                          </a:ln>
                        </pic:spPr>
                      </pic:pic>
                    </a:graphicData>
                  </a:graphic>
                </wp:inline>
              </w:drawing>
            </w:r>
          </w:p>
        </w:tc>
      </w:tr>
    </w:tbl>
    <w:p>
      <w:pPr>
        <w:pStyle w:val="ImageCaption"/>
      </w:pPr>
      <w:r>
        <w:rPr>
          <w:rFonts w:hint="eastAsia" w:ascii="Noto Serif CJK SC" w:hAnsi="Noto Serif CJK SC" w:eastAsia="Noto Serif CJK SC" w:cs="Noto Serif CJK SC"/>
          <w:lang w:val="en-US" w:eastAsia="zh-CN"/>
        </w:rPr>
        <w:t xml:space="preserve">图</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1：作为记录规范的部署控制级联。实线箭头表示权限、资源、组件与运行行动向受影响环境传递；虚线箭头表示更新各控制者认识所必需的反馈。限制运行、回滚、撤销凭证与关停权，必须在能够行使这些权能的层级形成记录。</w:t>
      </w:r>
    </w:p>
    <w:p>
      <w:pPr>
        <w:pStyle w:val="BodyText"/>
      </w:pPr>
      <w:r>
        <w:rPr>
          <w:rFonts w:hint="eastAsia" w:ascii="Noto Serif CJK SC" w:hAnsi="Noto Serif CJK SC" w:eastAsia="Noto Serif CJK SC" w:cs="Noto Serif CJK SC"/>
          <w:lang w:val="en-US" w:eastAsia="zh-CN"/>
        </w:rPr>
        <w:t xml:space="preserve">在每一层级，六个问题界定可开示记录。所主张的风险中哪些属于该层级的范围？哪项行动能够产生、暴露、发现或降低该风险？控制者如何认识系统与环境？何种反馈能够纠正这一认识？相关时点存在哪些实际权限与资源？谁能够限制运行、回滚、暂停或终止系统？对这些问题的回答指向具体材料，而非一项不加区分地要求提供“算法”的请求。</w:t>
      </w:r>
    </w:p>
    <w:p>
      <w:pPr>
        <w:pStyle w:val="TableCaption"/>
        <w:keepNext/>
      </w:pPr>
      <w:r>
        <w:rPr>
          <w:rFonts w:hint="eastAsia" w:ascii="Noto Serif CJK SC" w:hAnsi="Noto Serif CJK SC" w:eastAsia="Noto Serif CJK SC" w:cs="Noto Serif CJK SC"/>
          <w:lang w:val="en-US" w:eastAsia="zh-CN"/>
        </w:rPr>
        <w:t xml:space="preserve">表</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1：从部署控制到诉讼记录</w:t>
      </w:r>
    </w:p>
    <w:tbl>
      <w:tblPr>
        <w:tblStyle w:val="Table"/>
        <w:tblW w:type="dxa" w:w="7920"/>
        <w:tblLayout w:type="fixed"/>
        <w:tblLook w:firstRow="1" w:lastRow="0" w:firstColumn="0" w:lastColumn="0" w:noHBand="0" w:noVBand="0" w:val="0020"/>
        <w:tblCaption w:val="表 1：从部署控制到诉讼记录"/>
        <w:tblInd w:type="dxa" w:w="0"/>
        <w:jc w:val="left"/>
      </w:tblPr>
      <w:tblGrid>
        <w:gridCol w:w="2640"/>
        <w:gridCol w:w="2640"/>
        <w:gridCol w:w="2640"/>
      </w:tblGrid>
      <w:tr>
        <w:trPr>
          <w:tblHeader w:val="on"/>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控制环节</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核心记录</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在适用法律下的潜在用途</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身份与配置</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模型与应用版本；指令；检索；数据；工具；凭证；实质性变更。</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归责；预期用途；因果机制；鉴真。</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权限与批准</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风险负责人；发布批准人；目标；资源；附加条件；尚未解决的风险决定。</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授权；组织的直接行为；可行性审查。</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评估与反馈</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测试方案与结果；投诉；事件；漂移信号；人工干预；逐级上报与回应。</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知悉；通知；持续回应；替代解释。</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干预</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限制运行、更新、回滚、暂停与终止系统的权利；经过测试的触发条件和响应时限。</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实际控制；预防或减轻损害的能力；因果序列。</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留存与溯源</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记录保管人；留存期；版本沿革；第三方持有人；法律保全与删除事件。</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识别；保全；符合比例原则的证据开示；抗辩与反驳。</w:t>
            </w:r>
          </w:p>
        </w:tc>
      </w:tr>
    </w:tbl>
    <w:p>
      <w:pPr>
        <w:pStyle w:val="BodyText"/>
      </w:pPr>
      <w:r>
        <w:rPr>
          <w:rFonts w:hint="eastAsia" w:ascii="Noto Serif CJK SC" w:hAnsi="Noto Serif CJK SC" w:eastAsia="Noto Serif CJK SC" w:cs="Noto Serif CJK SC"/>
          <w:lang w:val="en-US" w:eastAsia="zh-CN"/>
        </w:rPr>
        <w:t xml:space="preserve">该表刻意限于事实。关停凭证为实际权限提供证据；警报为信息已经送达提供证据；内部限制则为组织所选择的约束提供证据。适用法律决定这些事实能否证明义务、通知或合理注意。同一记录也可以提供有利于抗辩的事实：下游修改者移除了安全保障，用户绕过了经过测试的约束，事件信号从未送达所主张的控制者，或者拟议干预措施不可能改变结果。</w:t>
      </w:r>
    </w:p>
    <w:p>
      <w:pPr>
        <w:pStyle w:val="BodyText"/>
      </w:pPr>
      <w:r>
        <w:rPr>
          <w:rFonts w:hint="eastAsia" w:ascii="Noto Serif CJK SC" w:hAnsi="Noto Serif CJK SC" w:eastAsia="Noto Serif CJK SC" w:cs="Noto Serif CJK SC"/>
          <w:lang w:val="en-US" w:eastAsia="zh-CN"/>
        </w:rPr>
        <w:t xml:space="preserve">这一图谱由此确定部署责任入口的对象。行为人识别所要查明的是哪家企业占据了针对特定风险的控制环节。部署记录的提供所要求的是范围有限的材料，用以证明或反驳这一命题，并使通常法理得以继续运行。第二部分将这两项功能转化为制定法上的触发条件、首次答复义务和安全退出机制。</w:t>
      </w:r>
    </w:p>
    <w:bookmarkEnd w:id="133"/>
    <w:bookmarkEnd w:id="134"/>
    <w:bookmarkStart w:id="157" w:name="the-deployment-frontdoor-rule"/>
    <w:p>
      <w:pPr>
        <w:pStyle w:val="Heading3"/>
      </w:pPr>
      <w:r>
        <w:rPr>
          <w:rFonts w:hint="eastAsia" w:ascii="Noto Sans CJK SC" w:hAnsi="Noto Sans CJK SC" w:eastAsia="Noto Sans CJK SC" w:cs="Noto Sans CJK SC"/>
          <w:lang w:val="en-US" w:eastAsia="zh-CN"/>
        </w:rPr>
        <w:t xml:space="preserve">二</w:t>
      </w:r>
      <w:r>
        <w:rPr>
          <w:rFonts w:ascii="Noto Sans CJK SC" w:hAnsi="Noto Sans CJK SC" w:eastAsia="Noto Sans CJK SC" w:cs="Noto Sans CJK SC"/>
          <w:lang w:val="en-US" w:eastAsia="zh-CN"/>
        </w:rPr>
        <w:t xml:space="preserve">　</w:t>
      </w:r>
      <w:r>
        <w:rPr>
          <w:rFonts w:hint="eastAsia" w:ascii="Noto Sans CJK SC" w:hAnsi="Noto Sans CJK SC" w:eastAsia="Noto Sans CJK SC" w:cs="Noto Sans CJK SC"/>
          <w:lang w:val="en-US" w:eastAsia="zh-CN"/>
        </w:rPr>
        <w:t xml:space="preserve">部署责任入口规则</w:t>
      </w:r>
    </w:p>
    <w:p>
      <w:pPr>
        <w:pStyle w:val="FirstParagraph"/>
      </w:pPr>
      <w:r>
        <w:rPr>
          <w:rFonts w:hint="eastAsia" w:ascii="Noto Serif CJK SC" w:hAnsi="Noto Serif CJK SC" w:eastAsia="Noto Serif CJK SC" w:cs="Noto Serif CJK SC"/>
          <w:lang w:val="en-US" w:eastAsia="zh-CN"/>
        </w:rPr>
        <w:t xml:space="preserve">归责缺口所需要的是一项有限的信息规则，而非一套新的人工智能责任一般法。该规则必须告诉受影响者应当向谁提出请求，告诉企业应当保存何种记录，并告诉法院该记录应于何时、以何种方式提供。对于虽与相关品牌或技术栈存在联系、却并未对所主张的风险拥有实际控制力的企业，规则还必须提供迅速退出的路径。</w:t>
      </w:r>
    </w:p>
    <w:p>
      <w:pPr>
        <w:pStyle w:val="BodyText"/>
      </w:pPr>
      <w:r>
        <w:rPr>
          <w:rFonts w:hint="eastAsia" w:ascii="Noto Serif CJK SC" w:hAnsi="Noto Serif CJK SC" w:eastAsia="Noto Serif CJK SC" w:cs="Noto Serif CJK SC"/>
          <w:lang w:val="en-US" w:eastAsia="zh-CN"/>
        </w:rPr>
        <w:t xml:space="preserve">本部分构建这一制度架构。第（一）节将适用范围系于行业性立法指定。第（二）节规定由对外可见的运营者充当首次答复入口，并设定与既有法律请求权相联系的启动门槛。第（三）节为</w:t>
      </w:r>
      <w:r>
        <w:rPr>
          <w:rFonts w:hint="eastAsia" w:ascii="Noto Serif CJK SC" w:hAnsi="Noto Serif CJK SC" w:eastAsia="Noto Serif CJK SC" w:cs="Noto Serif CJK SC"/>
          <w:i/>
          <w:iCs/>
          <w:lang w:val="en-US" w:eastAsia="zh-CN"/>
        </w:rPr>
        <w:t xml:space="preserve">实质性控制</w:t>
      </w:r>
      <w:r>
        <w:rPr>
          <w:rFonts w:hint="eastAsia" w:ascii="Noto Serif CJK SC" w:hAnsi="Noto Serif CJK SC" w:eastAsia="Noto Serif CJK SC" w:cs="Noto Serif CJK SC"/>
          <w:lang w:val="en-US" w:eastAsia="zh-CN"/>
        </w:rPr>
        <w:t xml:space="preserve">规定一项累积适用且针对特定风险的检验。第（四）节分别处理记录生成、保全与分阶段提供。第（五）节规定保密、救济与安全退出。第（六）节以示范法条文本整合本方案，第（七）节则说明，州法规定的事前记录义务如何与《联邦民事诉讼规则》并行运作。</w:t>
      </w:r>
    </w:p>
    <w:bookmarkStart w:id="136" w:name="sectoral-designation-defines-the-field"/>
    <w:p>
      <w:pPr>
        <w:pStyle w:val="Heading4"/>
      </w:pPr>
      <w:r>
        <w:rPr>
          <w:rFonts w:hint="eastAsia" w:ascii="Noto Sans CJK SC" w:hAnsi="Noto Sans CJK SC" w:eastAsia="Noto Sans CJK SC" w:cs="Noto Sans CJK SC"/>
          <w:lang w:val="en-US" w:eastAsia="zh-CN"/>
        </w:rPr>
        <w:t xml:space="preserve">（一）适用范围由行业性指定界定</w:t>
      </w:r>
    </w:p>
    <w:p>
      <w:pPr>
        <w:pStyle w:val="FirstParagraph"/>
      </w:pPr>
      <w:r>
        <w:rPr>
          <w:rFonts w:hint="eastAsia" w:ascii="Noto Serif CJK SC" w:hAnsi="Noto Serif CJK SC" w:eastAsia="Noto Serif CJK SC" w:cs="Noto Serif CJK SC"/>
          <w:lang w:val="en-US" w:eastAsia="zh-CN"/>
        </w:rPr>
        <w:t xml:space="preserve">“高影响”应当用来识别一种部署类别，而不应永久附着于某一模型。通用模型在一个场景中可以仅用于一般性文本起草，在另一个场景中却可能成为福利、招聘、临床或物理控制流程的一部分。受保护利益、受影响群体、运营机构以及具有法律相关性的控制，均由具体部署决定。适用范围应当随这些特征而定。</w:t>
      </w:r>
    </w:p>
    <w:p>
      <w:pPr>
        <w:pStyle w:val="BodyText"/>
      </w:pPr>
      <w:r>
        <w:rPr>
          <w:rFonts w:hint="eastAsia" w:ascii="Noto Serif CJK SC" w:hAnsi="Noto Serif CJK SC" w:eastAsia="Noto Serif CJK SC" w:cs="Noto Serif CJK SC"/>
          <w:lang w:val="en-US" w:eastAsia="zh-CN"/>
        </w:rPr>
        <w:t xml:space="preserve">因此，拟议法案仅在立法机关已指定某一类别，并明确下列六项事项时适用：受保护利益；对外可见的运营者；最低限度部署记录；保存期限与重大变更触发事由；请求人的启动门槛；以及可获得的执行救济。立法机关可以直接作出指定，也可以授权行业监管机构依照法定标准维护一份范围有限的清单。至于由谁承担答复义务，以及哪些利益足以正当化强制记录保存，决定这些问题的选择仍应由立法机关掌握。</w:t>
      </w:r>
    </w:p>
    <w:p>
      <w:pPr>
        <w:pStyle w:val="BodyText"/>
      </w:pPr>
      <w:r>
        <w:rPr>
          <w:rFonts w:hint="eastAsia" w:ascii="Noto Serif CJK SC" w:hAnsi="Noto Serif CJK SC" w:eastAsia="Noto Serif CJK SC" w:cs="Noto Serif CJK SC"/>
          <w:lang w:val="en-US" w:eastAsia="zh-CN"/>
        </w:rPr>
        <w:t xml:space="preserve">最适合适用本规则的领域具有五项特征。第一，部署影响的是实体法已经保护的利益，例如就业机会、获得公共福利、健康、信贷、住房、教育、人身安全或未成年人福祉。第二，系统反复介入决定或风险暴露，而非仅提供一次性、后果轻微的便利。第三，可以预见，受影响者对实际运行系统的了解少于运营者和供应商。第四，身份、版本、控制与事件字段能够以合理成本实现标准化。第五，一旦取得这些事实，既有法理便足以裁判争议。这些标准所筛选出的，是记录入口能够开启既有法律制度的场景，而不是需要另行创设新制度的场景。</w:t>
      </w:r>
    </w:p>
    <w:p>
      <w:pPr>
        <w:pStyle w:val="BodyText"/>
      </w:pPr>
      <w:r>
        <w:rPr>
          <w:rFonts w:hint="eastAsia" w:ascii="Noto Serif CJK SC" w:hAnsi="Noto Serif CJK SC" w:eastAsia="Noto Serif CJK SC" w:cs="Noto Serif CJK SC"/>
          <w:lang w:val="en-US" w:eastAsia="zh-CN"/>
        </w:rPr>
        <w:t xml:space="preserve">指定还应确定其与公法制度的衔接方式。受规制的运营者如为政府机构，立法机关应当明确执行裁判机构、可获得的救济、适用的救济穷尽路径，以及主权豁免或公务豁免的处理方式。部署责任入口并不必然意味着可以针对政府提起损害赔偿之诉。它可以提供行政记录、确认性救济、可受审查的拒绝决定，或其他依基础利益而设计的信息获取路径。在指定阶段明确这一路径，可以使信息权与该领域的救济结构保持一致。</w:t>
      </w:r>
    </w:p>
    <w:p>
      <w:pPr>
        <w:pStyle w:val="BodyText"/>
      </w:pPr>
      <w:r>
        <w:rPr>
          <w:rFonts w:hint="eastAsia" w:ascii="Noto Serif CJK SC" w:hAnsi="Noto Serif CJK SC" w:eastAsia="Noto Serif CJK SC" w:cs="Noto Serif CJK SC"/>
          <w:lang w:val="en-US" w:eastAsia="zh-CN"/>
        </w:rPr>
        <w:t xml:space="preserve">这一设计避免采用不稳定的普遍定义。就业筛选、基本公共福利分配、临床诊断或治疗、信贷、住房、教育录取、人身安全以及向未成年人提供的关系型服务，可能分别需要不同的记录和保存期限。陪伴型服务可能需要记录年龄准入、关系型行为、危机干预和连续性；就业工具可能需要记录输入特征、验证、选择率、配置与版本；临床系统则可能需要记录预期用途、验证人群、不确定性、逐级上报、人工干预与后续跟踪。共同的部署责任入口架构允许不同领域规定各自的具体内容。</w:t>
      </w:r>
    </w:p>
    <w:p>
      <w:pPr>
        <w:pStyle w:val="BodyText"/>
      </w:pPr>
      <w:r>
        <w:rPr>
          <w:rFonts w:hint="eastAsia" w:ascii="Noto Serif CJK SC" w:hAnsi="Noto Serif CJK SC" w:eastAsia="Noto Serif CJK SC" w:cs="Noto Serif CJK SC"/>
          <w:lang w:val="en-US" w:eastAsia="zh-CN"/>
        </w:rPr>
        <w:t xml:space="preserve">加利福尼亚州已经制定的陪伴型聊天机器人条款，说明这种形式具有可行性。立法机关界定了受规制的关系型服务及其运营者，要求作出特定披露并建立自伤应对规程，对已知未成年人规定保护措施和报告义务，设置私人救济，同时保留其他法律的累积适用。</w:t>
      </w:r>
      <w:r>
        <w:rPr>
          <w:rFonts w:ascii="Noto Serif CJK SC" w:hAnsi="Noto Serif CJK SC" w:eastAsia="Noto Serif CJK SC" w:cs="Noto Serif CJK SC"/>
          <w:rStyle w:val="FootnoteReference"/>
          <w:lang w:val="en-US" w:eastAsia="zh-CN"/>
        </w:rPr>
        <w:footnoteReference w:id="135"/>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该法无须把每一种对话模型都宣布为高影响模型；它所规制的是一种部署类别，以及使该部署可供使用的企业。</w:t>
      </w:r>
    </w:p>
    <w:p>
      <w:pPr>
        <w:pStyle w:val="BodyText"/>
      </w:pPr>
      <w:r>
        <w:rPr>
          <w:rFonts w:hint="eastAsia" w:ascii="Noto Serif CJK SC" w:hAnsi="Noto Serif CJK SC" w:eastAsia="Noto Serif CJK SC" w:cs="Noto Serif CJK SC"/>
          <w:lang w:val="en-US" w:eastAsia="zh-CN"/>
        </w:rPr>
        <w:t xml:space="preserve">指定还应当列明排除事项。不会对受影响者产生法律上或实践上重大影响的研究或内部评估，通常不在适用范围内。对特定风险不具有配置或干预权限的一般云托管服务亦同。在相关行业情况允许时，可以向小型企业提供简化记录表格或监管协助；但识别重大决定所必需的信息，不应随着企业规模缩小而消失。使用开放权重的受规制运营者仍然控制着一项部署；不再拥有持续权限的上游作者，则可能不属于发布后的控制环节。</w:t>
      </w:r>
    </w:p>
    <w:bookmarkEnd w:id="136"/>
    <w:bookmarkStart w:id="137" w:name="the-visible-operator-answers-first"/>
    <w:p>
      <w:pPr>
        <w:pStyle w:val="Heading4"/>
      </w:pPr>
      <w:r>
        <w:rPr>
          <w:rFonts w:hint="eastAsia" w:ascii="Noto Sans CJK SC" w:hAnsi="Noto Sans CJK SC" w:eastAsia="Noto Sans CJK SC" w:cs="Noto Sans CJK SC"/>
          <w:lang w:val="en-US" w:eastAsia="zh-CN"/>
        </w:rPr>
        <w:t xml:space="preserve">（二）由对外可见的运营者首先作答</w:t>
      </w:r>
    </w:p>
    <w:p>
      <w:pPr>
        <w:pStyle w:val="FirstParagraph"/>
      </w:pPr>
      <w:r>
        <w:rPr>
          <w:rFonts w:hint="eastAsia" w:ascii="Noto Serif CJK SC" w:hAnsi="Noto Serif CJK SC" w:eastAsia="Noto Serif CJK SC" w:cs="Noto Serif CJK SC"/>
          <w:lang w:val="en-US" w:eastAsia="zh-CN"/>
        </w:rPr>
        <w:t xml:space="preserve">本规则通过选定受影响者通常能够识别的实体，解决送达对象难以确定的问题。</w:t>
      </w:r>
      <w:r>
        <w:rPr>
          <w:rFonts w:hint="eastAsia" w:ascii="Noto Serif CJK SC" w:hAnsi="Noto Serif CJK SC" w:eastAsia="Noto Serif CJK SC" w:cs="Noto Serif CJK SC"/>
          <w:i/>
          <w:iCs/>
          <w:lang w:val="en-US" w:eastAsia="zh-CN"/>
        </w:rPr>
        <w:t xml:space="preserve">对外可见的运营者</w:t>
      </w:r>
      <w:r>
        <w:rPr>
          <w:rFonts w:hint="eastAsia" w:ascii="Noto Serif CJK SC" w:hAnsi="Noto Serif CJK SC" w:eastAsia="Noto Serif CJK SC" w:cs="Noto Serif CJK SC"/>
          <w:lang w:val="en-US" w:eastAsia="zh-CN"/>
        </w:rPr>
        <w:t xml:space="preserve">，是指使受规制部署可供受影响者使用，或者将其纳入产生不利事件之流程的企业或公共机构。它可能是陪伴服务提供者、雇主、医院、贷款人、福利机构、学校或品牌应用的运营者。其入口地位源于外部可见性与来源可追溯性，而非源于其控制一切风险的推定。</w:t>
      </w:r>
    </w:p>
    <w:p>
      <w:pPr>
        <w:pStyle w:val="BodyText"/>
      </w:pPr>
      <w:r>
        <w:rPr>
          <w:rFonts w:hint="eastAsia" w:ascii="Noto Serif CJK SC" w:hAnsi="Noto Serif CJK SC" w:eastAsia="Noto Serif CJK SC" w:cs="Noto Serif CJK SC"/>
          <w:lang w:val="en-US" w:eastAsia="zh-CN"/>
        </w:rPr>
        <w:t xml:space="preserve">第一阶段采用事件发生门槛，而不是要求提交一份微型实体问题诉状。经核实的通知应当载明：（1）影响行业性指定所列法律保护利益的不利事件；（2）该事件经由何项受规制部署或哪一对外可见的运营者发生；（3）足以将所请求的身份字段和事件字段与该事件合理联系起来的事实；（4）在合理可得范围内尽可能具体地说明相关时间、交易、账户、决定或互动；（5）所请求的限定字段；以及（6）请求人拟善意利用答复来评估、质疑、申诉或就该事件寻求救济。根据伪证罪罚则作出的陈述，应当说明请求人亲自知悉的事项，并标明基于合理可得信息所陈述的事项；律师则应证明请求目的正当且已进行合理调查。</w:t>
      </w:r>
    </w:p>
    <w:p>
      <w:pPr>
        <w:pStyle w:val="BodyText"/>
      </w:pPr>
      <w:r>
        <w:rPr>
          <w:rFonts w:hint="eastAsia" w:ascii="Noto Serif CJK SC" w:hAnsi="Noto Serif CJK SC" w:eastAsia="Noto Serif CJK SC" w:cs="Noto Serif CJK SC"/>
          <w:lang w:val="en-US" w:eastAsia="zh-CN"/>
        </w:rPr>
        <w:t xml:space="preserve">这一门槛要求存在一项事件及范围有限的联系，但绝不要求提出仅由部署记录所掌握的事实。申请人无须知道某项具名功能是否已启用、是否生成分数、该分数是否传递给雇主、运行的是哪个版本，或者是哪家供应商保存事件日志。这些正是首次答复应当说明的字段。仅称“人工智能伤害了我”仍不充分，因为这既没有识别受规制事件，也没有指明限定记录。但运营者不得以要求证明某项未披露功能参与了该事件为由，阻却第一阶段的启动。</w:t>
      </w:r>
    </w:p>
    <w:p>
      <w:pPr>
        <w:pStyle w:val="BodyText"/>
      </w:pPr>
      <w:r>
        <w:rPr>
          <w:rFonts w:hint="eastAsia" w:ascii="Noto Serif CJK SC" w:hAnsi="Noto Serif CJK SC" w:eastAsia="Noto Serif CJK SC" w:cs="Noto Serif CJK SC"/>
          <w:lang w:val="en-US" w:eastAsia="zh-CN"/>
        </w:rPr>
        <w:t xml:space="preserve">该通知所启动的是一项存在于实体问题证据开示之外的法定信息获取权。通知可以在起诉前、起诉时或起诉后送达。交付应通过指定文件所列的电子渠道或注册代理人渠道进行；交付会触发运营者的首次答复义务，但不构成后续诉讼的诉讼文书送达。运营者应在三十日内作出答复、逐字段提出异议，或说明没有受规制部署处理所指明的事件；如能说明存在技术、隐私或安全需要，可以获得一次短期延期。保持沉默、笼统声称信息专有，或者将请求人转介给未具名的供应商，均不构成答复。</w:t>
      </w:r>
    </w:p>
    <w:p>
      <w:pPr>
        <w:pStyle w:val="BodyText"/>
      </w:pPr>
      <w:r>
        <w:rPr>
          <w:rFonts w:hint="eastAsia" w:ascii="Noto Serif CJK SC" w:hAnsi="Noto Serif CJK SC" w:eastAsia="Noto Serif CJK SC" w:cs="Noto Serif CJK SC"/>
          <w:lang w:val="en-US" w:eastAsia="zh-CN"/>
        </w:rPr>
        <w:t xml:space="preserve">运营者拒绝答复或答复存在实质缺漏的，受影响者可以在合法裁判机构中，针对该已知实体寻求范围有限的执行。只要适用范围、合规请求、交付及不履行四项条件成立，法定违法即告完成；执行不以在诉状中先行主张首次答复本应揭示的实体问题事实为前提。主管机关，或者另有独立事项管辖权和对人管辖权的法院，可以命令作出法定答复；有效仲裁协议可以约定由私人争议解决机构执行该权利。请求人就适用范围、交付及事件发生门槛承担举证责任。运营者则应就基于其控制范围内事实的逐字段异议承担举证责任，包括未运行、负担、特权、隐私、安全或有记录证明的信息不可获得。在信息获取范围扩展至固定首次答复之外以前，运营者仍可主张管辖权、豁免、联邦优先适用以及纯粹法律上的阻却事由。</w:t>
      </w:r>
    </w:p>
    <w:p>
      <w:pPr>
        <w:pStyle w:val="BodyText"/>
      </w:pPr>
      <w:r>
        <w:rPr>
          <w:rFonts w:hint="eastAsia" w:ascii="Noto Serif CJK SC" w:hAnsi="Noto Serif CJK SC" w:eastAsia="Noto Serif CJK SC" w:cs="Noto Serif CJK SC"/>
          <w:lang w:val="en-US" w:eastAsia="zh-CN"/>
        </w:rPr>
        <w:t xml:space="preserve">随后，入口主体应当作出由两部分组成的</w:t>
      </w:r>
      <w:r>
        <w:rPr>
          <w:rFonts w:hint="eastAsia" w:ascii="Noto Serif CJK SC" w:hAnsi="Noto Serif CJK SC" w:eastAsia="Noto Serif CJK SC" w:cs="Noto Serif CJK SC"/>
          <w:i/>
          <w:iCs/>
          <w:lang w:val="en-US" w:eastAsia="zh-CN"/>
        </w:rPr>
        <w:t xml:space="preserve">首次答复</w:t>
      </w:r>
      <w:r>
        <w:rPr>
          <w:rFonts w:ascii="Noto Serif CJK SC" w:hAnsi="Noto Serif CJK SC" w:eastAsia="Noto Serif CJK SC" w:cs="Noto Serif CJK SC"/>
          <w:lang w:val="en-US" w:eastAsia="zh-CN"/>
        </w:rPr>
        <w:t xml:space="preserve">。</w:t>
      </w:r>
      <w:r>
        <w:rPr>
          <w:rFonts w:hint="eastAsia" w:ascii="Noto Serif CJK SC" w:hAnsi="Noto Serif CJK SC" w:eastAsia="Noto Serif CJK SC" w:cs="Noto Serif CJK SC"/>
          <w:i/>
          <w:iCs/>
          <w:lang w:val="en-US" w:eastAsia="zh-CN"/>
        </w:rPr>
        <w:t xml:space="preserve">事件回执</w:t>
      </w:r>
      <w:r>
        <w:rPr>
          <w:rFonts w:hint="eastAsia" w:ascii="Noto Serif CJK SC" w:hAnsi="Noto Serif CJK SC" w:eastAsia="Noto Serif CJK SC" w:cs="Noto Serif CJK SC"/>
          <w:lang w:val="en-US" w:eastAsia="zh-CN"/>
        </w:rPr>
        <w:t xml:space="preserve">应当说明事件发生时启用的应用和模型版本；就该事件记录的任何输出、分数、决定、通知、警示、传输、使用或干预；以及所请求的某项功能是否并未运行。</w:t>
      </w:r>
      <w:r>
        <w:rPr>
          <w:rFonts w:hint="eastAsia" w:ascii="Noto Serif CJK SC" w:hAnsi="Noto Serif CJK SC" w:eastAsia="Noto Serif CJK SC" w:cs="Noto Serif CJK SC"/>
          <w:i/>
          <w:iCs/>
          <w:lang w:val="en-US" w:eastAsia="zh-CN"/>
        </w:rPr>
        <w:t xml:space="preserve">保管人图谱</w:t>
      </w:r>
      <w:r>
        <w:rPr>
          <w:rFonts w:hint="eastAsia" w:ascii="Noto Serif CJK SC" w:hAnsi="Noto Serif CJK SC" w:eastAsia="Noto Serif CJK SC" w:cs="Noto Serif CJK SC"/>
          <w:lang w:val="en-US" w:eastAsia="zh-CN"/>
        </w:rPr>
        <w:t xml:space="preserve">应当列明提供、配置、集成或运营重要组件的实体；每项所列记录的持有人和法律控制者；以及有权更新、限制、回滚、暂停或停止相关功能的岗位或主体。运营者应保全其控制范围内的记录，说明保存期限和已知删除情况，并启动部署前即被要求建立的各项合同调取与保全路径。</w:t>
      </w:r>
    </w:p>
    <w:p>
      <w:pPr>
        <w:pStyle w:val="BodyText"/>
      </w:pPr>
      <w:r>
        <w:rPr>
          <w:rFonts w:hint="eastAsia" w:ascii="Noto Serif CJK SC" w:hAnsi="Noto Serif CJK SC" w:eastAsia="Noto Serif CJK SC" w:cs="Noto Serif CJK SC"/>
          <w:lang w:val="en-US" w:eastAsia="zh-CN"/>
        </w:rPr>
        <w:t xml:space="preserve">这一答复解决两个实践问题。受影响者无须自行重构供应商架构，即可取得身份与来源信息。潜在控制持有人则获得共同的事件标识符，并能保全相应的记录切片。对外可见的运营者不得以采购环节未保留版本信息或供应商关系属于保密事项作为答复；本地来源记录和调取权本就是受规制部署的运行条件。但是，向供应商发出通知本身既不创设法定适用范围、法律选择、对人管辖权，也不构成诉讼文书送达。只有在企业及其部署处于本法有效的地域适用范围和法律选择范围内时，法定直接义务才会成立；运营者始终对本地最低限度答复及合同调取架构负责。</w:t>
      </w:r>
    </w:p>
    <w:p>
      <w:pPr>
        <w:pStyle w:val="BodyText"/>
      </w:pPr>
      <w:r>
        <w:rPr>
          <w:rFonts w:hint="eastAsia" w:ascii="Noto Serif CJK SC" w:hAnsi="Noto Serif CJK SC" w:eastAsia="Noto Serif CJK SC" w:cs="Noto Serif CJK SC"/>
          <w:lang w:val="en-US" w:eastAsia="zh-CN"/>
        </w:rPr>
        <w:t xml:space="preserve">第二阶段只有在上述记录形成后方可启动。受影响者必须指出一个与具体诉讼请求相关的控制环节，根据第一阶段说明相关功能构成事件路径的一部分或支配某项安全保障，并说明所请求的其他非特权信息与某项构成要件、抗辩或救济具有非微不足道的关联，且与已界定争议相称。对外可见的运营者仍可证明，其入口角色并不包括该相关环节。外部可见性开启第一阶段；下一节的检验则决定哪些主体继续留在第二阶段。</w:t>
      </w:r>
    </w:p>
    <w:bookmarkEnd w:id="137"/>
    <w:bookmarkStart w:id="139" w:name="X9e7a45e9943e08544407f510f9a942aad7a0627"/>
    <w:p>
      <w:pPr>
        <w:pStyle w:val="Heading4"/>
      </w:pPr>
      <w:r>
        <w:rPr>
          <w:rFonts w:hint="eastAsia" w:ascii="Noto Sans CJK SC" w:hAnsi="Noto Sans CJK SC" w:eastAsia="Noto Sans CJK SC" w:cs="Noto Sans CJK SC"/>
          <w:lang w:val="en-US" w:eastAsia="zh-CN"/>
        </w:rPr>
        <w:t xml:space="preserve">（三）实质性控制须同时具备风险特定性、实际权限与信息实质相关性</w:t>
      </w:r>
    </w:p>
    <w:p>
      <w:pPr>
        <w:pStyle w:val="FirstParagraph"/>
      </w:pPr>
      <w:r>
        <w:rPr>
          <w:rFonts w:hint="eastAsia" w:ascii="Noto Serif CJK SC" w:hAnsi="Noto Serif CJK SC" w:eastAsia="Noto Serif CJK SC" w:cs="Noto Serif CJK SC"/>
          <w:lang w:val="en-US" w:eastAsia="zh-CN"/>
        </w:rPr>
        <w:t xml:space="preserve">“能够影响系统”的范围过于宽泛。云服务商、投资者、数据供应商、研究者、模型作者与下游机构都可能同某项部署具有某种因果联系。只有在相关时间同时满足三项要求时，部署责任入口才应延伸至某一企业。</w:t>
      </w:r>
    </w:p>
    <w:p>
      <w:pPr>
        <w:pStyle w:val="BodyText"/>
      </w:pPr>
      <w:r>
        <w:rPr>
          <w:rFonts w:hint="eastAsia" w:ascii="Noto Serif CJK SC" w:hAnsi="Noto Serif CJK SC" w:eastAsia="Noto Serif CJK SC" w:cs="Noto Serif CJK SC"/>
          <w:lang w:val="en-US" w:eastAsia="zh-CN"/>
        </w:rPr>
        <w:t xml:space="preserve">第一，</w:t>
      </w:r>
      <w:r>
        <w:rPr>
          <w:rFonts w:hint="eastAsia" w:ascii="Noto Serif CJK SC" w:hAnsi="Noto Serif CJK SC" w:eastAsia="Noto Serif CJK SC" w:cs="Noto Serif CJK SC"/>
          <w:i/>
          <w:iCs/>
          <w:lang w:val="en-US" w:eastAsia="zh-CN"/>
        </w:rPr>
        <w:t xml:space="preserve">风险特定性</w:t>
      </w:r>
      <w:r>
        <w:rPr>
          <w:rFonts w:hint="eastAsia" w:ascii="Noto Serif CJK SC" w:hAnsi="Noto Serif CJK SC" w:eastAsia="Noto Serif CJK SC" w:cs="Noto Serif CJK SC"/>
          <w:lang w:val="en-US" w:eastAsia="zh-CN"/>
        </w:rPr>
        <w:t xml:space="preserve">：所主张的控制必须与经核实通知中所称风险相联系。对于公司战略、算力供应或模型研究的一般影响，不足以证明对年龄准入、招聘排序、临床逐级上报、特定工具权限或其他特定危险具有控制。</w:t>
      </w:r>
    </w:p>
    <w:p>
      <w:pPr>
        <w:pStyle w:val="BodyText"/>
      </w:pPr>
      <w:r>
        <w:rPr>
          <w:rFonts w:hint="eastAsia" w:ascii="Noto Serif CJK SC" w:hAnsi="Noto Serif CJK SC" w:eastAsia="Noto Serif CJK SC" w:cs="Noto Serif CJK SC"/>
          <w:lang w:val="en-US" w:eastAsia="zh-CN"/>
        </w:rPr>
        <w:t xml:space="preserve">第二，</w:t>
      </w:r>
      <w:r>
        <w:rPr>
          <w:rFonts w:hint="eastAsia" w:ascii="Noto Serif CJK SC" w:hAnsi="Noto Serif CJK SC" w:eastAsia="Noto Serif CJK SC" w:cs="Noto Serif CJK SC"/>
          <w:i/>
          <w:iCs/>
          <w:lang w:val="en-US" w:eastAsia="zh-CN"/>
        </w:rPr>
        <w:t xml:space="preserve">实际权限</w:t>
      </w:r>
      <w:r>
        <w:rPr>
          <w:rFonts w:hint="eastAsia" w:ascii="Noto Serif CJK SC" w:hAnsi="Noto Serif CJK SC" w:eastAsia="Noto Serif CJK SC" w:cs="Noto Serif CJK SC"/>
          <w:lang w:val="en-US" w:eastAsia="zh-CN"/>
        </w:rPr>
        <w:t xml:space="preserve">：企业必须在运营上或依据可强制执行的法律权利，有能力配置、约束、评估、监测、更新、暂停、回滚或终止相关功能。理论上的技术能力、已经失效的合同权利，或者必须依赖另一行为人自愿合作方能发挥作用的影响力，可以构成证据，但本身不等于实际权限。合同约定的审计、更新、安全干预和暂停权之所以重要，是因为这些权利可能成为可实际使用的控制手段；合同仅将双方称为独立主体，并不能决定该问题。</w:t>
      </w:r>
    </w:p>
    <w:p>
      <w:pPr>
        <w:pStyle w:val="BodyText"/>
      </w:pPr>
      <w:r>
        <w:rPr>
          <w:rFonts w:hint="eastAsia" w:ascii="Noto Serif CJK SC" w:hAnsi="Noto Serif CJK SC" w:eastAsia="Noto Serif CJK SC" w:cs="Noto Serif CJK SC"/>
          <w:lang w:val="en-US" w:eastAsia="zh-CN"/>
        </w:rPr>
        <w:t xml:space="preserve">第三，</w:t>
      </w:r>
      <w:r>
        <w:rPr>
          <w:rFonts w:hint="eastAsia" w:ascii="Noto Serif CJK SC" w:hAnsi="Noto Serif CJK SC" w:eastAsia="Noto Serif CJK SC" w:cs="Noto Serif CJK SC"/>
          <w:i/>
          <w:iCs/>
          <w:lang w:val="en-US" w:eastAsia="zh-CN"/>
        </w:rPr>
        <w:t xml:space="preserve">信息实质相关性</w:t>
      </w:r>
      <w:r>
        <w:rPr>
          <w:rFonts w:hint="eastAsia" w:ascii="Noto Serif CJK SC" w:hAnsi="Noto Serif CJK SC" w:eastAsia="Noto Serif CJK SC" w:cs="Noto Serif CJK SC"/>
          <w:lang w:val="en-US" w:eastAsia="zh-CN"/>
        </w:rPr>
        <w:t xml:space="preserve">：第一阶段记录必须支持相关功能构成事件路径的一部分或支配某项安全保障，所请求的信息还必须与某项构成要件、抗辩或救济具有非微不足道的关联。附带性贡献，或以完全不加区分的方式影响所有客户、但与所称风险关系过于间接的能力，均不在范围之内。该项审查所问的是，请求的信息能否对裁判产生实质帮助；它不要求证明，行使相关权限本可防止损害、改变最终决定或满足因果关系要件。</w:t>
      </w:r>
    </w:p>
    <w:p>
      <w:pPr>
        <w:pStyle w:val="BodyText"/>
      </w:pPr>
      <w:r>
        <w:rPr>
          <w:rFonts w:hint="eastAsia" w:ascii="Noto Serif CJK SC" w:hAnsi="Noto Serif CJK SC" w:eastAsia="Noto Serif CJK SC" w:cs="Noto Serif CJK SC"/>
          <w:lang w:val="en-US" w:eastAsia="zh-CN"/>
        </w:rPr>
        <w:t xml:space="preserve">上述要求必须累积满足。非穷尽性考量因素包括：谁选择部署目的和适用人群；谁选择模型及版本；谁配置指令、记忆、检索、数据字段、工具与凭证；谁设定参与度、排序、决策或逐级上报门槛；谁接收评估结果、投诉和事件信号；谁能够发布更新或施加限制；谁保留合同审计权或安全干预权；以及谁能够暂停、回滚或终止相关功能。审查具有时间性。事件发生后才取得的权限不会创设此前的控制，尽管后续记录可能揭示当时实际存在的权限。</w:t>
      </w:r>
    </w:p>
    <w:p>
      <w:pPr>
        <w:pStyle w:val="BodyText"/>
      </w:pPr>
      <w:r>
        <w:rPr>
          <w:rFonts w:hint="eastAsia" w:ascii="Noto Serif CJK SC" w:hAnsi="Noto Serif CJK SC" w:eastAsia="Noto Serif CJK SC" w:cs="Noto Serif CJK SC"/>
          <w:lang w:val="en-US" w:eastAsia="zh-CN"/>
        </w:rPr>
        <w:t xml:space="preserve">若干排除规则可以限制检验范围。仅有投资、一般云计算能力、发表研究、曾经任职、商标联系或模型来源，并不足以成立实质性控制。发布开放权重后，原始提供者可能已无法监测或停止独立的下游部署。移除安全保障、添加凭证或选择新的高影响用途的下游修改者，可能转而占据相关控制环节。相反，即使合同将“全部责任”分配给下游，保留强制更新、远程暂停、风险监测或有约束力的部署条件的提供者，仍可能保有一个控制环节。</w:t>
      </w:r>
    </w:p>
    <w:p>
      <w:pPr>
        <w:pStyle w:val="BodyText"/>
      </w:pPr>
      <w:r>
        <w:rPr>
          <w:rFonts w:hint="eastAsia" w:ascii="Noto Serif CJK SC" w:hAnsi="Noto Serif CJK SC" w:eastAsia="Noto Serif CJK SC" w:cs="Noto Serif CJK SC"/>
          <w:lang w:val="en-US" w:eastAsia="zh-CN"/>
        </w:rPr>
        <w:t xml:space="preserve">实质性控制决定的是信息义务，而非实体责任。企业可能拥有一项与可行性相关的控制，却依准据法不对受影响者负有义务；企业也可能接收到一项尚不足以在法律上成立通知的警报。本检验旨在识别准确提出实体问题所需的实体和记录。法案的</w:t>
      </w:r>
      <w:r>
        <w:rPr>
          <w:rFonts w:hint="eastAsia" w:ascii="Noto Serif CJK SC" w:hAnsi="Noto Serif CJK SC" w:eastAsia="Noto Serif CJK SC" w:cs="Noto Serif CJK SC"/>
          <w:i/>
          <w:iCs/>
          <w:lang w:val="en-US" w:eastAsia="zh-CN"/>
        </w:rPr>
        <w:t xml:space="preserve">实体问题防火墙</w:t>
      </w:r>
      <w:r>
        <w:rPr>
          <w:rFonts w:hint="eastAsia" w:ascii="Noto Serif CJK SC" w:hAnsi="Noto Serif CJK SC" w:eastAsia="Noto Serif CJK SC" w:cs="Noto Serif CJK SC"/>
          <w:lang w:val="en-US" w:eastAsia="zh-CN"/>
        </w:rPr>
        <w:t xml:space="preserve">保留了这种区分：参与部署责任入口程序和提供记录，不会对基础诉讼请求的任何构成要件产生推定。</w:t>
      </w:r>
    </w:p>
    <w:bookmarkStart w:id="138" w:name="adjudicating-material-control"/>
    <w:p>
      <w:pPr>
        <w:pStyle w:val="Heading5"/>
      </w:pPr>
      <w:r>
        <w:rPr>
          <w:rFonts w:ascii="Noto Sans CJK SC" w:hAnsi="Noto Sans CJK SC" w:eastAsia="Noto Sans CJK SC" w:cs="Noto Sans CJK SC"/>
          <w:lang w:val="en-US" w:eastAsia="zh-CN"/>
        </w:rPr>
        <w:t xml:space="preserve">1　</w:t>
      </w:r>
      <w:r>
        <w:rPr>
          <w:rFonts w:hint="eastAsia" w:ascii="Noto Sans CJK SC" w:hAnsi="Noto Sans CJK SC" w:eastAsia="Noto Sans CJK SC" w:cs="Noto Sans CJK SC"/>
          <w:lang w:val="en-US" w:eastAsia="zh-CN"/>
        </w:rPr>
        <w:t xml:space="preserve">实质性控制的裁判</w:t>
      </w:r>
    </w:p>
    <w:p>
      <w:pPr>
        <w:pStyle w:val="FirstParagraph"/>
      </w:pPr>
      <w:r>
        <w:rPr>
          <w:rFonts w:hint="eastAsia" w:ascii="Noto Serif CJK SC" w:hAnsi="Noto Serif CJK SC" w:eastAsia="Noto Serif CJK SC" w:cs="Noto Serif CJK SC"/>
          <w:lang w:val="en-US" w:eastAsia="zh-CN"/>
        </w:rPr>
        <w:t xml:space="preserve">只有当每项要求都对应一个证据问题并分配举证责任时，本检验才会成为有用的裁判规则。首次答复作出后，受影响者须通过以下方式作出初步证明：指出一个与所主张风险相联系的具体控制环节；说明第一阶段记录支持相关功能构成事件路径的一部分或支配某项安全保障；并指出所请求的信息与特定诉讼请求的构成要件、抗辩或救济具有非微不足道的关联。该证明可以指向雇主启用的排序功能、提供者保留的更新权限、应用设置的自伤门槛，或系统集成商设置的工作流程触发器。它所涉及的是分配与记录相关性，而不是义务违反或因果关系是否充分。寻求退出的企业随后应当指出第一阶段材料，以证明相关功能并未运行、未生成或传输任何输出、所称权限在相关时间并不可用，或者所请求的信息与某项构成要件、抗辩或救济不存在非微不足道的联系。裁判机构应根据该封闭记录决定是否准予退出；如存在真正的事实争议，则可允许开展范围有限的第二阶段调查。</w:t>
      </w:r>
    </w:p>
    <w:p>
      <w:pPr>
        <w:pStyle w:val="BodyText"/>
      </w:pPr>
      <w:r>
        <w:rPr>
          <w:rFonts w:hint="eastAsia" w:ascii="Noto Serif CJK SC" w:hAnsi="Noto Serif CJK SC" w:eastAsia="Noto Serif CJK SC" w:cs="Noto Serif CJK SC"/>
          <w:lang w:val="en-US" w:eastAsia="zh-CN"/>
        </w:rPr>
        <w:t xml:space="preserve">记录义务仅产生一项有限的举证后果。受规制企业未生成或保存第一阶段必需字段，导致其所处控制环节存在不明确的，裁判机构仅在信息获取与退出问题上作不利于记录义务人的解释。该后果只会开启范围有限的提供义务；它不会形成关于义务、违反、因果关系、歧视性运行或损害赔偿的任何推定。这一分配既防止记录违规本身成为安全退出的依据，也维护实体问题防火墙。</w:t>
      </w:r>
    </w:p>
    <w:p>
      <w:pPr>
        <w:pStyle w:val="TableCaption"/>
        <w:keepNext/>
      </w:pPr>
      <w:r>
        <w:rPr>
          <w:rFonts w:hint="eastAsia" w:ascii="Noto Serif CJK SC" w:hAnsi="Noto Serif CJK SC" w:eastAsia="Noto Serif CJK SC" w:cs="Noto Serif CJK SC"/>
          <w:lang w:val="en-US" w:eastAsia="zh-CN"/>
        </w:rPr>
        <w:t xml:space="preserve">表</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2：作为可裁判检验的实质性控制</w:t>
      </w:r>
    </w:p>
    <w:tbl>
      <w:tblPr>
        <w:tblStyle w:val="Table"/>
        <w:tblW w:type="dxa" w:w="9000"/>
        <w:tblLayout w:type="fixed"/>
        <w:tblLook w:firstRow="1" w:lastRow="0" w:firstColumn="0" w:lastColumn="0" w:noHBand="0" w:noVBand="0" w:val="0020"/>
        <w:tblCaption w:val="表 2：作为可裁判检验的实质性控制"/>
        <w:tblInd w:type="dxa" w:w="0"/>
        <w:jc w:val="center"/>
        <w:tblCellMar>
          <w:top w:type="dxa" w:w="45"/>
          <w:left w:type="dxa" w:w="70"/>
          <w:bottom w:type="dxa" w:w="45"/>
          <w:right w:type="dxa" w:w="70"/>
        </w:tblCellMar>
        <w:tblBorders>
          <w:top w:val="single" w:sz="8" w:space="0" w:color="000000"/>
          <w:bottom w:val="single" w:sz="8" w:space="0" w:color="000000"/>
          <w:insideH w:val="single" w:sz="2" w:space="0" w:color="B7B7B7"/>
          <w:insideV w:val="nil" w:sz="0" w:space="0" w:color="auto"/>
          <w:left w:val="nil" w:sz="0" w:space="0" w:color="auto"/>
          <w:right w:val="nil" w:sz="0" w:space="0" w:color="auto"/>
        </w:tblBorders>
      </w:tblPr>
      <w:tblGrid>
        <w:gridCol w:w="1620"/>
        <w:gridCol w:w="3150"/>
        <w:gridCol w:w="4230"/>
      </w:tblGrid>
      <w:tr>
        <w:trPr>
          <w:tblHeader w:val="on"/>
          <w:cantSplit/>
        </w:trPr>
        <w:tc>
          <w:tcPr>
            <w:tcW w:type="dxa" w:w="1620"/>
            <w:vAlign w:val="center"/>
            <w:tcBorders>
              <w:bottom w:val="single" w:sz="8" w:space="0" w:color="000000"/>
            </w:tcBorders>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要求</w:t>
            </w:r>
          </w:p>
        </w:tc>
        <w:tc>
          <w:tcPr>
            <w:tcW w:type="dxa" w:w="3150"/>
            <w:vAlign w:val="center"/>
            <w:tcBorders>
              <w:bottom w:val="single" w:sz="8" w:space="0" w:color="000000"/>
            </w:tcBorders>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支持该控制环节的证据</w:t>
            </w:r>
          </w:p>
        </w:tc>
        <w:tc>
          <w:tcPr>
            <w:tcW w:type="dxa" w:w="4230"/>
            <w:vAlign w:val="center"/>
            <w:tcBorders>
              <w:bottom w:val="single" w:sz="8" w:space="0" w:color="000000"/>
            </w:tcBorders>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支持退出该控制环节的证据</w:t>
            </w:r>
          </w:p>
        </w:tc>
      </w:tr>
      <w:tr>
        <w:trPr>
          <w:cantSplit/>
        </w:trPr>
        <w:tc>
          <w:tcPr>
            <w:tcW w:type="dxa" w:w="162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风险特定性</w:t>
            </w:r>
          </w:p>
        </w:tc>
        <w:tc>
          <w:tcPr>
            <w:tcW w:type="dxa" w:w="315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功能图谱；风险归属；功能要求；评估范围；事件类别；警示；逐级上报职责。</w:t>
            </w:r>
          </w:p>
        </w:tc>
        <w:tc>
          <w:tcPr>
            <w:tcW w:type="dxa" w:w="423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一般公司影响；无关研究；不含特定风险配置的基础设施服务；针对不同功能或危险的记录。</w:t>
            </w:r>
          </w:p>
        </w:tc>
      </w:tr>
      <w:tr>
        <w:trPr>
          <w:cantSplit/>
        </w:trPr>
        <w:tc>
          <w:tcPr>
            <w:tcW w:type="dxa" w:w="162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实际权限</w:t>
            </w:r>
          </w:p>
        </w:tc>
        <w:tc>
          <w:tcPr>
            <w:tcW w:type="dxa" w:w="315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合同权利；管理权限；发布或更新职责；审计访问；监测信息流；限制、回滚、暂停或终止机制；一贯的实际行使。</w:t>
            </w:r>
          </w:p>
        </w:tc>
        <w:tc>
          <w:tcPr>
            <w:tcW w:type="dxa" w:w="423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已失效或法律上不可用的权利；必须取得另一行为人未承诺同意的访问；被禁止且从未使用的技术能力；超出可见或可及范围的独立修改。</w:t>
            </w:r>
          </w:p>
        </w:tc>
      </w:tr>
      <w:tr>
        <w:trPr>
          <w:cantSplit/>
        </w:trPr>
        <w:tc>
          <w:tcPr>
            <w:tcW w:type="dxa" w:w="162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信息实质相关性</w:t>
            </w:r>
          </w:p>
        </w:tc>
        <w:tc>
          <w:tcPr>
            <w:tcW w:type="dxa" w:w="315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第一阶段证据表明相关功能构成事件路径的一部分或支配某项安全保障；所请求的信息与某项构成要件、抗辩或救济具有非微不足道的关联。</w:t>
            </w:r>
          </w:p>
        </w:tc>
        <w:tc>
          <w:tcPr>
            <w:tcW w:type="dxa" w:w="4230"/>
            <w:vAlign w:val="center"/>
          </w:tcPr>
          <w:p>
            <w:pPr>
              <w:pStyle w:val="Compact"/>
              <w:jc w:val="center"/>
              <w:spacing w:before="0" w:after="0" w:line="210" w:lineRule="auto"/>
            </w:pPr>
            <w:r>
              <w:rPr>
                <w:rFonts w:hint="eastAsia" w:ascii="Noto Serif CJK SC" w:hAnsi="Noto Serif CJK SC" w:eastAsia="Noto Serif CJK SC" w:cs="Noto Serif CJK SC"/>
                <w:lang w:val="en-US" w:eastAsia="zh-CN"/>
                <w:sz w:val="18"/>
                <w:szCs w:val="18"/>
              </w:rPr>
              <w:t xml:space="preserve">该事件中功能未启用；输出从未生成或传输；事件发生后才取得该环节；所请求信息与所主张的路径或特定诉讼请求问题无关。</w:t>
            </w:r>
          </w:p>
        </w:tc>
      </w:tr>
    </w:tbl>
    <w:p>
      <w:pPr>
        <w:pStyle w:val="BodyText"/>
      </w:pPr>
      <w:r>
        <w:rPr>
          <w:rFonts w:hint="eastAsia" w:ascii="Noto Serif CJK SC" w:hAnsi="Noto Serif CJK SC" w:eastAsia="Noto Serif CJK SC" w:cs="Noto Serif CJK SC"/>
          <w:lang w:val="en-US" w:eastAsia="zh-CN"/>
        </w:rPr>
        <w:t xml:space="preserve">保留的合同权利尤其需要审慎处理。要求按需取得验证材料、要求安全更新、审计使用情况或暂停某项功能的权利，只要在法律上可用且在运营上可实际行使，就属于实际权限。权利持有人无须在请求人所涉事件中实际行使该权利；否则，企业只要让保留的安全保障闲置，就可以消除自身的信息义务。如果解除整个商业合同的一般权利无法提供及时且针对特定风险的干预，其关联可能过于间接。合同本身构成证据，而管理权限、实际惯例、响应时间、技术依赖与过去的干预记录，则说明该权利是否确能发挥作用。</w:t>
      </w:r>
    </w:p>
    <w:p>
      <w:pPr>
        <w:pStyle w:val="BodyText"/>
      </w:pPr>
      <w:r>
        <w:rPr>
          <w:rFonts w:hint="eastAsia" w:ascii="Noto Serif CJK SC" w:hAnsi="Noto Serif CJK SC" w:eastAsia="Noto Serif CJK SC" w:cs="Noto Serif CJK SC"/>
          <w:lang w:val="en-US" w:eastAsia="zh-CN"/>
        </w:rPr>
        <w:t xml:space="preserve">合同保持沉默或记载失实时，实际权力仍可能具有决定意义。供应商如经常推送强制更新、跨租户禁用某项功能、监测风险信号，或独占唯一的版本图谱，即使合同把客户称为唯一责任主体，也可能拥有实际权限。客户能够启用、忽略分数或将分数与其他信息结合使用的，即使数据由供应商托管，也可能控制决策环节。系统集成商如果仅在安装期间享有一次性访问权，交接后通常不再处于控制范围，除非其保留监测、凭证或变更权限。该审查所重构的是实际运行的部署，而不是为其他目的选定的合同标签。</w:t>
      </w:r>
    </w:p>
    <w:p>
      <w:pPr>
        <w:pStyle w:val="BodyText"/>
      </w:pPr>
      <w:r>
        <w:rPr>
          <w:rFonts w:hint="eastAsia" w:ascii="Noto Serif CJK SC" w:hAnsi="Noto Serif CJK SC" w:eastAsia="Noto Serif CJK SC" w:cs="Noto Serif CJK SC"/>
          <w:lang w:val="en-US" w:eastAsia="zh-CN"/>
        </w:rPr>
        <w:t xml:space="preserve">信息实质相关性要求遵守事件路径，但并不因此创设一场因果关系审理。第一阶段即可回答许多问题：功能被禁用；未生成分数；输出从未到达决策者；提供者在发布后不再存在任何联系；或者所谓控制者是在事件发生后才加入技术栈。第一阶段记录支持某项功能构成该路径的一部分或支配某项安全保障，且请求的信息与特定诉讼请求的构成要件、抗辩或救济具有非微不足道的关联时，该控制环节即应保留。事件路径与权限存在冲突的，第二阶段可以审查配置历史、测试、监测或仅限于该环节的代表性方案。无须证明本应采取其他行为、该行为能够防止损害或满足因果关系。</w:t>
      </w:r>
    </w:p>
    <w:p>
      <w:pPr>
        <w:pStyle w:val="BodyText"/>
      </w:pPr>
      <w:r>
        <w:rPr>
          <w:rFonts w:hint="eastAsia" w:ascii="Noto Serif CJK SC" w:hAnsi="Noto Serif CJK SC" w:eastAsia="Noto Serif CJK SC" w:cs="Noto Serif CJK SC"/>
          <w:lang w:val="en-US" w:eastAsia="zh-CN"/>
        </w:rPr>
        <w:t xml:space="preserve">同一检验会在不同架构中产生不同分配。在一体化陪伴型服务中，对外可见的运营者可能控制准入、关系设计、记忆、参与度目标、警示、监测和账户限制；仅提供一般算力的基础设施提供者则应退出。在就业技术栈中，雇主可能控制职位标准、功能启用、决定权重、审查和最终处理，而供应商则控制模型设计、默认设置、验证、更新和跨客户监测。在开放权重部署中，原始发布者可能在发布后不再拥有持续控制，而修改者和运营机构则取得针对特定风险的工具、数据、凭证和停止权限。本规则追随每个控制环节，而不要求所有参与者都继续留在程序中。</w:t>
      </w:r>
    </w:p>
    <w:p>
      <w:pPr>
        <w:pStyle w:val="BodyText"/>
      </w:pPr>
      <w:r>
        <w:rPr>
          <w:rFonts w:hint="eastAsia" w:ascii="Noto Serif CJK SC" w:hAnsi="Noto Serif CJK SC" w:eastAsia="Noto Serif CJK SC" w:cs="Noto Serif CJK SC"/>
          <w:lang w:val="en-US" w:eastAsia="zh-CN"/>
        </w:rPr>
        <w:t xml:space="preserve">关于实质性控制的裁定，仅终止特殊的部署责任入口角色。某一实体从未因基础诉讼请求被列为当事人的，在履行任何首次答复义务后恢复普通非当事人地位。已经面临独立且充分的请求权基础的当事人，即使不具备通知中所称的控制环节，也仍应就该诉讼请求继续应诉。这一区分既实现安全退出所追求的程序经济，也避免利用本非为实体裁判而设的信息程序决定实体问题。</w:t>
      </w:r>
    </w:p>
    <w:bookmarkEnd w:id="138"/>
    <w:bookmarkEnd w:id="139"/>
    <w:bookmarkStart w:id="145" w:name="X1207eb8943d5e4b552dc061fe7ef63b2b80a36e"/>
    <w:p>
      <w:pPr>
        <w:pStyle w:val="Heading4"/>
      </w:pPr>
      <w:r>
        <w:rPr>
          <w:rFonts w:hint="eastAsia" w:ascii="Noto Sans CJK SC" w:hAnsi="Noto Sans CJK SC" w:eastAsia="Noto Sans CJK SC" w:cs="Noto Sans CJK SC"/>
          <w:lang w:val="en-US" w:eastAsia="zh-CN"/>
        </w:rPr>
        <w:t xml:space="preserve">（四）记录生成、保全与提供系三项不同义务</w:t>
      </w:r>
    </w:p>
    <w:p>
      <w:pPr>
        <w:pStyle w:val="FirstParagraph"/>
      </w:pPr>
      <w:r>
        <w:rPr>
          <w:rFonts w:hint="eastAsia" w:ascii="Noto Serif CJK SC" w:hAnsi="Noto Serif CJK SC" w:eastAsia="Noto Serif CJK SC" w:cs="Noto Serif CJK SC"/>
          <w:lang w:val="en-US" w:eastAsia="zh-CN"/>
        </w:rPr>
        <w:t xml:space="preserve">部署责任入口依赖三项起始时间各不相同的法律功能。</w:t>
      </w:r>
    </w:p>
    <w:bookmarkStart w:id="141" w:name="record-creation-before-operation"/>
    <w:p>
      <w:pPr>
        <w:pStyle w:val="Heading5"/>
      </w:pPr>
      <w:r>
        <w:rPr>
          <w:rFonts w:ascii="Noto Sans CJK SC" w:hAnsi="Noto Sans CJK SC" w:eastAsia="Noto Sans CJK SC" w:cs="Noto Sans CJK SC"/>
          <w:lang w:val="en-US" w:eastAsia="zh-CN"/>
        </w:rPr>
        <w:t xml:space="preserve">1　</w:t>
      </w:r>
      <w:r>
        <w:rPr>
          <w:rFonts w:hint="eastAsia" w:ascii="Noto Sans CJK SC" w:hAnsi="Noto Sans CJK SC" w:eastAsia="Noto Sans CJK SC" w:cs="Noto Sans CJK SC"/>
          <w:lang w:val="en-US" w:eastAsia="zh-CN"/>
        </w:rPr>
        <w:t xml:space="preserve">运行前生成记录</w:t>
      </w:r>
    </w:p>
    <w:p>
      <w:pPr>
        <w:pStyle w:val="FirstParagraph"/>
      </w:pPr>
      <w:r>
        <w:rPr>
          <w:rFonts w:hint="eastAsia" w:ascii="Noto Serif CJK SC" w:hAnsi="Noto Serif CJK SC" w:eastAsia="Noto Serif CJK SC" w:cs="Noto Serif CJK SC"/>
          <w:i/>
          <w:iCs/>
          <w:lang w:val="en-US" w:eastAsia="zh-CN"/>
        </w:rPr>
        <w:t xml:space="preserve">部署记录义务</w:t>
      </w:r>
      <w:r>
        <w:rPr>
          <w:rFonts w:hint="eastAsia" w:ascii="Noto Serif CJK SC" w:hAnsi="Noto Serif CJK SC" w:eastAsia="Noto Serif CJK SC" w:cs="Noto Serif CJK SC"/>
          <w:lang w:val="en-US" w:eastAsia="zh-CN"/>
        </w:rPr>
        <w:t xml:space="preserve">在受规制部署影响公众以前即告产生。对外可见的运营者负有不得转移的本地记录义务，应当识别系统、版本、目的、适用人群、重要组件、供应商、数据来源、工具、凭证、预期限制、风险负责人、发布批准、事件标识符及干预权限。在运行期间，还应记录重大变更、评估、投诉、事件、逐级上报、人工干预、限制、回滚与终止决定。受本法直接规制的控制持有人，应保存与其控制环节相对应的记录子集，并提供最新来源信息及答复联系人。供应商不在本法直接适用范围内的，运营者仍负有本地最低限度记录义务，并须通过部署前合同履行该义务。</w:t>
      </w:r>
    </w:p>
    <w:p>
      <w:pPr>
        <w:pStyle w:val="BodyText"/>
      </w:pPr>
      <w:r>
        <w:rPr>
          <w:rFonts w:hint="eastAsia" w:ascii="Noto Serif CJK SC" w:hAnsi="Noto Serif CJK SC" w:eastAsia="Noto Serif CJK SC" w:cs="Noto Serif CJK SC"/>
          <w:lang w:val="en-US" w:eastAsia="zh-CN"/>
        </w:rPr>
        <w:t xml:space="preserve">分散式部署不仅需要一份供应商清单，还需要调取架构。使用前，对外可见的运营者必须通过合同取得权利，以便按需调取分配给上游持有人的身份、版本、配置、事件与控制分配字段。协议应当明确答复代理人、稳定的部署标识符和事件标识符、保全与答复义务、提供由客户控制之数据的合法路径、收购后的承继义务，以及分包商的处理方式。运营者无须存储供应商的源代码或其他客户的无关数据；它只须在本地保存一份封闭记录，足以识别实际运行内容，并保有一条法律上可用的路径以取得所界定的供应商字段。</w:t>
      </w:r>
    </w:p>
    <w:p>
      <w:pPr>
        <w:pStyle w:val="BodyText"/>
      </w:pPr>
      <w:r>
        <w:rPr>
          <w:rFonts w:hint="eastAsia" w:ascii="Noto Serif CJK SC" w:hAnsi="Noto Serif CJK SC" w:eastAsia="Noto Serif CJK SC" w:cs="Noto Serif CJK SC"/>
          <w:lang w:val="en-US" w:eastAsia="zh-CN"/>
        </w:rPr>
        <w:t xml:space="preserve">这项要求把可实际使用的调取权纳入部署设计。如果《联邦民事诉讼规则》第34条所称的控制取决于按需取得文件的法律权利，受规制运营者就可以在部署前创设该权利，而不必在损害发生后才为之诉讼。如果隐私法或客户协议将法律控制权交给运营机构，合同可以授权协调答复，避免托管方和客户相互将请求人推向对方。仅向运营者发出通知，并不会创设对外州或外国供应商的对人管辖权。</w:t>
      </w:r>
      <w:r>
        <w:rPr>
          <w:rFonts w:ascii="Noto Serif CJK SC" w:hAnsi="Noto Serif CJK SC" w:eastAsia="Noto Serif CJK SC" w:cs="Noto Serif CJK SC"/>
          <w:rStyle w:val="FootnoteReference"/>
          <w:lang w:val="en-US" w:eastAsia="zh-CN"/>
        </w:rPr>
        <w:footnoteReference w:id="140"/>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本地运营者应在当地保存最低限度记录，并把指定可联系代理人和承担调取义务作为受规制使用的条件。</w:t>
      </w:r>
    </w:p>
    <w:p>
      <w:pPr>
        <w:pStyle w:val="BodyText"/>
      </w:pPr>
      <w:r>
        <w:rPr>
          <w:rFonts w:hint="eastAsia" w:ascii="Noto Serif CJK SC" w:hAnsi="Noto Serif CJK SC" w:eastAsia="Noto Serif CJK SC" w:cs="Noto Serif CJK SC"/>
          <w:lang w:val="en-US" w:eastAsia="zh-CN"/>
        </w:rPr>
        <w:t xml:space="preserve">指定文件负责规定细节。法律无须要求无限期保存每条提示词或每位用户的数据。它应界定事件类别，在适当场合允许抽样，贯彻隐私最小化，并根据受保护利益和通常诉讼时效规定保存期限。影响就业或福利的高影响决定，可以要求保存每位受影响者的输入、输出、版本、适用政策、通知和审查事件，同时允许汇总或删除无关互动内容。涉及未成年人的关系型部署，可以要求保存危机检测和干预记录，同时尽量不保存与所称事件无关的私密内容。</w:t>
      </w:r>
    </w:p>
    <w:bookmarkEnd w:id="141"/>
    <w:bookmarkStart w:id="142" w:name="preservation-after-a-defined-trigger"/>
    <w:p>
      <w:pPr>
        <w:pStyle w:val="Heading5"/>
      </w:pPr>
      <w:r>
        <w:rPr>
          <w:rFonts w:ascii="Noto Sans CJK SC" w:hAnsi="Noto Sans CJK SC" w:eastAsia="Noto Sans CJK SC" w:cs="Noto Sans CJK SC"/>
          <w:lang w:val="en-US" w:eastAsia="zh-CN"/>
        </w:rPr>
        <w:t xml:space="preserve">2　</w:t>
      </w:r>
      <w:r>
        <w:rPr>
          <w:rFonts w:hint="eastAsia" w:ascii="Noto Sans CJK SC" w:hAnsi="Noto Sans CJK SC" w:eastAsia="Noto Sans CJK SC" w:cs="Noto Sans CJK SC"/>
          <w:lang w:val="en-US" w:eastAsia="zh-CN"/>
        </w:rPr>
        <w:t xml:space="preserve">特定触发事由发生后的保全</w:t>
      </w:r>
    </w:p>
    <w:p>
      <w:pPr>
        <w:pStyle w:val="FirstParagraph"/>
      </w:pPr>
      <w:r>
        <w:rPr>
          <w:rFonts w:hint="eastAsia" w:ascii="Noto Serif CJK SC" w:hAnsi="Noto Serif CJK SC" w:eastAsia="Noto Serif CJK SC" w:cs="Noto Serif CJK SC"/>
          <w:lang w:val="en-US" w:eastAsia="zh-CN"/>
        </w:rPr>
        <w:t xml:space="preserve">记录留存与诉讼保全相互关联，却并不相同。法律应当在任何争议发生前规定基础保存期限。经核实的部署责任入口通知、监管机关要求、已经提出的诉讼请求，或者其他使争议具有合理可预见性的事件一旦发生，即应暂停对特定风险记录的通常删除。运营者必须向相关保管人发出保全指示，并通知已识别的控制持有人。通知不应冻结每个模型和每位客户的全部记录；其范围应随事件、版本、期间、用户或决定、控制环节及所称风险而定。</w:t>
      </w:r>
    </w:p>
    <w:p>
      <w:pPr>
        <w:pStyle w:val="BodyText"/>
      </w:pPr>
      <w:r>
        <w:rPr>
          <w:rFonts w:hint="eastAsia" w:ascii="Noto Serif CJK SC" w:hAnsi="Noto Serif CJK SC" w:eastAsia="Noto Serif CJK SC" w:cs="Noto Serif CJK SC"/>
          <w:lang w:val="en-US" w:eastAsia="zh-CN"/>
        </w:rPr>
        <w:t xml:space="preserve">这一法定触发事由为衔接既有保全法提供了稳定桥梁。它也保护被告：载明日期的通知和有记录可查的保全措施，会明确应当保全的内容及起始时间。记录可以证明，缺失项目原本就在范围之外、在任何义务产生以前已经删除，或者可以从其他来源取得。</w:t>
      </w:r>
    </w:p>
    <w:bookmarkEnd w:id="142"/>
    <w:bookmarkStart w:id="144" w:name="staged-production-after-the-threshold"/>
    <w:p>
      <w:pPr>
        <w:pStyle w:val="Heading5"/>
      </w:pPr>
      <w:r>
        <w:rPr>
          <w:rFonts w:ascii="Noto Sans CJK SC" w:hAnsi="Noto Sans CJK SC" w:eastAsia="Noto Sans CJK SC" w:cs="Noto Sans CJK SC"/>
          <w:lang w:val="en-US" w:eastAsia="zh-CN"/>
        </w:rPr>
        <w:t xml:space="preserve">3　</w:t>
      </w:r>
      <w:r>
        <w:rPr>
          <w:rFonts w:hint="eastAsia" w:ascii="Noto Sans CJK SC" w:hAnsi="Noto Sans CJK SC" w:eastAsia="Noto Sans CJK SC" w:cs="Noto Sans CJK SC"/>
          <w:lang w:val="en-US" w:eastAsia="zh-CN"/>
        </w:rPr>
        <w:t xml:space="preserve">达到门槛后的分阶段提供</w:t>
      </w:r>
    </w:p>
    <w:p>
      <w:pPr>
        <w:pStyle w:val="FirstParagraph"/>
      </w:pPr>
      <w:r>
        <w:rPr>
          <w:rFonts w:hint="eastAsia" w:ascii="Noto Serif CJK SC" w:hAnsi="Noto Serif CJK SC" w:eastAsia="Noto Serif CJK SC" w:cs="Noto Serif CJK SC"/>
          <w:lang w:val="en-US" w:eastAsia="zh-CN"/>
        </w:rPr>
        <w:t xml:space="preserve">记录提供应当分阶段进行。第一阶段即前述首次答复：身份及启用版本；特定事件的运行、输出、通知与干预字段；供应商、保管人及法律控制者；所列运营权限与停止权限；以及保全、删除和调取状态。其目的在于识别部署并检验各控制环节。</w:t>
      </w:r>
    </w:p>
    <w:p>
      <w:pPr>
        <w:pStyle w:val="BodyText"/>
      </w:pPr>
      <w:r>
        <w:rPr>
          <w:rFonts w:hint="eastAsia" w:ascii="Noto Serif CJK SC" w:hAnsi="Noto Serif CJK SC" w:eastAsia="Noto Serif CJK SC" w:cs="Noto Serif CJK SC"/>
          <w:lang w:val="en-US" w:eastAsia="zh-CN"/>
        </w:rPr>
        <w:t xml:space="preserve">只有受影响者利用第一阶段材料，就特定诉讼请求的控制环节、信息实质相关性及合比例需要作出初步证明后，第二阶段方可启动。其范围可以包括相关评估与验证；投诉和事件趋势；配置历史；发布与变更批准；被拒绝或附条件的风险缓解措施；逐级上报与答复；以及检验所提出替代方案或抗辩所需的记录。请求范围应由时间、版本、受影响群体、功能与风险类别限定。</w:t>
      </w:r>
    </w:p>
    <w:p>
      <w:pPr>
        <w:pStyle w:val="BodyText"/>
      </w:pPr>
      <w:r>
        <w:rPr>
          <w:rFonts w:hint="eastAsia" w:ascii="Noto Serif CJK SC" w:hAnsi="Noto Serif CJK SC" w:eastAsia="Noto Serif CJK SC" w:cs="Noto Serif CJK SC"/>
          <w:lang w:val="en-US" w:eastAsia="zh-CN"/>
        </w:rPr>
        <w:t xml:space="preserve">源代码、模型权重、不受限制的训练数据、安全敏感型控制，以及其他用户的无关内容，应置于最后一个层级。只有请求方证明，无法通过版本化文档、验证结果、代表性测试、反事实询问、书面询问、专家方案或不公开审查等侵扰性更小的证据，合理检验某项实质争议问题时，法院方可命令提供这些材料。</w:t>
      </w:r>
      <w:r>
        <w:rPr>
          <w:rFonts w:ascii="Noto Serif CJK SC" w:hAnsi="Noto Serif CJK SC" w:eastAsia="Noto Serif CJK SC" w:cs="Noto Serif CJK SC"/>
          <w:rStyle w:val="FootnoteReference"/>
          <w:lang w:val="en-US" w:eastAsia="zh-CN"/>
        </w:rPr>
        <w:footnoteReference w:id="143"/>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这一区分既保护正当保密利益，又避免商业秘密成为阻碍法律程序审查其重大用途的屏障。</w:t>
      </w:r>
    </w:p>
    <w:bookmarkEnd w:id="144"/>
    <w:bookmarkEnd w:id="145"/>
    <w:bookmarkStart w:id="147" w:name="protection-remedies-and-safe-exit"/>
    <w:p>
      <w:pPr>
        <w:pStyle w:val="Heading4"/>
      </w:pPr>
      <w:r>
        <w:rPr>
          <w:rFonts w:hint="eastAsia" w:ascii="Noto Sans CJK SC" w:hAnsi="Noto Sans CJK SC" w:eastAsia="Noto Sans CJK SC" w:cs="Noto Sans CJK SC"/>
          <w:lang w:val="en-US" w:eastAsia="zh-CN"/>
        </w:rPr>
        <w:t xml:space="preserve">（五）保护、救济与安全退出</w:t>
      </w:r>
    </w:p>
    <w:p>
      <w:pPr>
        <w:pStyle w:val="FirstParagraph"/>
      </w:pPr>
      <w:r>
        <w:rPr>
          <w:rFonts w:hint="eastAsia" w:ascii="Noto Serif CJK SC" w:hAnsi="Noto Serif CJK SC" w:eastAsia="Noto Serif CJK SC" w:cs="Noto Serif CJK SC"/>
          <w:lang w:val="en-US" w:eastAsia="zh-CN"/>
        </w:rPr>
        <w:t xml:space="preserve">保密本就是规则设计的一部分。提供范围始终限于非特权材料。对于商业秘密、研究、安全、医疗信息及个人数据，法院可以采用涂黑、假名化、数据最小化、仅限律师查阅、安全专家环境、不公开审查及保护令。</w:t>
      </w:r>
      <w:r>
        <w:rPr>
          <w:rFonts w:ascii="Noto Serif CJK SC" w:hAnsi="Noto Serif CJK SC" w:eastAsia="Noto Serif CJK SC" w:cs="Noto Serif CJK SC"/>
          <w:rStyle w:val="FootnoteReference"/>
          <w:lang w:val="en-US" w:eastAsia="zh-CN"/>
        </w:rPr>
        <w:footnoteReference w:id="146"/>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即使主张材料受保护，运营者仍须说明该记录存在，并列明其保管人、日期、版本及主张拒绝提供的依据。特权清单能够区分依法受到保护的材料与不可审查的笼统专有声明。</w:t>
      </w:r>
    </w:p>
    <w:p>
      <w:pPr>
        <w:pStyle w:val="BodyText"/>
      </w:pPr>
      <w:r>
        <w:rPr>
          <w:rFonts w:hint="eastAsia" w:ascii="Noto Serif CJK SC" w:hAnsi="Noto Serif CJK SC" w:eastAsia="Noto Serif CJK SC" w:cs="Noto Serif CJK SC"/>
          <w:lang w:val="en-US" w:eastAsia="zh-CN"/>
        </w:rPr>
        <w:t xml:space="preserve">法律应当规定分级后果。</w:t>
      </w:r>
    </w:p>
    <w:p>
      <w:pPr>
        <w:pStyle w:val="DefinitionTerm"/>
      </w:pPr>
      <w:r>
        <w:rPr>
          <w:rFonts w:ascii="Noto Serif CJK SC" w:hAnsi="Noto Serif CJK SC" w:eastAsia="Noto Serif CJK SC" w:cs="Noto Serif CJK SC"/>
          <w:lang w:val="en-US" w:eastAsia="zh-CN"/>
        </w:rPr>
        <w:t xml:space="preserve">1.</w:t>
      </w:r>
    </w:p>
    <w:p>
      <w:pPr>
        <w:pStyle w:val="Definition"/>
      </w:pPr>
      <w:r>
        <w:rPr>
          <w:rFonts w:hint="eastAsia" w:ascii="Noto Serif CJK SC" w:hAnsi="Noto Serif CJK SC" w:eastAsia="Noto Serif CJK SC" w:cs="Noto Serif CJK SC"/>
          <w:i/>
          <w:iCs/>
          <w:lang w:val="en-US" w:eastAsia="zh-CN"/>
        </w:rPr>
        <w:t xml:space="preserve">迟延或不完整的身份说明</w:t>
      </w:r>
      <w:r>
        <w:rPr>
          <w:rFonts w:hint="eastAsia" w:ascii="Noto Serif CJK SC" w:hAnsi="Noto Serif CJK SC" w:eastAsia="Noto Serif CJK SC" w:cs="Noto Serif CJK SC"/>
          <w:lang w:val="en-US" w:eastAsia="zh-CN"/>
        </w:rPr>
        <w:t xml:space="preserve">：命令履行法定首次答复，并赔偿因不履行产生的合理费用。对于由同一立法创设或规制的诉讼请求，诉讼时效自合规请求送达之日起中止，直至履行完毕或作出最终拒绝后的固定期间届满。其他州法与联邦法诉讼请求仍适用其各自的时效及中止规则。</w:t>
      </w:r>
    </w:p>
    <w:p>
      <w:pPr>
        <w:pStyle w:val="DefinitionTerm"/>
      </w:pPr>
      <w:r>
        <w:rPr>
          <w:rFonts w:ascii="Noto Serif CJK SC" w:hAnsi="Noto Serif CJK SC" w:eastAsia="Noto Serif CJK SC" w:cs="Noto Serif CJK SC"/>
          <w:lang w:val="en-US" w:eastAsia="zh-CN"/>
        </w:rPr>
        <w:t xml:space="preserve">2.</w:t>
      </w:r>
    </w:p>
    <w:p>
      <w:pPr>
        <w:pStyle w:val="Definition"/>
      </w:pPr>
      <w:r>
        <w:rPr>
          <w:rFonts w:hint="eastAsia" w:ascii="Noto Serif CJK SC" w:hAnsi="Noto Serif CJK SC" w:eastAsia="Noto Serif CJK SC" w:cs="Noto Serif CJK SC"/>
          <w:i/>
          <w:iCs/>
          <w:lang w:val="en-US" w:eastAsia="zh-CN"/>
        </w:rPr>
        <w:t xml:space="preserve">未生成或保存最低限度记录</w:t>
      </w:r>
      <w:r>
        <w:rPr>
          <w:rFonts w:hint="eastAsia" w:ascii="Noto Serif CJK SC" w:hAnsi="Noto Serif CJK SC" w:eastAsia="Noto Serif CJK SC" w:cs="Noto Serif CJK SC"/>
          <w:lang w:val="en-US" w:eastAsia="zh-CN"/>
        </w:rPr>
        <w:t xml:space="preserve">：适用行业性立法所规定的行政处罚、补正记录命令、合规监测或法定信息获取救济。该后果针对独立的部署义务；它不会转化为对基础损害的法定推定。</w:t>
      </w:r>
    </w:p>
    <w:p>
      <w:pPr>
        <w:pStyle w:val="DefinitionTerm"/>
      </w:pPr>
      <w:r>
        <w:rPr>
          <w:rFonts w:ascii="Noto Serif CJK SC" w:hAnsi="Noto Serif CJK SC" w:eastAsia="Noto Serif CJK SC" w:cs="Noto Serif CJK SC"/>
          <w:lang w:val="en-US" w:eastAsia="zh-CN"/>
        </w:rPr>
        <w:t xml:space="preserve">3.</w:t>
      </w:r>
    </w:p>
    <w:p>
      <w:pPr>
        <w:pStyle w:val="Definition"/>
      </w:pPr>
      <w:r>
        <w:rPr>
          <w:rFonts w:hint="eastAsia" w:ascii="Noto Serif CJK SC" w:hAnsi="Noto Serif CJK SC" w:eastAsia="Noto Serif CJK SC" w:cs="Noto Serif CJK SC"/>
          <w:i/>
          <w:iCs/>
          <w:lang w:val="en-US" w:eastAsia="zh-CN"/>
        </w:rPr>
        <w:t xml:space="preserve">保全触发事由发生后的记录灭失</w:t>
      </w:r>
      <w:r>
        <w:rPr>
          <w:rFonts w:hint="eastAsia" w:ascii="Noto Serif CJK SC" w:hAnsi="Noto Serif CJK SC" w:eastAsia="Noto Serif CJK SC" w:cs="Noto Serif CJK SC"/>
          <w:lang w:val="en-US" w:eastAsia="zh-CN"/>
        </w:rPr>
        <w:t xml:space="preserve">：命令说明灭失情况及可利用的替代来源，随后依裁判地的保全法采取措施。对于本应为预期或进行中的联邦诉讼而保全、且无法恢复或替代的电子存储信息，《联邦民事诉讼规则》第37(e)条规定联邦标准。州法不应就同一灭失另行规定相冲突的诉讼制裁。</w:t>
      </w:r>
    </w:p>
    <w:p>
      <w:pPr>
        <w:pStyle w:val="DefinitionTerm"/>
      </w:pPr>
      <w:r>
        <w:rPr>
          <w:rFonts w:ascii="Noto Serif CJK SC" w:hAnsi="Noto Serif CJK SC" w:eastAsia="Noto Serif CJK SC" w:cs="Noto Serif CJK SC"/>
          <w:lang w:val="en-US" w:eastAsia="zh-CN"/>
        </w:rPr>
        <w:t xml:space="preserve">4.</w:t>
      </w:r>
    </w:p>
    <w:p>
      <w:pPr>
        <w:pStyle w:val="Definition"/>
      </w:pPr>
      <w:r>
        <w:rPr>
          <w:rFonts w:hint="eastAsia" w:ascii="Noto Serif CJK SC" w:hAnsi="Noto Serif CJK SC" w:eastAsia="Noto Serif CJK SC" w:cs="Noto Serif CJK SC"/>
          <w:i/>
          <w:iCs/>
          <w:lang w:val="en-US" w:eastAsia="zh-CN"/>
        </w:rPr>
        <w:t xml:space="preserve">故意隐瞒或伪造</w:t>
      </w:r>
      <w:r>
        <w:rPr>
          <w:rFonts w:hint="eastAsia" w:ascii="Noto Serif CJK SC" w:hAnsi="Noto Serif CJK SC" w:eastAsia="Noto Serif CJK SC" w:cs="Noto Serif CJK SC"/>
          <w:lang w:val="en-US" w:eastAsia="zh-CN"/>
        </w:rPr>
        <w:t xml:space="preserve">：适用明定的民事罚款、执行费用及针对独立信息获取违法的救济。诉讼中的不当行为仍受裁判机构的相关职权约束。</w:t>
      </w:r>
    </w:p>
    <w:p>
      <w:pPr>
        <w:pStyle w:val="DefinitionTerm"/>
      </w:pPr>
      <w:r>
        <w:rPr>
          <w:rFonts w:ascii="Noto Serif CJK SC" w:hAnsi="Noto Serif CJK SC" w:eastAsia="Noto Serif CJK SC" w:cs="Noto Serif CJK SC"/>
          <w:lang w:val="en-US" w:eastAsia="zh-CN"/>
        </w:rPr>
        <w:t xml:space="preserve">5.</w:t>
      </w:r>
    </w:p>
    <w:p>
      <w:pPr>
        <w:pStyle w:val="Definition"/>
      </w:pPr>
      <w:r>
        <w:rPr>
          <w:rFonts w:hint="eastAsia" w:ascii="Noto Serif CJK SC" w:hAnsi="Noto Serif CJK SC" w:eastAsia="Noto Serif CJK SC" w:cs="Noto Serif CJK SC"/>
          <w:i/>
          <w:iCs/>
          <w:lang w:val="en-US" w:eastAsia="zh-CN"/>
        </w:rPr>
        <w:t xml:space="preserve">实体问题防火墙</w:t>
      </w:r>
      <w:r>
        <w:rPr>
          <w:rFonts w:hint="eastAsia" w:ascii="Noto Serif CJK SC" w:hAnsi="Noto Serif CJK SC" w:eastAsia="Noto Serif CJK SC" w:cs="Noto Serif CJK SC"/>
          <w:lang w:val="en-US" w:eastAsia="zh-CN"/>
        </w:rPr>
        <w:t xml:space="preserve">：遵守、不遵守以及参与部署责任入口程序，均不对第8条所列实体问题产生推定。记录缺漏对独立主张的诉讼请求是否另具相关性，由准据法决定。</w:t>
      </w:r>
    </w:p>
    <w:p>
      <w:pPr>
        <w:pStyle w:val="FirstParagraph"/>
      </w:pPr>
      <w:r>
        <w:rPr>
          <w:rFonts w:hint="eastAsia" w:ascii="Noto Serif CJK SC" w:hAnsi="Noto Serif CJK SC" w:eastAsia="Noto Serif CJK SC" w:cs="Noto Serif CJK SC"/>
          <w:lang w:val="en-US" w:eastAsia="zh-CN"/>
        </w:rPr>
        <w:t xml:space="preserve">安全退出是与上述义务相对应的限制。第一阶段结束后，企业可以通过证明其在相关期间对所称风险不具有实质性控制，请求终止其部署责任入口角色。请求人可以利用首次答复记录反驳该证明。未另因诉讼请求被列为当事人的实体恢复普通非当事人地位。当事人只有在存在独立且充分的诉讼请求、有效传票或监管权限依据时，才须继续参与。因此，一旦控制记录表明应当关注另一环节，或不存在任何人工智能特有的相关环节，入口义务即告终止。</w:t>
      </w:r>
    </w:p>
    <w:bookmarkEnd w:id="147"/>
    <w:bookmarkStart w:id="148" w:name="model-statutory-text"/>
    <w:p>
      <w:pPr>
        <w:pStyle w:val="Heading4"/>
      </w:pPr>
      <w:r>
        <w:rPr>
          <w:rFonts w:hint="eastAsia" w:ascii="Noto Sans CJK SC" w:hAnsi="Noto Sans CJK SC" w:eastAsia="Noto Sans CJK SC" w:cs="Noto Sans CJK SC"/>
          <w:lang w:val="en-US" w:eastAsia="zh-CN"/>
        </w:rPr>
        <w:t xml:space="preserve">（六）示范法条文本</w:t>
      </w:r>
    </w:p>
    <w:p>
      <w:pPr>
        <w:pStyle w:val="FirstParagraph"/>
      </w:pPr>
      <w:r>
        <w:rPr>
          <w:rFonts w:hint="eastAsia" w:ascii="Noto Serif CJK SC" w:hAnsi="Noto Serif CJK SC" w:eastAsia="Noto Serif CJK SC" w:cs="Noto Serif CJK SC"/>
          <w:lang w:val="en-US" w:eastAsia="zh-CN"/>
        </w:rPr>
        <w:t xml:space="preserve">以下文本将本规则整合为一份默认示范法。具体行业性立法应当明确受规制领域、保存期间、主管机关与一般民事罚款上限，同时保留分阶段结构和实体问题防火墙。</w:t>
      </w:r>
    </w:p>
    <w:p>
      <w:pPr>
        <w:pStyle w:val="BlockText"/>
      </w:pPr>
      <w:r>
        <w:rPr>
          <w:rFonts w:hint="eastAsia" w:ascii="Noto Serif CJK SC" w:hAnsi="Noto Serif CJK SC" w:eastAsia="Noto Serif CJK SC" w:cs="Noto Serif CJK SC"/>
          <w:b/>
          <w:bCs/>
          <w:lang w:val="en-US" w:eastAsia="zh-CN"/>
        </w:rPr>
        <w:t xml:space="preserve">第1条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指定部署与受规制企业。</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本法仅适用于制定机关指定的人工智能部署类别；该指定应列明受规制功能、受保护利益、对外可见的运营者、受影响者、最低限度记录、保存期限、重大变更门槛、主管机关、执行路径及民事罚款上限。</w:t>
      </w:r>
      <w:r>
        <w:rPr>
          <w:rFonts w:hint="eastAsia" w:ascii="Noto Serif CJK SC" w:hAnsi="Noto Serif CJK SC" w:eastAsia="Noto Serif CJK SC" w:cs="Noto Serif CJK SC"/>
          <w:i/>
          <w:iCs/>
          <w:lang w:val="en-US" w:eastAsia="zh-CN"/>
        </w:rPr>
        <w:t xml:space="preserve">受规制控制持有人</w:t>
      </w:r>
      <w:r>
        <w:rPr>
          <w:rFonts w:hint="eastAsia" w:ascii="Noto Serif CJK SC" w:hAnsi="Noto Serif CJK SC" w:eastAsia="Noto Serif CJK SC" w:cs="Noto Serif CJK SC"/>
          <w:lang w:val="en-US" w:eastAsia="zh-CN"/>
        </w:rPr>
        <w:t xml:space="preserve">，是指本州法律可对其有效适用，且运营、提供或持续支持所指定受规制部署，或者通过合同承担本法所规定答复义务的企业。作出指定以前，立法机关或经授权机关应公布联邦重叠关系认定，列明适用的联邦主体、法律、法规、专属执行条款、明示或冲突性联邦优先适用问题、排除的主体与领域、各项救济之间的关系，以及州法中止时效可以合法适用的诉讼请求。</w:t>
      </w:r>
    </w:p>
    <w:p>
      <w:pPr>
        <w:pStyle w:val="BlockText"/>
      </w:pPr>
      <w:r>
        <w:rPr>
          <w:rFonts w:hint="eastAsia" w:ascii="Noto Serif CJK SC" w:hAnsi="Noto Serif CJK SC" w:eastAsia="Noto Serif CJK SC" w:cs="Noto Serif CJK SC"/>
          <w:b/>
          <w:bCs/>
          <w:lang w:val="en-US" w:eastAsia="zh-CN"/>
        </w:rPr>
        <w:t xml:space="preserve">第2条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部署记录与调取架构。</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对外可见的运营者在使受规制部署可供使用或将其纳入受影响流程以前，应生成并保存一份本地记录，列明系统及版本；目的与受影响群体；重要模型、数据、检索、工具与凭证组件；部署标识符与事件标识符；供应商与集成商；风险负责人和发布负责人；评估与批准；重大限制及尚未解决的风险决定；事件与逐级上报渠道；以及更新、限制、回滚、暂停或终止的权限。每一受规制控制持有人应当保存其相应部分，并提供最新来源信息和答复联系人。运营者应取得调取所界定供应商字段的合同权利，要求供应商承担保全与答复义务，并使这些义务在分包、收购及服务终止后继续有效。运营者的上述义务不得转移。指定文件应规定保存期限与重大变更规则。</w:t>
      </w:r>
    </w:p>
    <w:p>
      <w:pPr>
        <w:pStyle w:val="BlockText"/>
      </w:pPr>
      <w:r>
        <w:rPr>
          <w:rFonts w:hint="eastAsia" w:ascii="Noto Serif CJK SC" w:hAnsi="Noto Serif CJK SC" w:eastAsia="Noto Serif CJK SC" w:cs="Noto Serif CJK SC"/>
          <w:b/>
          <w:bCs/>
          <w:lang w:val="en-US" w:eastAsia="zh-CN"/>
        </w:rPr>
        <w:t xml:space="preserve">第3条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第一阶段通知。</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受影响者可以向对外可见的运营者之指定代理人交付宣誓陈述，或根据伪证罪罚则作出的陈述，其中应载明：（a）影响指定文件所列法律保护利益的不利事件；（b）该事件经由何项受规制部署或哪一对外可见的运营者发生；（c）足以将所请求身份字段和事件字段与该事件合理联系起来的事实；（d）在合理可得范围内尽可能具体地说明事件、交易、账户、申请、决定或期间；（e）所请求的限定字段；以及（f）拟善意利用答复来评估、质疑、申诉或就该事件寻求救济。第一阶段不要求提供仅由部署记录掌握的事实。有律师代理的，律师应证明目的正当并已作合理调查。交付会触发首次答复义务，但不构成执行诉讼的诉讼文书送达。</w:t>
      </w:r>
    </w:p>
    <w:p>
      <w:pPr>
        <w:pStyle w:val="BlockText"/>
      </w:pPr>
      <w:r>
        <w:rPr>
          <w:rFonts w:hint="eastAsia" w:ascii="Noto Serif CJK SC" w:hAnsi="Noto Serif CJK SC" w:eastAsia="Noto Serif CJK SC" w:cs="Noto Serif CJK SC"/>
          <w:b/>
          <w:bCs/>
          <w:lang w:val="en-US" w:eastAsia="zh-CN"/>
        </w:rPr>
        <w:t xml:space="preserve">第4条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首次答复与保全。</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运营者应在交付后三十日内提供事件回执与保管人图谱。回执应说明事件发生时启用的应用与模型版本；任何所请求的输出、分数、决定、通知、警示、传输、使用或干预；以及具名功能是否并未运行。图谱应列明提供、配置、集成或运营重要组件的每一实体；每一字段的保管人和法律控制者；以及拥有更新、限制、回滚、暂停或终止权限的每一实体。运营者应保全其特定风险记录，说明已知删除或不可获得的情况，并启动合同调取权与保全权。每一独立受本法规制的控制持有人应保全并确认其所分配的控制环节。对于任何其他供应商，运营者应通过第2条所规定的合同和本地记录履行调取义务。仅向运营者发出通知，既不创设法定适用范围、法律选择、送达或对人管辖权，也不构成同意。因明确说明的技术、隐私或安全需要，可以获得一次十五日延期。</w:t>
      </w:r>
    </w:p>
    <w:p>
      <w:pPr>
        <w:pStyle w:val="BlockText"/>
      </w:pPr>
      <w:r>
        <w:rPr>
          <w:rFonts w:hint="eastAsia" w:ascii="Noto Serif CJK SC" w:hAnsi="Noto Serif CJK SC" w:eastAsia="Noto Serif CJK SC" w:cs="Noto Serif CJK SC"/>
          <w:b/>
          <w:bCs/>
          <w:lang w:val="en-US" w:eastAsia="zh-CN"/>
        </w:rPr>
        <w:t xml:space="preserve">第5条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实质性控制。</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某一企业只有在就相关时间作出下列初步证明时，才继续留在第二阶段：（a）其功能与所主张风险具有特定联系；（b）其通过配置、约束、评估、监测、更新、限制、回滚、暂停、终止或法律上可强制执行的同等方式拥有实际权限；以及（c）第一阶段记录支持该功能构成事件路径的一部分或支配某项安全保障，且所请求信息与某项构成要件、抗辩或救济具有非微不足道的关联。本条不要求证明，行使该权限本可防止损害、改变决定或满足因果关系。仅有投资、一般云服务、出版、研究、品牌联系、来源或理论技术能力，均不充分。</w:t>
      </w:r>
    </w:p>
    <w:p>
      <w:pPr>
        <w:pStyle w:val="BlockText"/>
      </w:pPr>
      <w:r>
        <w:rPr>
          <w:rFonts w:hint="eastAsia" w:ascii="Noto Serif CJK SC" w:hAnsi="Noto Serif CJK SC" w:eastAsia="Noto Serif CJK SC" w:cs="Noto Serif CJK SC"/>
          <w:b/>
          <w:bCs/>
          <w:lang w:val="en-US" w:eastAsia="zh-CN"/>
        </w:rPr>
        <w:t xml:space="preserve">第6条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异议、举证责任与执行。</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运营者可以逐字段提出异议，并应陈述支持不适用、未运行、负担、特权、隐私、安全或有记录证明的信息不可获得之事实。仅标注“专有”或转介给未具名供应商并不充分。及时且具体的异议，在迅速中立审查期间，仅中止提供有争议的字段；所有无争议字段仍应按期提供。受影响者可以向有管辖权的法院或其他合法裁判机构申请快速执行。请求人就适用范围、交付和第一阶段事件发生门槛承担举证责任。运营者就基于其控制范围内事实的逐字段异议承担举证责任。首次答复后，请求人应初步指明一个控制环节；寻求退出的企业应指出第一阶段记录，以否定风险特定性、实际权限或信息实质相关性。因该企业违反第2条而产生的不明确，仅在信息获取和退出问题上作不利于该企业的解释，且不形成任何实体问题推定。</w:t>
      </w:r>
    </w:p>
    <w:p>
      <w:pPr>
        <w:pStyle w:val="BlockText"/>
      </w:pPr>
      <w:r>
        <w:rPr>
          <w:rFonts w:hint="eastAsia" w:ascii="Noto Serif CJK SC" w:hAnsi="Noto Serif CJK SC" w:eastAsia="Noto Serif CJK SC" w:cs="Noto Serif CJK SC"/>
          <w:b/>
          <w:bCs/>
          <w:lang w:val="en-US" w:eastAsia="zh-CN"/>
        </w:rPr>
        <w:t xml:space="preserve">第7条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第二阶段与保护。</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只有在第一阶段材料支持一个与具体诉讼请求相关的控制环节——包括相关功能构成事件路径的一部分或支配某项安全保障——且所请求信息与某项构成要件、抗辩或救济具有非微不足道的关联，并且提供记录具有必要性和合比例性时，方可依协议取得或在正在进行的程序中命令提供其他非特权材料。提供范围应由时间、版本、受影响群体、功能和所主张风险限定。对于源代码、权重、敏感数据、原始内容、表达性审议材料及安全控制，必须书面认定侵扰性更小的证据无法合理解决实质问题后，方可提供。争议性受保护材料的权利人以及任何受到实质影响的第三人，应在披露前收到通知并有机会获得迅速中立审查。裁判机构应通过最小化、涂黑、假名化、限制访问、安全专家审查、不公开审查或其他合法保障，保护特权、隐私、商业秘密、研究、结社、表达与安全。在正在进行的联邦诉讼中，第二阶段的提供与保护适用《联邦民事诉讼规则》。</w:t>
      </w:r>
    </w:p>
    <w:p>
      <w:pPr>
        <w:pStyle w:val="BlockText"/>
      </w:pPr>
      <w:r>
        <w:rPr>
          <w:rFonts w:hint="eastAsia" w:ascii="Noto Serif CJK SC" w:hAnsi="Noto Serif CJK SC" w:eastAsia="Noto Serif CJK SC" w:cs="Noto Serif CJK SC"/>
          <w:b/>
          <w:bCs/>
          <w:lang w:val="en-US" w:eastAsia="zh-CN"/>
        </w:rPr>
        <w:t xml:space="preserve">第8条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实体问题防火墙与退出。</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遵守、不遵守、通知及参与，均不形成关于义务、违反、缺陷、歧视性运行、代理、因果关系、损害赔偿或共同责任的推定。准据法规定每项构成要件与抗辩。企业履行第4条义务并否定第5条任一要求的，其部署责任入口角色终止。未另受独立且充分的诉讼请求约束的实体恢复非当事人地位。有效传票、监管权限或其他法律依据可以依其自身条件要求该实体继续参与。</w:t>
      </w:r>
    </w:p>
    <w:p>
      <w:pPr>
        <w:pStyle w:val="BlockText"/>
      </w:pPr>
      <w:r>
        <w:rPr>
          <w:rFonts w:hint="eastAsia" w:ascii="Noto Serif CJK SC" w:hAnsi="Noto Serif CJK SC" w:eastAsia="Noto Serif CJK SC" w:cs="Noto Serif CJK SC"/>
          <w:b/>
          <w:bCs/>
          <w:lang w:val="en-US" w:eastAsia="zh-CN"/>
        </w:rPr>
        <w:t xml:space="preserve">第9条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救济与时效。</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合法裁判机构可以发布快速履行命令，并判给因答复不完整、迟延或规避产生的合理实际费用。主管机关可以命令生成或补正最低限度记录、实施合规监测，并处以民事罚款；罚款应根据违法持续时间、受影响者人数、记录范围及可责性衡量，但不得超过行业性指定所定上限。明知而伪造、隐瞒或反复违法的，可以追偿执行费用，并处以最高不超过上述上限两倍的加重罚款。单纯不履行不产生私法上的法定损害赔偿；本法不就基础不利事件创设损害赔偿，也不创设实体问题推定。联邦诉讼中电子存储信息灭失的措施仍适用《联邦民事诉讼规则》第37(e)条。只有由本法创设或明示规制的诉讼请求，其时效才自交付合规请求起中止，直至履行完毕或最终拒绝后六十日。</w:t>
      </w:r>
    </w:p>
    <w:p>
      <w:pPr>
        <w:pStyle w:val="BlockText"/>
      </w:pPr>
      <w:r>
        <w:rPr>
          <w:rFonts w:hint="eastAsia" w:ascii="Noto Serif CJK SC" w:hAnsi="Noto Serif CJK SC" w:eastAsia="Noto Serif CJK SC" w:cs="Noto Serif CJK SC"/>
          <w:b/>
          <w:bCs/>
          <w:lang w:val="en-US" w:eastAsia="zh-CN"/>
        </w:rPr>
        <w:t xml:space="preserve">第10条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不得放弃、裁判机构、诉讼资格与联邦程序。</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对受影响者而言，生成、保存和提供最低限度记录的义务不得放弃；该义务因受规制部署而产生，无论争议已经诉讼、仲裁或从未提出，均持续存在。有效仲裁协议可以依据《联邦仲裁法》选择私人争议解决机构；首次答复期限仍独立计算，首次答复并非启动或继续仲裁的前置条件。主管机关并非协议当事人的，协议不得限制其以自身名义开展公共执法。本法任何规定均不创设美国宪法第三条意义上的诉讼资格、对人管辖权或事项管辖权；不排除豁免或特权；不使仲裁协议非签署方受其约束；也不改变有关诉状、送达、当事人合并、证据开示、修正、保护令、禁令及制裁的联邦规则。法院和仲裁员负责执行本法创设的义务；其不得从一般证据开示权中推导这些义务。</w:t>
      </w:r>
    </w:p>
    <w:p>
      <w:pPr>
        <w:pStyle w:val="BlockText"/>
      </w:pPr>
      <w:r>
        <w:rPr>
          <w:rFonts w:hint="eastAsia" w:ascii="Noto Serif CJK SC" w:hAnsi="Noto Serif CJK SC" w:eastAsia="Noto Serif CJK SC" w:cs="Noto Serif CJK SC"/>
          <w:b/>
          <w:bCs/>
          <w:lang w:val="en-US" w:eastAsia="zh-CN"/>
        </w:rPr>
        <w:t xml:space="preserve">第11条</w:t>
      </w:r>
      <w:r>
        <w:rPr>
          <w:rFonts w:ascii="Noto Serif CJK SC" w:hAnsi="Noto Serif CJK SC" w:eastAsia="Noto Serif CJK SC" w:cs="Noto Serif CJK SC"/>
          <w:b/>
          <w:bCs/>
          <w:lang w:val="en-US" w:eastAsia="zh-CN"/>
        </w:rPr>
        <w:t xml:space="preserve">　</w:t>
      </w:r>
      <w:r>
        <w:rPr>
          <w:rFonts w:hint="eastAsia" w:ascii="Noto Serif CJK SC" w:hAnsi="Noto Serif CJK SC" w:eastAsia="Noto Serif CJK SC" w:cs="Noto Serif CJK SC"/>
          <w:b/>
          <w:bCs/>
          <w:lang w:val="en-US" w:eastAsia="zh-CN"/>
        </w:rPr>
        <w:t xml:space="preserve">地域适用范围、联邦法优先与可分割性。</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上游企业只有在其有意为本州受规制用途提供、配置、运营或持续支持所指明部署，或者存在其他合法立法权限依据，且适用本州法律符合地域及法律选择规则时，才负有直接义务。强制性救济还须具备有效送达及独立的对人管辖权依据。运营者委任答复代理人，仅授权该代理人接收第3条所规定的交付，并不构成接受一般管辖权。本法在联邦法优先适用的范围内不设任何要求，不要求披露联邦隐私、安全、通信或保密法禁止披露的信息，不创设仅为执行保留给美国联邦政府之联邦义务的诉讼请求，且未经国会授权及适用的豁免放弃，不规制美国联邦政府。某一主体、领域、救济或具体适用被联邦法排除，而其余指定仍能按照立法机关所述目的运行的，裁判机构应将被排除部分予以分割。</w:t>
      </w:r>
    </w:p>
    <w:p>
      <w:pPr>
        <w:pStyle w:val="FirstParagraph"/>
      </w:pPr>
      <w:r>
        <w:rPr>
          <w:rFonts w:hint="eastAsia" w:ascii="Noto Serif CJK SC" w:hAnsi="Noto Serif CJK SC" w:eastAsia="Noto Serif CJK SC" w:cs="Noto Serif CJK SC"/>
          <w:lang w:val="en-US" w:eastAsia="zh-CN"/>
        </w:rPr>
        <w:t xml:space="preserve">示范文本使法定架构清晰可辨。受规制的行为，是在没有最低限度记录的情况下运营受规制部署，以及拒绝履行由此产生的信息获取权，而非抽象意义上的不安全运营。触发条件系于立法明确规定的法律利益、不利事件与限定的部署事实。控制针对特定风险。信息获取分阶段进行。保密信息受到保护。记录持有人可以终止其特殊角色。实体问题仍由普通法原有规则决定。</w:t>
      </w:r>
    </w:p>
    <w:bookmarkEnd w:id="148"/>
    <w:bookmarkStart w:id="156" w:name="Xe7d7c9ab2869bb790fe3803bc5183db090504b6"/>
    <w:p>
      <w:pPr>
        <w:pStyle w:val="Heading4"/>
      </w:pPr>
      <w:r>
        <w:rPr>
          <w:rFonts w:hint="eastAsia" w:ascii="Noto Sans CJK SC" w:hAnsi="Noto Sans CJK SC" w:eastAsia="Noto Sans CJK SC" w:cs="Noto Sans CJK SC"/>
          <w:lang w:val="en-US" w:eastAsia="zh-CN"/>
        </w:rPr>
        <w:t xml:space="preserve">（七）首次答复为何属于实体法上的信息获取权，而非提前启动的证据开示</w:t>
      </w:r>
    </w:p>
    <w:p>
      <w:pPr>
        <w:pStyle w:val="FirstParagraph"/>
      </w:pPr>
      <w:r>
        <w:rPr>
          <w:rFonts w:hint="eastAsia" w:ascii="Noto Serif CJK SC" w:hAnsi="Noto Serif CJK SC" w:eastAsia="Noto Serif CJK SC" w:cs="Noto Serif CJK SC"/>
          <w:lang w:val="en-US" w:eastAsia="zh-CN"/>
        </w:rPr>
        <w:t xml:space="preserve">州部署责任入口法所规制的是受规制部署的运营，而不是改写联邦诉讼程序。运营者使指定部署可供使用或将其纳入受影响流程时，最低限度记录义务即告产生。无论诉讼尚在预期、已经进行、提交仲裁或从未提出，只要收到合格请求，首次答复义务即告产生。其内容由指定文件固定——身份、事件、来源、保管和控制字段——而不是取决于某一具体诉状的相关性范围。拒绝答复本身即构成独立法定违法。只有第二阶段才开始针对具体诉讼请求的证据开示。</w:t>
      </w:r>
    </w:p>
    <w:p>
      <w:pPr>
        <w:pStyle w:val="BodyText"/>
      </w:pPr>
      <w:r>
        <w:rPr>
          <w:rFonts w:hint="eastAsia" w:ascii="Noto Serif CJK SC" w:hAnsi="Noto Serif CJK SC" w:eastAsia="Noto Serif CJK SC" w:cs="Noto Serif CJK SC"/>
          <w:lang w:val="en-US" w:eastAsia="zh-CN"/>
        </w:rPr>
        <w:t xml:space="preserve">这一设计十分重要，因为州法不能仅仅给诉状或证据开示要求换一个名称，便规避《联邦民事诉讼规则》。州法规定的诉前证明要求如果与《联邦民事诉讼规则》关于联邦诉状须载内容的规定相冲突，联邦法院会拒绝适用。</w:t>
      </w:r>
      <w:r>
        <w:rPr>
          <w:rFonts w:ascii="Noto Serif CJK SC" w:hAnsi="Noto Serif CJK SC" w:eastAsia="Noto Serif CJK SC" w:cs="Noto Serif CJK SC"/>
          <w:rStyle w:val="FootnoteReference"/>
          <w:lang w:val="en-US" w:eastAsia="zh-CN"/>
        </w:rPr>
        <w:footnoteReference w:id="149"/>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部署责任入口所提出的是另一问题。它要求在运营期间生成记录，并在起诉前赋予受影响者一项与特定交易相联系的信息获取权。执行该权利的联邦诉状仍适用《联邦民事诉讼规则》第8条；其他记录提供则仍适用该规则第26、34及45条。</w:t>
      </w:r>
    </w:p>
    <w:p>
      <w:pPr>
        <w:pStyle w:val="BodyText"/>
      </w:pPr>
      <w:r>
        <w:rPr>
          <w:rFonts w:hint="eastAsia" w:ascii="Noto Serif CJK SC" w:hAnsi="Noto Serif CJK SC" w:eastAsia="Noto Serif CJK SC" w:cs="Noto Serif CJK SC"/>
          <w:lang w:val="en-US" w:eastAsia="zh-CN"/>
        </w:rPr>
        <w:t xml:space="preserve">因此，权利与其执行机构必须分开。州法不能凭空创设联邦事项管辖权。受影响者通常应在指定的州级裁判机构起诉；如符合多元国籍管辖要求，可以援引该管辖；如国会创设联邦权利，可以主张该权利；如州法信息获取请求构成已属联邦管辖案件的一部分，则可寻求补充管辖。</w:t>
      </w:r>
      <w:r>
        <w:rPr>
          <w:rFonts w:ascii="Noto Serif CJK SC" w:hAnsi="Noto Serif CJK SC" w:eastAsia="Noto Serif CJK SC" w:cs="Noto Serif CJK SC"/>
          <w:rStyle w:val="FootnoteReference"/>
          <w:lang w:val="en-US" w:eastAsia="zh-CN"/>
        </w:rPr>
        <w:footnoteReference w:id="150"/>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争议一旦进入联邦法院，诉状、送达、证据开示、修正、保护及制裁均适用联邦规则。</w:t>
      </w:r>
    </w:p>
    <w:p>
      <w:pPr>
        <w:pStyle w:val="BodyText"/>
      </w:pPr>
      <w:r>
        <w:rPr>
          <w:rFonts w:hint="eastAsia" w:ascii="Noto Serif CJK SC" w:hAnsi="Noto Serif CJK SC" w:eastAsia="Noto Serif CJK SC" w:cs="Noto Serif CJK SC"/>
          <w:lang w:val="en-US" w:eastAsia="zh-CN"/>
        </w:rPr>
        <w:t xml:space="preserve">美国宪法第三条对联邦信息获取诉讼另有一重限制。立法机关授予请求权固然会影响审查，却不会使每一项法定违法都自动成为具体损害。在</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TransUnion</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一案中，最高法院审理的原告未主张后续不利影响，因而无法证明具体的信息损害；</w:t>
      </w:r>
      <w:r>
        <w:rPr>
          <w:rFonts w:ascii="Noto Serif CJK SC" w:hAnsi="Noto Serif CJK SC" w:eastAsia="Noto Serif CJK SC" w:cs="Noto Serif CJK SC"/>
          <w:i/>
          <w:iCs/>
          <w:lang w:val="en-US" w:eastAsia="zh-CN"/>
        </w:rPr>
        <w:t xml:space="preserve">Spokeo</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同样区分法律违法与具体的事实损害。</w:t>
      </w:r>
      <w:r>
        <w:rPr>
          <w:rFonts w:ascii="Noto Serif CJK SC" w:hAnsi="Noto Serif CJK SC" w:eastAsia="Noto Serif CJK SC" w:cs="Noto Serif CJK SC"/>
          <w:rStyle w:val="FootnoteReference"/>
          <w:lang w:val="en-US" w:eastAsia="zh-CN"/>
        </w:rPr>
        <w:footnoteReference w:id="151"/>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有关信息型诉讼资格的判例认为，如果原告本人被拒绝取得法律要求披露的信息，且该信息与受保护用途直接相关，即具备具体性。</w:t>
      </w:r>
      <w:r>
        <w:rPr>
          <w:rFonts w:ascii="Noto Serif CJK SC" w:hAnsi="Noto Serif CJK SC" w:eastAsia="Noto Serif CJK SC" w:cs="Noto Serif CJK SC"/>
          <w:rStyle w:val="FootnoteReference"/>
          <w:lang w:val="en-US" w:eastAsia="zh-CN"/>
        </w:rPr>
        <w:footnoteReference w:id="152"/>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因此，在联邦部署责任入口诉讼中，原告应主张，拒绝提供信息妨碍其识别、质疑、申诉或就特定不利事件寻求救济的能力，或者造成合理实际支出等其他具体影响。即使立法机关创设了请求权，单纯迟延如与上述用途无关，仍可能无法在联邦法院成立。州法院继续适用本州宪法和诉讼资格规则；仅因平行的联邦诉讼不具备诉讼资格，美国宪法第三条并不要求州级裁判机构也相应拒绝受理。</w:t>
      </w:r>
      <w:r>
        <w:rPr>
          <w:rFonts w:ascii="Noto Serif CJK SC" w:hAnsi="Noto Serif CJK SC" w:eastAsia="Noto Serif CJK SC" w:cs="Noto Serif CJK SC"/>
          <w:rStyle w:val="FootnoteReference"/>
          <w:lang w:val="en-US" w:eastAsia="zh-CN"/>
        </w:rPr>
        <w:footnoteReference w:id="153"/>
      </w:r>
    </w:p>
    <w:p>
      <w:pPr>
        <w:pStyle w:val="BodyText"/>
      </w:pPr>
      <w:r>
        <w:rPr>
          <w:rFonts w:hint="eastAsia" w:ascii="Noto Serif CJK SC" w:hAnsi="Noto Serif CJK SC" w:eastAsia="Noto Serif CJK SC" w:cs="Noto Serif CJK SC"/>
          <w:lang w:val="en-US" w:eastAsia="zh-CN"/>
        </w:rPr>
        <w:t xml:space="preserve">随后，《规则授权法》的框架要求将是否存在直接冲突作为</w:t>
      </w:r>
      <w:r>
        <w:rPr>
          <w:rFonts w:ascii="Noto Serif CJK SC" w:hAnsi="Noto Serif CJK SC" w:eastAsia="Noto Serif CJK SC" w:cs="Noto Serif CJK SC"/>
          <w:lang w:val="en-US" w:eastAsia="zh-CN"/>
        </w:rPr>
        <w:t xml:space="preserve"> Erie </w:t>
      </w:r>
      <w:r>
        <w:rPr>
          <w:rFonts w:hint="eastAsia" w:ascii="Noto Serif CJK SC" w:hAnsi="Noto Serif CJK SC" w:eastAsia="Noto Serif CJK SC" w:cs="Noto Serif CJK SC"/>
          <w:lang w:val="en-US" w:eastAsia="zh-CN"/>
        </w:rPr>
        <w:t xml:space="preserve">问题的第一步。</w:t>
      </w:r>
      <w:r>
        <w:rPr>
          <w:rFonts w:ascii="Noto Serif CJK SC" w:hAnsi="Noto Serif CJK SC" w:eastAsia="Noto Serif CJK SC" w:cs="Noto Serif CJK SC"/>
          <w:i/>
          <w:iCs/>
          <w:lang w:val="en-US" w:eastAsia="zh-CN"/>
        </w:rPr>
        <w:t xml:space="preserve">Hanna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规定，有效联邦规则已经回答法院面前的问题时，应适用该联邦规则。</w:t>
      </w:r>
      <w:r>
        <w:rPr>
          <w:rFonts w:ascii="Noto Serif CJK SC" w:hAnsi="Noto Serif CJK SC" w:eastAsia="Noto Serif CJK SC" w:cs="Noto Serif CJK SC"/>
          <w:i/>
          <w:iCs/>
          <w:lang w:val="en-US" w:eastAsia="zh-CN"/>
        </w:rPr>
        <w:t xml:space="preserve">Burlington Northern</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否定了一项州上诉罚则，因为联邦规则已就相关后果占据同一领域。相反，</w:t>
      </w:r>
      <w:r>
        <w:rPr>
          <w:rFonts w:ascii="Noto Serif CJK SC" w:hAnsi="Noto Serif CJK SC" w:eastAsia="Noto Serif CJK SC" w:cs="Noto Serif CJK SC"/>
          <w:i/>
          <w:iCs/>
          <w:lang w:val="en-US" w:eastAsia="zh-CN"/>
        </w:rPr>
        <w:t xml:space="preserve">Walker</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适用了与送达相联系的州诉讼时效规则，因为《联邦民事诉讼规则》第3条并未回答州法时效在何时中止。</w:t>
      </w:r>
      <w:r>
        <w:rPr>
          <w:rFonts w:ascii="Noto Serif CJK SC" w:hAnsi="Noto Serif CJK SC" w:eastAsia="Noto Serif CJK SC" w:cs="Noto Serif CJK SC"/>
          <w:rStyle w:val="FootnoteReference"/>
          <w:lang w:val="en-US" w:eastAsia="zh-CN"/>
        </w:rPr>
        <w:footnoteReference w:id="154"/>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固定的部署义务和信息获取义务，只有在其规制运营并创设独立于诉讼而存在的权利时，才属于</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Walker</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一侧。它们既不提前该规则第26条的时间表，也不扩大第34条的控制范围或第45条的传票权。</w:t>
      </w:r>
    </w:p>
    <w:p>
      <w:pPr>
        <w:pStyle w:val="BodyText"/>
      </w:pPr>
      <w:r>
        <w:rPr>
          <w:rFonts w:hint="eastAsia" w:ascii="Noto Serif CJK SC" w:hAnsi="Noto Serif CJK SC" w:eastAsia="Noto Serif CJK SC" w:cs="Noto Serif CJK SC"/>
          <w:lang w:val="en-US" w:eastAsia="zh-CN"/>
        </w:rPr>
        <w:t xml:space="preserve">第</w:t>
      </w:r>
      <w:hyperlink w:anchor="X0d45b1bf289ec41abdcdcdd96a97e2c1be6f103">
        <w:r>
          <w:rPr>
            <w:rStyle w:val="Hyperlink"/>
            <w:rFonts w:hint="eastAsia" w:ascii="Noto Serif CJK SC" w:hAnsi="Noto Serif CJK SC" w:eastAsia="Noto Serif CJK SC" w:cs="Noto Serif CJK SC"/>
            <w:lang w:val="en-US" w:eastAsia="zh-CN"/>
          </w:rPr>
          <w:t xml:space="preserve">（三）</w:t>
        </w:r>
      </w:hyperlink>
      <w:r>
        <w:rPr>
          <w:rFonts w:hint="eastAsia" w:ascii="Noto Serif CJK SC" w:hAnsi="Noto Serif CJK SC" w:eastAsia="Noto Serif CJK SC" w:cs="Noto Serif CJK SC"/>
          <w:lang w:val="en-US" w:eastAsia="zh-CN"/>
        </w:rPr>
        <w:t xml:space="preserve">节所述分配方式应依功能而定。州法可以要求在争议发生数年前即生成版本、来源、控制与事件记录；创设不得放弃的请求权；授权针对拒绝答复提起诉讼；并中止该立法创设或规制之诉讼请求的时效。《联邦民事诉讼规则》第8条规制联邦执行诉讼的诉状。该规则第26、34及45条规制联邦法院的第二阶段；第26(c)条提供保护令；第15条规制修正与关系回溯。州法为当事人提供一个已经存在的客体及信息获取权；联邦程序则提供诉讼机制。</w:t>
      </w:r>
    </w:p>
    <w:p>
      <w:pPr>
        <w:pStyle w:val="BodyText"/>
      </w:pPr>
      <w:r>
        <w:rPr>
          <w:rFonts w:hint="eastAsia" w:ascii="Noto Serif CJK SC" w:hAnsi="Noto Serif CJK SC" w:eastAsia="Noto Serif CJK SC" w:cs="Noto Serif CJK SC"/>
          <w:lang w:val="en-US" w:eastAsia="zh-CN"/>
        </w:rPr>
        <w:t xml:space="preserve">保全也需要同样的区分。部署法规定基础保存义务，并可将未生成记录或过早删除记录作为运营违法予以处罚。合格请求可以产生独立的法定保全义务。但是，对于本应为预期或进行中的联邦诉讼而保全、事后灭失且无法恢复或替代的电子存储信息，《联邦民事诉讼规则》第37(e)条规制联邦诉讼措施。该规则规定不利影响与故意标准；它不创设运营义务。</w:t>
      </w:r>
      <w:r>
        <w:rPr>
          <w:rFonts w:ascii="Noto Serif CJK SC" w:hAnsi="Noto Serif CJK SC" w:eastAsia="Noto Serif CJK SC" w:cs="Noto Serif CJK SC"/>
          <w:rStyle w:val="FootnoteReference"/>
          <w:lang w:val="en-US" w:eastAsia="zh-CN"/>
        </w:rPr>
        <w:footnoteReference w:id="155"/>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因此，示范文本针对部署违法规定监管救济与信息获取救济，同时把联邦层面的不利推定和案件管理措施留给第37(e)条。</w:t>
      </w:r>
    </w:p>
    <w:p>
      <w:pPr>
        <w:pStyle w:val="BodyText"/>
      </w:pPr>
      <w:r>
        <w:rPr>
          <w:rFonts w:hint="eastAsia" w:ascii="Noto Serif CJK SC" w:hAnsi="Noto Serif CJK SC" w:eastAsia="Noto Serif CJK SC" w:cs="Noto Serif CJK SC"/>
          <w:lang w:val="en-US" w:eastAsia="zh-CN"/>
        </w:rPr>
        <w:t xml:space="preserve">诉讼时效问题应遵循立法权限。州可以在运营者提供首次答复期间，中止其创设或规制的州法诉讼请求时效。州不能承诺中止独立联邦请求权的时效，也不能规定针对后来具名当事人的自动关系回溯。需要全国统一规则时，国会可以将联邦部署责任入口与联邦时效中止规则相结合。无论采取何种形式，信息获取期间都使受影响者有时间利用答复，同时保留《联邦民事诉讼规则》第15条在后续联邦诉讼中的作用。</w:t>
      </w:r>
    </w:p>
    <w:p>
      <w:pPr>
        <w:pStyle w:val="BodyText"/>
      </w:pPr>
      <w:r>
        <w:rPr>
          <w:rFonts w:hint="eastAsia" w:ascii="Noto Serif CJK SC" w:hAnsi="Noto Serif CJK SC" w:eastAsia="Noto Serif CJK SC" w:cs="Noto Serif CJK SC"/>
          <w:lang w:val="en-US" w:eastAsia="zh-CN"/>
        </w:rPr>
        <w:t xml:space="preserve">由此形成的分工十分具体。部署法确保重大系统可被识别，并赋予一项明确的信息获取权。联邦程序规制联邦执行诉讼及其后的任何实体诉讼请求。同样的分工也保留了引言所述实体法争议：信息获取权提供部署和记录，使准据责任规则得以运作；实体问题防火墙既不选择该规则，也不改变其构成要件。首次答复带来的是此前缺失的记录，而不是一套替代性民事诉讼法典。</w:t>
      </w:r>
    </w:p>
    <w:bookmarkEnd w:id="156"/>
    <w:bookmarkEnd w:id="157"/>
    <w:bookmarkStart w:id="185" w:name="the-rule-in-operation"/>
    <w:p>
      <w:pPr>
        <w:pStyle w:val="Heading3"/>
      </w:pPr>
      <w:r>
        <w:rPr>
          <w:rFonts w:hint="eastAsia" w:ascii="Noto Sans CJK SC" w:hAnsi="Noto Sans CJK SC" w:eastAsia="Noto Sans CJK SC" w:cs="Noto Sans CJK SC"/>
          <w:lang w:val="en-US" w:eastAsia="zh-CN"/>
        </w:rPr>
        <w:t xml:space="preserve">三</w:t>
      </w:r>
      <w:r>
        <w:rPr>
          <w:rFonts w:ascii="Noto Sans CJK SC" w:hAnsi="Noto Sans CJK SC" w:eastAsia="Noto Sans CJK SC" w:cs="Noto Sans CJK SC"/>
          <w:lang w:val="en-US" w:eastAsia="zh-CN"/>
        </w:rPr>
        <w:t xml:space="preserve">　</w:t>
      </w:r>
      <w:r>
        <w:rPr>
          <w:rFonts w:hint="eastAsia" w:ascii="Noto Sans CJK SC" w:hAnsi="Noto Sans CJK SC" w:eastAsia="Noto Sans CJK SC" w:cs="Noto Sans CJK SC"/>
          <w:lang w:val="en-US" w:eastAsia="zh-CN"/>
        </w:rPr>
        <w:t xml:space="preserve">规则的具体运行</w:t>
      </w:r>
    </w:p>
    <w:p>
      <w:pPr>
        <w:pStyle w:val="FirstParagraph"/>
      </w:pPr>
      <w:r>
        <w:rPr>
          <w:rFonts w:hint="eastAsia" w:ascii="Noto Serif CJK SC" w:hAnsi="Noto Serif CJK SC" w:eastAsia="Noto Serif CJK SC" w:cs="Noto Serif CJK SC"/>
          <w:lang w:val="en-US" w:eastAsia="zh-CN"/>
        </w:rPr>
        <w:t xml:space="preserve">部署责任入口承担两项功能，而任何单一事实模式都无法同等清晰地展现二者。在一体化部署中，运营者对外可见，所缺失的客体是部署记录。在分散式部署中，身份、占有、法律控制与技术控制可能分别归于不同实体。本部分分别把规则适用于这两种架构。</w:t>
      </w:r>
    </w:p>
    <w:p>
      <w:pPr>
        <w:pStyle w:val="BodyText"/>
      </w:pPr>
      <w:r>
        <w:rPr>
          <w:rFonts w:ascii="Noto Serif CJK SC" w:hAnsi="Noto Serif CJK SC" w:eastAsia="Noto Serif CJK SC" w:cs="Noto Serif CJK SC"/>
          <w:i/>
          <w:iCs/>
          <w:lang w:val="en-US" w:eastAsia="zh-CN"/>
        </w:rPr>
        <w:t xml:space="preserve">Garcia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是记录提供功能的适用实例。它说明，所主张的受规制事件如何界定一份范围有限的两阶段记录，同时把产品分类、言论、缺陷、因果关系及抗辩保留给普通裁判。</w:t>
      </w:r>
      <w:r>
        <w:rPr>
          <w:rFonts w:ascii="Noto Serif CJK SC" w:hAnsi="Noto Serif CJK SC" w:eastAsia="Noto Serif CJK SC" w:cs="Noto Serif CJK SC"/>
          <w:i/>
          <w:iCs/>
          <w:lang w:val="en-US" w:eastAsia="zh-CN"/>
        </w:rPr>
        <w:t xml:space="preserve">Mobley v. Workday, Inc.</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是分散式技术栈的适用实例。所引裁定极为直接地展示了信息如何分散在申请人、雇主客户与人工智能供应商之间。对</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Mobley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的分析不取决于后来是否撤销集体认证、驳回诉讼、作出实体判决或上诉裁判，亦不取决于是否和解。本文对各项裁定的援引，仅限于其所记载的程序阶段与记录分配问题。</w:t>
      </w:r>
      <w:r>
        <w:rPr>
          <w:rFonts w:ascii="Noto Serif CJK SC" w:hAnsi="Noto Serif CJK SC" w:eastAsia="Noto Serif CJK SC" w:cs="Noto Serif CJK SC"/>
          <w:rStyle w:val="FootnoteReference"/>
          <w:lang w:val="en-US" w:eastAsia="zh-CN"/>
        </w:rPr>
        <w:footnoteReference w:id="158"/>
      </w:r>
    </w:p>
    <w:bookmarkStart w:id="169" w:name="an-integrated-deployment-garcia"/>
    <w:p>
      <w:pPr>
        <w:pStyle w:val="Heading4"/>
      </w:pPr>
      <w:r>
        <w:rPr>
          <w:rFonts w:hint="eastAsia" w:ascii="Noto Sans CJK SC" w:hAnsi="Noto Sans CJK SC" w:eastAsia="Noto Sans CJK SC" w:cs="Noto Sans CJK SC"/>
          <w:lang w:val="en-US" w:eastAsia="zh-CN"/>
        </w:rPr>
        <w:t xml:space="preserve">（一）一体化部署：</w:t>
      </w:r>
      <w:r>
        <w:rPr>
          <w:rFonts w:ascii="Noto Sans CJK SC" w:hAnsi="Noto Sans CJK SC" w:eastAsia="Noto Sans CJK SC" w:cs="Noto Sans CJK SC"/>
          <w:i/>
          <w:iCs/>
          <w:lang w:val="en-US" w:eastAsia="zh-CN"/>
        </w:rPr>
        <w:t xml:space="preserve">Garcia</w:t>
      </w:r>
    </w:p>
    <w:p>
      <w:pPr>
        <w:pStyle w:val="FirstParagraph"/>
      </w:pPr>
      <w:r>
        <w:rPr>
          <w:rFonts w:ascii="Noto Serif CJK SC" w:hAnsi="Noto Serif CJK SC" w:eastAsia="Noto Serif CJK SC" w:cs="Noto Serif CJK SC"/>
          <w:i/>
          <w:iCs/>
          <w:lang w:val="en-US" w:eastAsia="zh-CN"/>
        </w:rPr>
        <w:t xml:space="preserve">Garcia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的起点，是本规则最容易完成送达的场景。Character</w:t>
      </w:r>
      <w:r>
        <w:rPr>
          <w:rFonts w:ascii="Noto Serif CJK SC" w:hAnsi="Noto Serif CJK SC" w:eastAsia="Noto Serif CJK SC" w:cs="Noto Serif CJK SC"/>
          <w:lang w:val="en-US" w:eastAsia="zh-CN"/>
        </w:rPr>
        <w:t xml:space="preserve"> Technologies </w:t>
      </w:r>
      <w:r>
        <w:rPr>
          <w:rFonts w:hint="eastAsia" w:ascii="Noto Serif CJK SC" w:hAnsi="Noto Serif CJK SC" w:eastAsia="Noto Serif CJK SC" w:cs="Noto Serif CJK SC"/>
          <w:lang w:val="en-US" w:eastAsia="zh-CN"/>
        </w:rPr>
        <w:t xml:space="preserve">运营对外可见的消费者应用。诉状指明了该公司、其创始人及</w:t>
      </w:r>
      <w:r>
        <w:rPr>
          <w:rFonts w:ascii="Noto Serif CJK SC" w:hAnsi="Noto Serif CJK SC" w:eastAsia="Noto Serif CJK SC" w:cs="Noto Serif CJK SC"/>
          <w:lang w:val="en-US" w:eastAsia="zh-CN"/>
        </w:rPr>
        <w:t xml:space="preserve"> Google </w:t>
      </w:r>
      <w:r>
        <w:rPr>
          <w:rFonts w:hint="eastAsia" w:ascii="Noto Serif CJK SC" w:hAnsi="Noto Serif CJK SC" w:eastAsia="Noto Serif CJK SC" w:cs="Noto Serif CJK SC"/>
          <w:lang w:val="en-US" w:eastAsia="zh-CN"/>
        </w:rPr>
        <w:t xml:space="preserve">实体，并描述通过一项已知服务持续数月的互动。困难问题在于界面背后的记录：适用的是哪些版本和政策；功能如何分配于应用及其组件；对哪些关系型风险和自伤风险进行过评估；出现过哪些警示与干预；又有哪些行为人能够改变准入或运行。</w:t>
      </w:r>
    </w:p>
    <w:p>
      <w:pPr>
        <w:pStyle w:val="BodyText"/>
      </w:pPr>
      <w:r>
        <w:rPr>
          <w:rFonts w:hint="eastAsia" w:ascii="Noto Serif CJK SC" w:hAnsi="Noto Serif CJK SC" w:eastAsia="Noto Serif CJK SC" w:cs="Noto Serif CJK SC"/>
          <w:lang w:val="en-US" w:eastAsia="zh-CN"/>
        </w:rPr>
        <w:t xml:space="preserve">已公布的裁定提供了审慎的程序锚点。在《联邦民事诉讼规则》第12条程序中将妥当陈述的主张视为真实，联邦地区法院认为，将</w:t>
      </w:r>
      <w:r>
        <w:rPr>
          <w:rFonts w:ascii="Noto Serif CJK SC" w:hAnsi="Noto Serif CJK SC" w:eastAsia="Noto Serif CJK SC" w:cs="Noto Serif CJK SC"/>
          <w:lang w:val="en-US" w:eastAsia="zh-CN"/>
        </w:rPr>
        <w:t xml:space="preserve"> Character.AI </w:t>
      </w:r>
      <w:r>
        <w:rPr>
          <w:rFonts w:hint="eastAsia" w:ascii="Noto Serif CJK SC" w:hAnsi="Noto Serif CJK SC" w:eastAsia="Noto Serif CJK SC" w:cs="Noto Serif CJK SC"/>
          <w:lang w:val="en-US" w:eastAsia="zh-CN"/>
        </w:rPr>
        <w:t xml:space="preserve">主张为产品具有合理依据，并允许主要产品责任与过失理论继续推进。鉴于被告未指明相关表达选择或表达者，法院根据当时的案卷拒绝将生成内容序列认定为受保护言论。该命令并未就缺陷、因果关系或责任作出认定，后来的和解也没有产生实体裁判。</w:t>
      </w:r>
      <w:r>
        <w:rPr>
          <w:rFonts w:ascii="Noto Serif CJK SC" w:hAnsi="Noto Serif CJK SC" w:eastAsia="Noto Serif CJK SC" w:cs="Noto Serif CJK SC"/>
          <w:rStyle w:val="FootnoteReference"/>
          <w:lang w:val="en-US" w:eastAsia="zh-CN"/>
        </w:rPr>
        <w:footnoteReference w:id="159"/>
      </w:r>
    </w:p>
    <w:bookmarkStart w:id="161" w:name="trigger-and-first-answer"/>
    <w:p>
      <w:pPr>
        <w:pStyle w:val="Heading5"/>
      </w:pPr>
      <w:r>
        <w:rPr>
          <w:rFonts w:ascii="Noto Sans CJK SC" w:hAnsi="Noto Sans CJK SC" w:eastAsia="Noto Sans CJK SC" w:cs="Noto Sans CJK SC"/>
          <w:lang w:val="en-US" w:eastAsia="zh-CN"/>
        </w:rPr>
        <w:t xml:space="preserve">1　</w:t>
      </w:r>
      <w:r>
        <w:rPr>
          <w:rFonts w:hint="eastAsia" w:ascii="Noto Sans CJK SC" w:hAnsi="Noto Sans CJK SC" w:eastAsia="Noto Sans CJK SC" w:cs="Noto Sans CJK SC"/>
          <w:lang w:val="en-US" w:eastAsia="zh-CN"/>
        </w:rPr>
        <w:t xml:space="preserve">触发与首次答复</w:t>
      </w:r>
    </w:p>
    <w:p>
      <w:pPr>
        <w:pStyle w:val="FirstParagraph"/>
      </w:pPr>
      <w:r>
        <w:rPr>
          <w:rFonts w:hint="eastAsia" w:ascii="Noto Serif CJK SC" w:hAnsi="Noto Serif CJK SC" w:eastAsia="Noto Serif CJK SC" w:cs="Noto Serif CJK SC"/>
          <w:lang w:val="en-US" w:eastAsia="zh-CN"/>
        </w:rPr>
        <w:t xml:space="preserve">所称事件和诉状事实说明，何种通知经核实后足以达到门槛。诉状指明了法律可承认的损害，包括不法致死，并将其与长期使用指定关系型部署相联系。诉状质疑的是具体功能：未成年人准入、拟人化呈现、连续性与记忆、关系型参与、警示，以及所称安全干预缺失。所请求的记录关系到既有过失、产品责任、警示和消费者保护理论，而不是一种独立存在的聊天机器人查阅权。</w:t>
      </w:r>
    </w:p>
    <w:p>
      <w:pPr>
        <w:pStyle w:val="BodyText"/>
      </w:pPr>
      <w:r>
        <w:rPr>
          <w:rFonts w:ascii="Noto Serif CJK SC" w:hAnsi="Noto Serif CJK SC" w:eastAsia="Noto Serif CJK SC" w:cs="Noto Serif CJK SC"/>
          <w:lang w:val="en-US" w:eastAsia="zh-CN"/>
        </w:rPr>
        <w:t xml:space="preserve">Character Technologies </w:t>
      </w:r>
      <w:r>
        <w:rPr>
          <w:rFonts w:hint="eastAsia" w:ascii="Noto Serif CJK SC" w:hAnsi="Noto Serif CJK SC" w:eastAsia="Noto Serif CJK SC" w:cs="Noto Serif CJK SC"/>
          <w:lang w:val="en-US" w:eastAsia="zh-CN"/>
        </w:rPr>
        <w:t xml:space="preserve">将作为对外可见的运营者接收部署责任入口通知。第一阶段应当识别</w:t>
      </w:r>
      <w:r>
        <w:rPr>
          <w:rFonts w:ascii="Noto Serif CJK SC" w:hAnsi="Noto Serif CJK SC" w:eastAsia="Noto Serif CJK SC" w:cs="Noto Serif CJK SC"/>
          <w:lang w:val="en-US" w:eastAsia="zh-CN"/>
        </w:rPr>
        <w:t xml:space="preserve"> Sewell </w:t>
      </w:r>
      <w:r>
        <w:rPr>
          <w:rFonts w:hint="eastAsia" w:ascii="Noto Serif CJK SC" w:hAnsi="Noto Serif CJK SC" w:eastAsia="Noto Serif CJK SC" w:cs="Noto Serif CJK SC"/>
          <w:lang w:val="en-US" w:eastAsia="zh-CN"/>
        </w:rPr>
        <w:t xml:space="preserve">账户所启用的应用与模型版本；所请求的受规制功能是否运行；就该事件记录的警示、检测、阻断、逐级上报与干预；提供或配置相关组件的实体以及所列记录的保管人和法律控制者；以及拥有更新、限制、回滚、暂停或终止权限的岗位或主体。</w:t>
      </w:r>
    </w:p>
    <w:p>
      <w:pPr>
        <w:pStyle w:val="BodyText"/>
      </w:pPr>
      <w:r>
        <w:rPr>
          <w:rFonts w:hint="eastAsia" w:ascii="Noto Serif CJK SC" w:hAnsi="Noto Serif CJK SC" w:eastAsia="Noto Serif CJK SC" w:cs="Noto Serif CJK SC"/>
          <w:lang w:val="en-US" w:eastAsia="zh-CN"/>
        </w:rPr>
        <w:t xml:space="preserve">诉状关于创始人与</w:t>
      </w:r>
      <w:r>
        <w:rPr>
          <w:rFonts w:ascii="Noto Serif CJK SC" w:hAnsi="Noto Serif CJK SC" w:eastAsia="Noto Serif CJK SC" w:cs="Noto Serif CJK SC"/>
          <w:lang w:val="en-US" w:eastAsia="zh-CN"/>
        </w:rPr>
        <w:t xml:space="preserve"> Google </w:t>
      </w:r>
      <w:r>
        <w:rPr>
          <w:rFonts w:hint="eastAsia" w:ascii="Noto Serif CJK SC" w:hAnsi="Noto Serif CJK SC" w:eastAsia="Noto Serif CJK SC" w:cs="Noto Serif CJK SC"/>
          <w:lang w:val="en-US" w:eastAsia="zh-CN"/>
        </w:rPr>
        <w:t xml:space="preserve">的主张说明，身份识别为何必须保持功能性。诉状主张创始人亲自作出指示，Google</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则提供了技术、资金和组织方面的贡献。</w:t>
      </w:r>
      <w:r>
        <w:rPr>
          <w:rFonts w:ascii="Noto Serif CJK SC" w:hAnsi="Noto Serif CJK SC" w:eastAsia="Noto Serif CJK SC" w:cs="Noto Serif CJK SC"/>
          <w:rStyle w:val="FootnoteReference"/>
          <w:lang w:val="en-US" w:eastAsia="zh-CN"/>
        </w:rPr>
        <w:footnoteReference w:id="160"/>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职位、投资、曾经任职或供应基础设施本身，均不足以成立实质性控制。首次答复应当说明，是否有任何企业对模型、应用配置、评估、发布条件、更新或停止决定保留了针对特定风险的权利。该记录用于检验控制环节，而不是根据公司联系推定其存在。</w:t>
      </w:r>
    </w:p>
    <w:bookmarkEnd w:id="161"/>
    <w:bookmarkStart w:id="165" w:name="Xa958b2ed7598d0c8bea7002ef2df7ec3c0029f6"/>
    <w:p>
      <w:pPr>
        <w:pStyle w:val="Heading5"/>
      </w:pPr>
      <w:r>
        <w:rPr>
          <w:rFonts w:ascii="Noto Sans CJK SC" w:hAnsi="Noto Sans CJK SC" w:eastAsia="Noto Sans CJK SC" w:cs="Noto Sans CJK SC"/>
          <w:lang w:val="en-US" w:eastAsia="zh-CN"/>
        </w:rPr>
        <w:t xml:space="preserve">2　</w:t>
      </w:r>
      <w:r>
        <w:rPr>
          <w:rFonts w:hint="eastAsia" w:ascii="Noto Sans CJK SC" w:hAnsi="Noto Sans CJK SC" w:eastAsia="Noto Sans CJK SC" w:cs="Noto Sans CJK SC"/>
          <w:lang w:val="en-US" w:eastAsia="zh-CN"/>
        </w:rPr>
        <w:t xml:space="preserve">关系型功能界定特定风险记录</w:t>
      </w:r>
    </w:p>
    <w:p>
      <w:pPr>
        <w:pStyle w:val="FirstParagraph"/>
      </w:pPr>
      <w:r>
        <w:rPr>
          <w:rFonts w:hint="eastAsia" w:ascii="Noto Serif CJK SC" w:hAnsi="Noto Serif CJK SC" w:eastAsia="Noto Serif CJK SC" w:cs="Noto Serif CJK SC"/>
          <w:lang w:val="en-US" w:eastAsia="zh-CN"/>
        </w:rPr>
        <w:t xml:space="preserve">关系型研究识别了由提供者支配的变量，因而可以缩小记录提供请求。有关陪伴关系中断和服务关闭的研究，将连续性及关系框架同丧失体验联系起来；对用户报告的分析则识别出情感依赖以及有害互动中反复出现的角色。</w:t>
      </w:r>
      <w:r>
        <w:rPr>
          <w:rFonts w:ascii="Noto Serif CJK SC" w:hAnsi="Noto Serif CJK SC" w:eastAsia="Noto Serif CJK SC" w:cs="Noto Serif CJK SC"/>
          <w:rStyle w:val="FootnoteReference"/>
          <w:lang w:val="en-US" w:eastAsia="zh-CN"/>
        </w:rPr>
        <w:footnoteReference w:id="162"/>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一项预注册的四周研究操纵了关系寻求行为和重复接触。在其受控人群中，关系寻求行为使分离痛苦增加</w:t>
      </w:r>
      <w:r>
        <w:rPr>
          <w:rFonts w:ascii="Noto Serif CJK SC" w:hAnsi="Noto Serif CJK SC" w:eastAsia="Noto Serif CJK SC" w:cs="Noto Serif CJK SC"/>
          <w:lang w:val="en-US" w:eastAsia="zh-CN"/>
        </w:rPr>
        <w:t xml:space="preserve"> 6.04 </w:t>
      </w:r>
      <w:r>
        <w:rPr>
          <w:rFonts w:hint="eastAsia" w:ascii="Noto Serif CJK SC" w:hAnsi="Noto Serif CJK SC" w:eastAsia="Noto Serif CJK SC" w:cs="Noto Serif CJK SC"/>
          <w:lang w:val="en-US" w:eastAsia="zh-CN"/>
        </w:rPr>
        <w:t xml:space="preserve">个百分点；与功能性最强的基准条件相比，关系寻求与情感性对话相结合的条件下，每十一名参与者中便会额外出现一名依赖风险画像。</w:t>
      </w:r>
      <w:r>
        <w:rPr>
          <w:rFonts w:ascii="Noto Serif CJK SC" w:hAnsi="Noto Serif CJK SC" w:eastAsia="Noto Serif CJK SC" w:cs="Noto Serif CJK SC"/>
          <w:rStyle w:val="FootnoteReference"/>
          <w:lang w:val="en-US" w:eastAsia="zh-CN"/>
        </w:rPr>
        <w:footnoteReference w:id="164"/>
      </w:r>
    </w:p>
    <w:p>
      <w:pPr>
        <w:pStyle w:val="BodyText"/>
      </w:pPr>
      <w:r>
        <w:rPr>
          <w:rFonts w:hint="eastAsia" w:ascii="Noto Serif CJK SC" w:hAnsi="Noto Serif CJK SC" w:eastAsia="Noto Serif CJK SC" w:cs="Noto Serif CJK SC"/>
          <w:lang w:val="en-US" w:eastAsia="zh-CN"/>
        </w:rPr>
        <w:t xml:space="preserve">其法律贡献在于识别变量，而非得出普遍效应估计。关系寻求、连续性、记忆、接触剂量、年龄、危机信号及提供者干预，都是运营者能够评估和支配的功能。它们界定了与预期用途、通知、替代设计、警示、监测及因果序列相关的记录。</w:t>
      </w:r>
    </w:p>
    <w:p>
      <w:pPr>
        <w:pStyle w:val="TableCaption"/>
        <w:keepNext/>
      </w:pPr>
      <w:r>
        <w:rPr>
          <w:rFonts w:hint="eastAsia" w:ascii="Noto Serif CJK SC" w:hAnsi="Noto Serif CJK SC" w:eastAsia="Noto Serif CJK SC" w:cs="Noto Serif CJK SC"/>
          <w:lang w:val="en-US" w:eastAsia="zh-CN"/>
        </w:rPr>
        <w:t xml:space="preserve">表</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3：作为控制记录因素的关系型功能</w:t>
      </w:r>
    </w:p>
    <w:tbl>
      <w:tblPr>
        <w:tblStyle w:val="Table"/>
        <w:tblW w:type="dxa" w:w="7920"/>
        <w:tblLayout w:type="fixed"/>
        <w:tblLook w:firstRow="1" w:lastRow="0" w:firstColumn="0" w:lastColumn="0" w:noHBand="0" w:noVBand="0" w:val="0020"/>
        <w:tblCaption w:val="表 3：作为控制记录因素的关系型功能"/>
        <w:tblInd w:type="dxa" w:w="0"/>
        <w:jc w:val="left"/>
      </w:tblPr>
      <w:tblGrid>
        <w:gridCol w:w="3960"/>
        <w:gridCol w:w="3960"/>
      </w:tblGrid>
      <w:tr>
        <w:trPr>
          <w:tblHeader w:val="on"/>
          <w:cantSplit/>
        </w:trPr>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部署功能</w:t>
            </w:r>
          </w:p>
        </w:tc>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特定风险记录</w:t>
            </w:r>
          </w:p>
        </w:tc>
      </w:tr>
      <w:tr>
        <w:trPr>
          <w:cantSplit/>
        </w:trPr>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持续角色人格、记忆、主动消息、情感表达或排他性</w:t>
            </w:r>
          </w:p>
        </w:tc>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预期关系型用途；接触程度与连续性测试；记忆政策；针对特定年龄的评估；受监测的依赖信号。</w:t>
            </w:r>
          </w:p>
        </w:tc>
      </w:tr>
      <w:tr>
        <w:trPr>
          <w:cantSplit/>
        </w:trPr>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声称提供陪伴、治疗、专业知识、自主性或行动能力</w:t>
            </w:r>
          </w:p>
        </w:tc>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目标受众；产品要求；主张依据；警示设计；预期信赖；逐级上报职责。</w:t>
            </w:r>
          </w:p>
        </w:tc>
      </w:tr>
      <w:tr>
        <w:trPr>
          <w:cantSplit/>
        </w:trPr>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与关系型行为相联系的参与度目标</w:t>
            </w:r>
          </w:p>
        </w:tc>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指标归属；优化目标；风险约束；发布决定；对降低接触程度之替代方案的评估。</w:t>
            </w:r>
          </w:p>
        </w:tc>
      </w:tr>
      <w:tr>
        <w:trPr>
          <w:cantSplit/>
        </w:trPr>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自伤或危机分类</w:t>
            </w:r>
          </w:p>
        </w:tc>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检测版本；门槛；验证人群；假阳性与假阴性分析；应对政策；特定事件的触发与干预。</w:t>
            </w:r>
          </w:p>
        </w:tc>
      </w:tr>
      <w:tr>
        <w:trPr>
          <w:cantSplit/>
        </w:trPr>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未成年人准入</w:t>
            </w:r>
          </w:p>
        </w:tc>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年龄规则及其执行；未成年人专项评估；适用时的父母或监护人功能；限制与终止权限。</w:t>
            </w:r>
          </w:p>
        </w:tc>
      </w:tr>
      <w:tr>
        <w:trPr>
          <w:cantSplit/>
        </w:trPr>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连续性中断、账户干预或服务关闭</w:t>
            </w:r>
          </w:p>
        </w:tc>
        <w:tc>
          <w:tcPr>
            <w:tcW w:type="dxa" w:w="3960"/>
            <w:vAlign w:val="center"/>
          </w:tcPr>
          <w:p>
            <w:pPr>
              <w:pStyle w:val="Compact"/>
              <w:jc w:val="center"/>
            </w:pPr>
            <w:r>
              <w:rPr>
                <w:rFonts w:hint="eastAsia" w:ascii="Noto Serif CJK SC" w:hAnsi="Noto Serif CJK SC" w:eastAsia="Noto Serif CJK SC" w:cs="Noto Serif CJK SC"/>
                <w:lang w:val="en-US" w:eastAsia="zh-CN"/>
              </w:rPr>
              <w:t xml:space="preserve">连续性通知；导出或过渡功能；危机安全保障；回滚与账户限制决定。</w:t>
            </w:r>
          </w:p>
        </w:tc>
      </w:tr>
    </w:tbl>
    <w:p>
      <w:pPr>
        <w:pStyle w:val="BodyText"/>
      </w:pPr>
      <w:r>
        <w:rPr>
          <w:rFonts w:hint="eastAsia" w:ascii="Noto Serif CJK SC" w:hAnsi="Noto Serif CJK SC" w:eastAsia="Noto Serif CJK SC" w:cs="Noto Serif CJK SC"/>
          <w:lang w:val="en-US" w:eastAsia="zh-CN"/>
        </w:rPr>
        <w:t xml:space="preserve">该表也约束营销证据的用途。将服务称为陪伴者或治疗师，并不会使模型成为法律主体，也不证明产品存在缺陷；但它可以表明企业有意培养何种用途、预期何种接触，以及何种评估与该设计相适应。一般性的“非人类”提示，也应连同其出现时间、呈现方式、受众及其与服务功能的关系，一并进入同一记录。</w:t>
      </w:r>
    </w:p>
    <w:bookmarkEnd w:id="165"/>
    <w:bookmarkStart w:id="168" w:name="stage-two-and-the-merits"/>
    <w:p>
      <w:pPr>
        <w:pStyle w:val="Heading5"/>
      </w:pPr>
      <w:r>
        <w:rPr>
          <w:rFonts w:ascii="Noto Sans CJK SC" w:hAnsi="Noto Sans CJK SC" w:eastAsia="Noto Sans CJK SC" w:cs="Noto Sans CJK SC"/>
          <w:lang w:val="en-US" w:eastAsia="zh-CN"/>
        </w:rPr>
        <w:t xml:space="preserve">3　</w:t>
      </w:r>
      <w:r>
        <w:rPr>
          <w:rFonts w:hint="eastAsia" w:ascii="Noto Sans CJK SC" w:hAnsi="Noto Sans CJK SC" w:eastAsia="Noto Sans CJK SC" w:cs="Noto Sans CJK SC"/>
          <w:lang w:val="en-US" w:eastAsia="zh-CN"/>
        </w:rPr>
        <w:t xml:space="preserve">第二阶段与实体问题</w:t>
      </w:r>
    </w:p>
    <w:p>
      <w:pPr>
        <w:pStyle w:val="FirstParagraph"/>
      </w:pPr>
      <w:r>
        <w:rPr>
          <w:rFonts w:hint="eastAsia" w:ascii="Noto Serif CJK SC" w:hAnsi="Noto Serif CJK SC" w:eastAsia="Noto Serif CJK SC" w:cs="Noto Serif CJK SC"/>
          <w:lang w:val="en-US" w:eastAsia="zh-CN"/>
        </w:rPr>
        <w:t xml:space="preserve">第一阶段确定版本、角色与事件序列以后，第二阶段可以延伸至相关评估方案与结果；年龄准入测试；关系型政策、自伤政策及其配置历史；事件发生前的重要投诉与事件记录；发布与变更批准；逐级上报及答复；以及账户限制、危机中断、回滚或其他拟议控制是否可用。范围应由时间、版本、适用人群、功能及所主张风险界定。</w:t>
      </w:r>
    </w:p>
    <w:p>
      <w:pPr>
        <w:pStyle w:val="BodyText"/>
      </w:pPr>
      <w:r>
        <w:rPr>
          <w:rFonts w:hint="eastAsia" w:ascii="Noto Serif CJK SC" w:hAnsi="Noto Serif CJK SC" w:eastAsia="Noto Serif CJK SC" w:cs="Noto Serif CJK SC"/>
          <w:lang w:val="en-US" w:eastAsia="zh-CN"/>
        </w:rPr>
        <w:t xml:space="preserve">记录提供不会包括每一项模型权重、每位用户的全部对话，或不受限制地披露未成年人数据。无关内容可以排除或最小化。特权、隐私保护、涂黑、安全专家审查与商业秘密保护令仍然适用。只有证明版本化文档、测试结果、事件日志及代表性测试无法解决实质问题，才应要求提供源代码或权重。</w:t>
      </w:r>
    </w:p>
    <w:p>
      <w:pPr>
        <w:pStyle w:val="BodyText"/>
      </w:pPr>
      <w:r>
        <w:rPr>
          <w:rFonts w:hint="eastAsia" w:ascii="Noto Serif CJK SC" w:hAnsi="Noto Serif CJK SC" w:eastAsia="Noto Serif CJK SC" w:cs="Noto Serif CJK SC"/>
          <w:lang w:val="en-US" w:eastAsia="zh-CN"/>
        </w:rPr>
        <w:t xml:space="preserve">该记录也会保存有利于抗辩的事实。诉状和动议文件就用户选择角色、角色扮演、用户编辑消息、平台规则、内容阻断，以及聊天界面中关于角色陈述属于虚构的提示，均存在争议。</w:t>
      </w:r>
      <w:r>
        <w:rPr>
          <w:rFonts w:ascii="Noto Serif CJK SC" w:hAnsi="Noto Serif CJK SC" w:eastAsia="Noto Serif CJK SC" w:cs="Noto Serif CJK SC"/>
          <w:rStyle w:val="FootnoteReference"/>
          <w:lang w:val="en-US" w:eastAsia="zh-CN"/>
        </w:rPr>
        <w:footnoteReference w:id="166"/>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配置记录和事件记录可以说明：哪些功能来自第三方创作者，哪些消息由用户编辑，哪些控制措施被触发，哪些警示实际出现，以及所提出的安全保障是否本可改变事件序列。</w:t>
      </w:r>
    </w:p>
    <w:p>
      <w:pPr>
        <w:pStyle w:val="BodyText"/>
      </w:pPr>
      <w:r>
        <w:rPr>
          <w:rFonts w:hint="eastAsia" w:ascii="Noto Serif CJK SC" w:hAnsi="Noto Serif CJK SC" w:eastAsia="Noto Serif CJK SC" w:cs="Noto Serif CJK SC"/>
          <w:lang w:val="en-US" w:eastAsia="zh-CN"/>
        </w:rPr>
        <w:t xml:space="preserve">随后，案件由普通法裁判。产品分类决定适用何种设计与警示规则。当时已有的评估和投诉有助于判断可预见性与通知。权限和资源则识别与可行性相关的行为人及其能力。事件序列用以检验事实因果关系与法律因果关系。在</w:t>
      </w:r>
      <w:r>
        <w:rPr>
          <w:rFonts w:ascii="Noto Serif CJK SC" w:hAnsi="Noto Serif CJK SC" w:eastAsia="Noto Serif CJK SC" w:cs="Noto Serif CJK SC"/>
          <w:lang w:val="en-US" w:eastAsia="zh-CN"/>
        </w:rPr>
        <w:t xml:space="preserve"> 2023—2024 </w:t>
      </w:r>
      <w:r>
        <w:rPr>
          <w:rFonts w:hint="eastAsia" w:ascii="Noto Serif CJK SC" w:hAnsi="Noto Serif CJK SC" w:eastAsia="Noto Serif CJK SC" w:cs="Noto Serif CJK SC"/>
          <w:lang w:val="en-US" w:eastAsia="zh-CN"/>
        </w:rPr>
        <w:t xml:space="preserve">年互动发生后发表的研究可以提出问题，却不能证明被告在历史上实际知悉的内容。后续安全措施可以识别技术上可描述的控制，但其可采性及此前是否可行，仍由证据法与实体标准决定。</w:t>
      </w:r>
      <w:r>
        <w:rPr>
          <w:rFonts w:ascii="Noto Serif CJK SC" w:hAnsi="Noto Serif CJK SC" w:eastAsia="Noto Serif CJK SC" w:cs="Noto Serif CJK SC"/>
          <w:rStyle w:val="FootnoteReference"/>
          <w:lang w:val="en-US" w:eastAsia="zh-CN"/>
        </w:rPr>
        <w:footnoteReference w:id="167"/>
      </w:r>
    </w:p>
    <w:p>
      <w:pPr>
        <w:pStyle w:val="BodyText"/>
      </w:pPr>
      <w:r>
        <w:rPr>
          <w:rFonts w:hint="eastAsia" w:ascii="Noto Serif CJK SC" w:hAnsi="Noto Serif CJK SC" w:eastAsia="Noto Serif CJK SC" w:cs="Noto Serif CJK SC"/>
          <w:lang w:val="en-US" w:eastAsia="zh-CN"/>
        </w:rPr>
        <w:t xml:space="preserve">因此，</w:t>
      </w:r>
      <w:r>
        <w:rPr>
          <w:rFonts w:ascii="Noto Serif CJK SC" w:hAnsi="Noto Serif CJK SC" w:eastAsia="Noto Serif CJK SC" w:cs="Noto Serif CJK SC"/>
          <w:i/>
          <w:iCs/>
          <w:lang w:val="en-US" w:eastAsia="zh-CN"/>
        </w:rPr>
        <w:t xml:space="preserve">Garcia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清楚展现了记录提供功能。运营者名称对外可见。部署责任入口本可提供一份范围有限、能够支持任何一方的部署记录，同时把所有有争议的实体问题保留为开放状态。</w:t>
      </w:r>
    </w:p>
    <w:bookmarkEnd w:id="168"/>
    <w:bookmarkEnd w:id="169"/>
    <w:bookmarkStart w:id="184" w:name="X523887ecf0e5c5a8ca26ad4aca0e46251deff1b"/>
    <w:p>
      <w:pPr>
        <w:pStyle w:val="Heading4"/>
      </w:pPr>
      <w:r>
        <w:rPr>
          <w:rFonts w:hint="eastAsia" w:ascii="Noto Sans CJK SC" w:hAnsi="Noto Sans CJK SC" w:eastAsia="Noto Sans CJK SC" w:cs="Noto Sans CJK SC"/>
          <w:lang w:val="en-US" w:eastAsia="zh-CN"/>
        </w:rPr>
        <w:t xml:space="preserve">（二）分散式部署：供应商托管数据，雇主控制数据</w:t>
      </w:r>
    </w:p>
    <w:p>
      <w:pPr>
        <w:pStyle w:val="FirstParagraph"/>
      </w:pPr>
      <w:r>
        <w:rPr>
          <w:rFonts w:ascii="Noto Serif CJK SC" w:hAnsi="Noto Serif CJK SC" w:eastAsia="Noto Serif CJK SC" w:cs="Noto Serif CJK SC"/>
          <w:i/>
          <w:iCs/>
          <w:lang w:val="en-US" w:eastAsia="zh-CN"/>
        </w:rPr>
        <w:t xml:space="preserve">Mobley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展示了互补的架构。申请人接触的是雇主门户，而平台供应商提供处理与推荐功能。雇主可以拥有或依法控制申请人数据，并决定某项功能如何影响招聘；供应商则可能托管数据，控制产品、版本、默认设置及部分评估。所引裁定揭示了部署责任入口必须解决、却不得借此预判是否存在歧视的四类常见记录分配问题：功能身份、分散的法律控制、特权与安全退出。</w:t>
      </w:r>
    </w:p>
    <w:bookmarkStart w:id="172" w:name="feature-identity-and-the-event-path"/>
    <w:p>
      <w:pPr>
        <w:pStyle w:val="Heading5"/>
      </w:pPr>
      <w:r>
        <w:rPr>
          <w:rFonts w:ascii="Noto Sans CJK SC" w:hAnsi="Noto Sans CJK SC" w:eastAsia="Noto Sans CJK SC" w:cs="Noto Sans CJK SC"/>
          <w:lang w:val="en-US" w:eastAsia="zh-CN"/>
        </w:rPr>
        <w:t xml:space="preserve">1　</w:t>
      </w:r>
      <w:r>
        <w:rPr>
          <w:rFonts w:hint="eastAsia" w:ascii="Noto Sans CJK SC" w:hAnsi="Noto Sans CJK SC" w:eastAsia="Noto Sans CJK SC" w:cs="Noto Sans CJK SC"/>
          <w:lang w:val="en-US" w:eastAsia="zh-CN"/>
        </w:rPr>
        <w:t xml:space="preserve">功能身份与事件路径</w:t>
      </w:r>
    </w:p>
    <w:p>
      <w:pPr>
        <w:pStyle w:val="FirstParagraph"/>
      </w:pPr>
      <w:r>
        <w:rPr>
          <w:rFonts w:hint="eastAsia" w:ascii="Noto Serif CJK SC" w:hAnsi="Noto Serif CJK SC" w:eastAsia="Noto Serif CJK SC" w:cs="Noto Serif CJK SC"/>
          <w:lang w:val="en-US" w:eastAsia="zh-CN"/>
        </w:rPr>
        <w:t xml:space="preserve">第一个问题并不是“人工智能”一般而言是否可供使用，而是哪项功能处理了特定申请，以及何种信息传递给雇主。在诉状审查阶段，联邦地区法院认为，关于雇主客户将传统招聘职能委托给</w:t>
      </w:r>
      <w:r>
        <w:rPr>
          <w:rFonts w:ascii="Noto Serif CJK SC" w:hAnsi="Noto Serif CJK SC" w:eastAsia="Noto Serif CJK SC" w:cs="Noto Serif CJK SC"/>
          <w:lang w:val="en-US" w:eastAsia="zh-CN"/>
        </w:rPr>
        <w:t xml:space="preserve"> Workday </w:t>
      </w:r>
      <w:r>
        <w:rPr>
          <w:rFonts w:hint="eastAsia" w:ascii="Noto Serif CJK SC" w:hAnsi="Noto Serif CJK SC" w:eastAsia="Noto Serif CJK SC" w:cs="Noto Serif CJK SC"/>
          <w:lang w:val="en-US" w:eastAsia="zh-CN"/>
        </w:rPr>
        <w:t xml:space="preserve">的主张，足以使法定代理理论继续推进。同一命令要求以不同理论，联系某一特定雇主的行为、Workday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的知悉及其所称提供的协助。</w:t>
      </w:r>
      <w:r>
        <w:rPr>
          <w:rFonts w:ascii="Noto Serif CJK SC" w:hAnsi="Noto Serif CJK SC" w:eastAsia="Noto Serif CJK SC" w:cs="Noto Serif CJK SC"/>
          <w:rStyle w:val="FootnoteReference"/>
          <w:lang w:val="en-US" w:eastAsia="zh-CN"/>
        </w:rPr>
        <w:footnoteReference w:id="170"/>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名义身份对外可见，雇主、功能、输出、使用与知悉之间的实际链条则不可见。</w:t>
      </w:r>
    </w:p>
    <w:p>
      <w:pPr>
        <w:pStyle w:val="BodyText"/>
      </w:pPr>
      <w:r>
        <w:rPr>
          <w:rFonts w:hint="eastAsia" w:ascii="Noto Serif CJK SC" w:hAnsi="Noto Serif CJK SC" w:eastAsia="Noto Serif CJK SC" w:cs="Noto Serif CJK SC"/>
          <w:lang w:val="en-US" w:eastAsia="zh-CN"/>
        </w:rPr>
        <w:t xml:space="preserve">后续通知阶段的程序说明了所需字段。Candidate</w:t>
      </w:r>
      <w:r>
        <w:rPr>
          <w:rFonts w:ascii="Noto Serif CJK SC" w:hAnsi="Noto Serif CJK SC" w:eastAsia="Noto Serif CJK SC" w:cs="Noto Serif CJK SC"/>
          <w:lang w:val="en-US" w:eastAsia="zh-CN"/>
        </w:rPr>
        <w:t xml:space="preserve"> Skills Match </w:t>
      </w:r>
      <w:r>
        <w:rPr>
          <w:rFonts w:hint="eastAsia" w:ascii="Noto Serif CJK SC" w:hAnsi="Noto Serif CJK SC" w:eastAsia="Noto Serif CJK SC" w:cs="Noto Serif CJK SC"/>
          <w:lang w:val="en-US" w:eastAsia="zh-CN"/>
        </w:rPr>
        <w:t xml:space="preserve">在客户启用时，会解析职位说明与申请材料、提取技能，并给出类别化匹配结果。Workday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称，客户可以启用、禁用、使用或忽略这些功能。法院把输出含义及客户如何使用输出留待后续裁判，同时允许开展定向证据开示，以识别潜在集体成员。</w:t>
      </w:r>
      <w:r>
        <w:rPr>
          <w:rFonts w:ascii="Noto Serif CJK SC" w:hAnsi="Noto Serif CJK SC" w:eastAsia="Noto Serif CJK SC" w:cs="Noto Serif CJK SC"/>
          <w:rStyle w:val="FootnoteReference"/>
          <w:lang w:val="en-US" w:eastAsia="zh-CN"/>
        </w:rPr>
        <w:footnoteReference w:id="171"/>
      </w:r>
    </w:p>
    <w:p>
      <w:pPr>
        <w:pStyle w:val="BodyText"/>
      </w:pPr>
      <w:r>
        <w:rPr>
          <w:rFonts w:hint="eastAsia" w:ascii="Noto Serif CJK SC" w:hAnsi="Noto Serif CJK SC" w:eastAsia="Noto Serif CJK SC" w:cs="Noto Serif CJK SC"/>
          <w:lang w:val="en-US" w:eastAsia="zh-CN"/>
        </w:rPr>
        <w:t xml:space="preserve">对于指定的就业筛选部署，接收申请的雇主就是对外可见的运营者。第一阶段要求申请人说明职位、申请日期、不利处理、受规制门户，以及可得范围内最准确的事件密钥——例如职位需求编号、申请</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ID、租户</w:t>
      </w:r>
      <w:r>
        <w:rPr>
          <w:rFonts w:ascii="Noto Serif CJK SC" w:hAnsi="Noto Serif CJK SC" w:eastAsia="Noto Serif CJK SC" w:cs="Noto Serif CJK SC"/>
          <w:lang w:val="en-US" w:eastAsia="zh-CN"/>
        </w:rPr>
        <w:t xml:space="preserve"> URL </w:t>
      </w:r>
      <w:r>
        <w:rPr>
          <w:rFonts w:hint="eastAsia" w:ascii="Noto Serif CJK SC" w:hAnsi="Noto Serif CJK SC" w:eastAsia="Noto Serif CJK SC" w:cs="Noto Serif CJK SC"/>
          <w:lang w:val="en-US" w:eastAsia="zh-CN"/>
        </w:rPr>
        <w:t xml:space="preserve">或时间戳。它不要求申请人指明供应商功能，也不要求主张隐藏分数实际参与了事件。首次答复正是用来解决该问题。</w:t>
      </w:r>
    </w:p>
    <w:p>
      <w:pPr>
        <w:pStyle w:val="BodyText"/>
      </w:pPr>
      <w:r>
        <w:rPr>
          <w:rFonts w:hint="eastAsia" w:ascii="Noto Serif CJK SC" w:hAnsi="Noto Serif CJK SC" w:eastAsia="Noto Serif CJK SC" w:cs="Noto Serif CJK SC"/>
          <w:lang w:val="en-US" w:eastAsia="zh-CN"/>
        </w:rPr>
        <w:t xml:space="preserve">雇主的事件回执应当说明申请期间启用的产品；版本及已启用功能；雇主提供的字段、标准与偏好；所收到的任何分数、排序、名次、筛选结果、门槛判断或建议；后续处理；以及是否没有任何自动化功能处理该事件。保管人图谱应当列明供应商、账户角色、记录位置、法律控制者，以及合同调取权、更新权与暂停权。相互关联的供应商答复应在其控制环节内，解析同一标识符：租户和职位申请、产品与版本、某项功能是否运行、是否生成并传输输出、哪些设置来自客户，以及哪些实体持有所列记录并担任权限角色。</w:t>
      </w:r>
    </w:p>
    <w:p>
      <w:pPr>
        <w:pStyle w:val="BodyText"/>
      </w:pPr>
      <w:r>
        <w:rPr>
          <w:rFonts w:hint="eastAsia" w:ascii="Noto Serif CJK SC" w:hAnsi="Noto Serif CJK SC" w:eastAsia="Noto Serif CJK SC" w:cs="Noto Serif CJK SC"/>
          <w:lang w:val="en-US" w:eastAsia="zh-CN"/>
        </w:rPr>
        <w:t xml:space="preserve">这些答复共同区分五项命题：某项功能可供使用；客户启用了该功能；该功能处理了事件；该功能生成或传输了输出；客户使用了该输出。后一命题均不能仅由前一命题推导。第一阶段用于确定相关功能是否构成事件路径的一部分或支配某项安全保障；信息实质相关性则审查所请求信息与某项构成要件、抗辩或救济是否具有非微不足道的关联。两者都不要求证明输出造成了违法决定。</w:t>
      </w:r>
    </w:p>
    <w:bookmarkEnd w:id="172"/>
    <w:bookmarkStart w:id="174" w:name="physical-hosting-versus-legal-control"/>
    <w:p>
      <w:pPr>
        <w:pStyle w:val="Heading5"/>
      </w:pPr>
      <w:r>
        <w:rPr>
          <w:rFonts w:ascii="Noto Sans CJK SC" w:hAnsi="Noto Sans CJK SC" w:eastAsia="Noto Sans CJK SC" w:cs="Noto Sans CJK SC"/>
          <w:lang w:val="en-US" w:eastAsia="zh-CN"/>
        </w:rPr>
        <w:t xml:space="preserve">2　</w:t>
      </w:r>
      <w:r>
        <w:rPr>
          <w:rFonts w:hint="eastAsia" w:ascii="Noto Sans CJK SC" w:hAnsi="Noto Sans CJK SC" w:eastAsia="Noto Sans CJK SC" w:cs="Noto Sans CJK SC"/>
          <w:lang w:val="en-US" w:eastAsia="zh-CN"/>
        </w:rPr>
        <w:t xml:space="preserve">物理托管与法律控制</w:t>
      </w:r>
    </w:p>
    <w:p>
      <w:pPr>
        <w:pStyle w:val="FirstParagraph"/>
      </w:pPr>
      <w:r>
        <w:rPr>
          <w:rFonts w:hint="eastAsia" w:ascii="Noto Serif CJK SC" w:hAnsi="Noto Serif CJK SC" w:eastAsia="Noto Serif CJK SC" w:cs="Noto Serif CJK SC"/>
          <w:lang w:val="en-US" w:eastAsia="zh-CN"/>
        </w:rPr>
        <w:t xml:space="preserve">第二个问题是保管。2026</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年的一项证据开示命令记载，客户申请人数据存储于</w:t>
      </w:r>
      <w:r>
        <w:rPr>
          <w:rFonts w:ascii="Noto Serif CJK SC" w:hAnsi="Noto Serif CJK SC" w:eastAsia="Noto Serif CJK SC" w:cs="Noto Serif CJK SC"/>
          <w:lang w:val="en-US" w:eastAsia="zh-CN"/>
        </w:rPr>
        <w:t xml:space="preserve"> Workday </w:t>
      </w:r>
      <w:r>
        <w:rPr>
          <w:rFonts w:hint="eastAsia" w:ascii="Noto Serif CJK SC" w:hAnsi="Noto Serif CJK SC" w:eastAsia="Noto Serif CJK SC" w:cs="Noto Serif CJK SC"/>
          <w:lang w:val="en-US" w:eastAsia="zh-CN"/>
        </w:rPr>
        <w:t xml:space="preserve">服务器，但协议将客户内容的所有权赋予客户，并允许客户申请禁令阻止披露。申请人已经向三十五家客户发出传票，部分客户又称</w:t>
      </w:r>
      <w:r>
        <w:rPr>
          <w:rFonts w:ascii="Noto Serif CJK SC" w:hAnsi="Noto Serif CJK SC" w:eastAsia="Noto Serif CJK SC" w:cs="Noto Serif CJK SC"/>
          <w:lang w:val="en-US" w:eastAsia="zh-CN"/>
        </w:rPr>
        <w:t xml:space="preserve"> Workday </w:t>
      </w:r>
      <w:r>
        <w:rPr>
          <w:rFonts w:hint="eastAsia" w:ascii="Noto Serif CJK SC" w:hAnsi="Noto Serif CJK SC" w:eastAsia="Noto Serif CJK SC" w:cs="Noto Serif CJK SC"/>
          <w:lang w:val="en-US" w:eastAsia="zh-CN"/>
        </w:rPr>
        <w:t xml:space="preserve">才是高效的信息来源。法院根据该案卷认为，仅有物理存储不足以证明</w:t>
      </w:r>
      <w:r>
        <w:rPr>
          <w:rFonts w:ascii="Noto Serif CJK SC" w:hAnsi="Noto Serif CJK SC" w:eastAsia="Noto Serif CJK SC" w:cs="Noto Serif CJK SC"/>
          <w:lang w:val="en-US" w:eastAsia="zh-CN"/>
        </w:rPr>
        <w:t xml:space="preserve"> Workday </w:t>
      </w:r>
      <w:r>
        <w:rPr>
          <w:rFonts w:hint="eastAsia" w:ascii="Noto Serif CJK SC" w:hAnsi="Noto Serif CJK SC" w:eastAsia="Noto Serif CJK SC" w:cs="Noto Serif CJK SC"/>
          <w:lang w:val="en-US" w:eastAsia="zh-CN"/>
        </w:rPr>
        <w:t xml:space="preserve">依据《联邦民事诉讼规则》第34条享有按需取得并提供客户数据的法律权利。</w:t>
      </w:r>
      <w:r>
        <w:rPr>
          <w:rFonts w:ascii="Noto Serif CJK SC" w:hAnsi="Noto Serif CJK SC" w:eastAsia="Noto Serif CJK SC" w:cs="Noto Serif CJK SC"/>
          <w:rStyle w:val="FootnoteReference"/>
          <w:lang w:val="en-US" w:eastAsia="zh-CN"/>
        </w:rPr>
        <w:footnoteReference w:id="173"/>
      </w:r>
    </w:p>
    <w:p>
      <w:pPr>
        <w:pStyle w:val="BodyText"/>
      </w:pPr>
      <w:r>
        <w:rPr>
          <w:rFonts w:hint="eastAsia" w:ascii="Noto Serif CJK SC" w:hAnsi="Noto Serif CJK SC" w:eastAsia="Noto Serif CJK SC" w:cs="Noto Serif CJK SC"/>
          <w:lang w:val="en-US" w:eastAsia="zh-CN"/>
        </w:rPr>
        <w:t xml:space="preserve">部署责任入口并不推翻该裁定。它改变的是争议发生前的部署设计。雇主保存本地清单、职位定义、客户设置、申请、后续审查、处理决定、通知及事件标识符。供应商保存与其控制环节相对应的版本谱系、产品文档、默认设置、运行与传输日志，以及运营评估记录。部署前协议赋予雇主调取指定供应商字段的权利，并授权对客户控制内容实施协调保全。双方使用相同的部署标识符和事件标识符，从而避免平台标签与客户标签保存互不兼容的记录切片。</w:t>
      </w:r>
    </w:p>
    <w:p>
      <w:pPr>
        <w:pStyle w:val="BodyText"/>
      </w:pPr>
      <w:r>
        <w:rPr>
          <w:rFonts w:hint="eastAsia" w:ascii="Noto Serif CJK SC" w:hAnsi="Noto Serif CJK SC" w:eastAsia="Noto Serif CJK SC" w:cs="Noto Serif CJK SC"/>
          <w:lang w:val="en-US" w:eastAsia="zh-CN"/>
        </w:rPr>
        <w:t xml:space="preserve">这一架构区分技术托管与法定责任。直接受本法规制的供应商就其所分配环节作出答复。其他供应商则通过雇主的调取权作出答复。申请人在查阅合同和保管人图谱以前，不再需要先在托管方与法律控制者之间作出选择；第一阶段会识别二者，超出法定最低限度的后续提供仍依《联邦民事诉讼规则》第34条或第45条的一般分析处理。</w:t>
      </w:r>
    </w:p>
    <w:bookmarkEnd w:id="174"/>
    <w:bookmarkStart w:id="177" w:name="Xe223f864c9710e45f97a5c50cbfddf30155e637"/>
    <w:p>
      <w:pPr>
        <w:pStyle w:val="Heading5"/>
      </w:pPr>
      <w:r>
        <w:rPr>
          <w:rFonts w:ascii="Noto Sans CJK SC" w:hAnsi="Noto Sans CJK SC" w:eastAsia="Noto Sans CJK SC" w:cs="Noto Sans CJK SC"/>
          <w:lang w:val="en-US" w:eastAsia="zh-CN"/>
        </w:rPr>
        <w:t xml:space="preserve">3　</w:t>
      </w:r>
      <w:r>
        <w:rPr>
          <w:rFonts w:hint="eastAsia" w:ascii="Noto Sans CJK SC" w:hAnsi="Noto Sans CJK SC" w:eastAsia="Noto Sans CJK SC" w:cs="Noto Sans CJK SC"/>
          <w:lang w:val="en-US" w:eastAsia="zh-CN"/>
        </w:rPr>
        <w:t xml:space="preserve">特权与最低限度运营记录</w:t>
      </w:r>
    </w:p>
    <w:p>
      <w:pPr>
        <w:pStyle w:val="FirstParagraph"/>
      </w:pPr>
      <w:r>
        <w:rPr>
          <w:rFonts w:hint="eastAsia" w:ascii="Noto Serif CJK SC" w:hAnsi="Noto Serif CJK SC" w:eastAsia="Noto Serif CJK SC" w:cs="Noto Serif CJK SC"/>
          <w:lang w:val="en-US" w:eastAsia="zh-CN"/>
        </w:rPr>
        <w:t xml:space="preserve">第三个问题是法律意见与运营之间的界线。同一项证据开示命令认定，特定</w:t>
      </w:r>
      <w:r>
        <w:rPr>
          <w:rFonts w:ascii="Noto Serif CJK SC" w:hAnsi="Noto Serif CJK SC" w:eastAsia="Noto Serif CJK SC" w:cs="Noto Serif CJK SC"/>
          <w:lang w:val="en-US" w:eastAsia="zh-CN"/>
        </w:rPr>
        <w:t xml:space="preserve"> Candidate Skills Match </w:t>
      </w:r>
      <w:r>
        <w:rPr>
          <w:rFonts w:hint="eastAsia" w:ascii="Noto Serif CJK SC" w:hAnsi="Noto Serif CJK SC" w:eastAsia="Noto Serif CJK SC" w:cs="Noto Serif CJK SC"/>
          <w:lang w:val="en-US" w:eastAsia="zh-CN"/>
        </w:rPr>
        <w:t xml:space="preserve">偏差测试材料受特权保护，因为律师选择数据并利用测试提供法律意见。法院另行命令提供</w:t>
      </w:r>
      <w:r>
        <w:rPr>
          <w:rFonts w:ascii="Noto Serif CJK SC" w:hAnsi="Noto Serif CJK SC" w:eastAsia="Noto Serif CJK SC" w:cs="Noto Serif CJK SC"/>
          <w:lang w:val="en-US" w:eastAsia="zh-CN"/>
        </w:rPr>
        <w:t xml:space="preserve"> Workday </w:t>
      </w:r>
      <w:r>
        <w:rPr>
          <w:rFonts w:hint="eastAsia" w:ascii="Noto Serif CJK SC" w:hAnsi="Noto Serif CJK SC" w:eastAsia="Noto Serif CJK SC" w:cs="Noto Serif CJK SC"/>
          <w:lang w:val="en-US" w:eastAsia="zh-CN"/>
        </w:rPr>
        <w:t xml:space="preserve">的</w:t>
      </w:r>
      <w:r>
        <w:rPr>
          <w:rFonts w:ascii="Noto Serif CJK SC" w:hAnsi="Noto Serif CJK SC" w:eastAsia="Noto Serif CJK SC" w:cs="Noto Serif CJK SC"/>
          <w:lang w:val="en-US" w:eastAsia="zh-CN"/>
        </w:rPr>
        <w:t xml:space="preserve"> EEO-1 </w:t>
      </w:r>
      <w:r>
        <w:rPr>
          <w:rFonts w:hint="eastAsia" w:ascii="Noto Serif CJK SC" w:hAnsi="Noto Serif CJK SC" w:eastAsia="Noto Serif CJK SC" w:cs="Noto Serif CJK SC"/>
          <w:lang w:val="en-US" w:eastAsia="zh-CN"/>
        </w:rPr>
        <w:t xml:space="preserve">材料和联邦承包商合规材料，因为这些材料与其是否知悉潜在人口统计差异具有相关性。</w:t>
      </w:r>
      <w:r>
        <w:rPr>
          <w:rFonts w:ascii="Noto Serif CJK SC" w:hAnsi="Noto Serif CJK SC" w:eastAsia="Noto Serif CJK SC" w:cs="Noto Serif CJK SC"/>
          <w:rStyle w:val="FootnoteReference"/>
          <w:lang w:val="en-US" w:eastAsia="zh-CN"/>
        </w:rPr>
        <w:footnoteReference w:id="175"/>
      </w:r>
    </w:p>
    <w:p>
      <w:pPr>
        <w:pStyle w:val="BodyText"/>
      </w:pPr>
      <w:r>
        <w:rPr>
          <w:rFonts w:hint="eastAsia" w:ascii="Noto Serif CJK SC" w:hAnsi="Noto Serif CJK SC" w:eastAsia="Noto Serif CJK SC" w:cs="Noto Serif CJK SC"/>
          <w:lang w:val="en-US" w:eastAsia="zh-CN"/>
        </w:rPr>
        <w:t xml:space="preserve">部署责任入口保留这一区分。律师通信及符合条件、由律师主导的分析继续受到保护。最低限度运营记录——功能身份、版本、预期用途、验证负责人、已部署门槛、事件输出、投诉、监测及变更历史——之所以存在，是因为受规制系统确已运行。特权清单可以识别受保护分析，而其基础非特权数据和日常业务记录仍依既有法律处理。</w:t>
      </w:r>
      <w:r>
        <w:rPr>
          <w:rFonts w:ascii="Noto Serif CJK SC" w:hAnsi="Noto Serif CJK SC" w:eastAsia="Noto Serif CJK SC" w:cs="Noto Serif CJK SC"/>
          <w:rStyle w:val="FootnoteReference"/>
          <w:lang w:val="en-US" w:eastAsia="zh-CN"/>
        </w:rPr>
        <w:footnoteReference w:id="176"/>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因此，该法既保护特权，也不允许企业仅在法律意见文件中履行运营义务。</w:t>
      </w:r>
    </w:p>
    <w:bookmarkEnd w:id="177"/>
    <w:bookmarkStart w:id="179" w:name="safe-exit-and-coordinated-stage-two"/>
    <w:p>
      <w:pPr>
        <w:pStyle w:val="Heading5"/>
      </w:pPr>
      <w:r>
        <w:rPr>
          <w:rFonts w:ascii="Noto Sans CJK SC" w:hAnsi="Noto Sans CJK SC" w:eastAsia="Noto Sans CJK SC" w:cs="Noto Sans CJK SC"/>
          <w:lang w:val="en-US" w:eastAsia="zh-CN"/>
        </w:rPr>
        <w:t xml:space="preserve">4　</w:t>
      </w:r>
      <w:r>
        <w:rPr>
          <w:rFonts w:hint="eastAsia" w:ascii="Noto Sans CJK SC" w:hAnsi="Noto Sans CJK SC" w:eastAsia="Noto Sans CJK SC" w:cs="Noto Sans CJK SC"/>
          <w:lang w:val="en-US" w:eastAsia="zh-CN"/>
        </w:rPr>
        <w:t xml:space="preserve">安全退出与协调的第二阶段</w:t>
      </w:r>
    </w:p>
    <w:p>
      <w:pPr>
        <w:pStyle w:val="FirstParagraph"/>
      </w:pPr>
      <w:r>
        <w:rPr>
          <w:rFonts w:hint="eastAsia" w:ascii="Noto Serif CJK SC" w:hAnsi="Noto Serif CJK SC" w:eastAsia="Noto Serif CJK SC" w:cs="Noto Serif CJK SC"/>
          <w:lang w:val="en-US" w:eastAsia="zh-CN"/>
        </w:rPr>
        <w:t xml:space="preserve">第四个问题是如何使错误控制环节退出特殊程序。2025</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年一项涉及</w:t>
      </w:r>
      <w:r>
        <w:rPr>
          <w:rFonts w:ascii="Noto Serif CJK SC" w:hAnsi="Noto Serif CJK SC" w:eastAsia="Noto Serif CJK SC" w:cs="Noto Serif CJK SC"/>
          <w:lang w:val="en-US" w:eastAsia="zh-CN"/>
        </w:rPr>
        <w:t xml:space="preserve"> HiredScore </w:t>
      </w:r>
      <w:r>
        <w:rPr>
          <w:rFonts w:hint="eastAsia" w:ascii="Noto Serif CJK SC" w:hAnsi="Noto Serif CJK SC" w:eastAsia="Noto Serif CJK SC" w:cs="Noto Serif CJK SC"/>
          <w:lang w:val="en-US" w:eastAsia="zh-CN"/>
        </w:rPr>
        <w:t xml:space="preserve">的命令，要求</w:t>
      </w:r>
      <w:r>
        <w:rPr>
          <w:rFonts w:ascii="Noto Serif CJK SC" w:hAnsi="Noto Serif CJK SC" w:eastAsia="Noto Serif CJK SC" w:cs="Noto Serif CJK SC"/>
          <w:lang w:val="en-US" w:eastAsia="zh-CN"/>
        </w:rPr>
        <w:t xml:space="preserve"> Workday </w:t>
      </w:r>
      <w:r>
        <w:rPr>
          <w:rFonts w:hint="eastAsia" w:ascii="Noto Serif CJK SC" w:hAnsi="Noto Serif CJK SC" w:eastAsia="Noto Serif CJK SC" w:cs="Noto Serif CJK SC"/>
          <w:lang w:val="en-US" w:eastAsia="zh-CN"/>
        </w:rPr>
        <w:t xml:space="preserve">识别启用指定功能的客户，并规定了具体排除规则：Workday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如能确定某客户没有收到分数或排名，或者未使用该功能筛选候选人，该客户即可退出初步集体。</w:t>
      </w:r>
      <w:r>
        <w:rPr>
          <w:rFonts w:ascii="Noto Serif CJK SC" w:hAnsi="Noto Serif CJK SC" w:eastAsia="Noto Serif CJK SC" w:cs="Noto Serif CJK SC"/>
          <w:rStyle w:val="FootnoteReference"/>
          <w:lang w:val="en-US" w:eastAsia="zh-CN"/>
        </w:rPr>
        <w:footnoteReference w:id="178"/>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该命令管理的是集体通知，并非适用本文所提法案；但它展示了相似的运行顺序：识别部署和输出，排除没有相关运行或使用的客户，把有争议的效果留待裁判。</w:t>
      </w:r>
    </w:p>
    <w:p>
      <w:pPr>
        <w:pStyle w:val="BodyText"/>
      </w:pPr>
      <w:r>
        <w:rPr>
          <w:rFonts w:hint="eastAsia" w:ascii="Noto Serif CJK SC" w:hAnsi="Noto Serif CJK SC" w:eastAsia="Noto Serif CJK SC" w:cs="Noto Serif CJK SC"/>
          <w:lang w:val="en-US" w:eastAsia="zh-CN"/>
        </w:rPr>
        <w:t xml:space="preserve">第一阶段把这一逻辑推广至事件层面。雇主控制职位标准、功能启用、决定权重、审查、通知及最终处理。供应商可能控制设计、默认设置、验证、更新和跨客户监测。实际权限随权限设置、合同与发布机制而定。第一阶段记录说明相关功能是否构成事件路径的一部分或支配某项安全保障；所请求的第二阶段信息则须与某项构成要件、抗辩或救济具有非微不足道的关联。对于没有相关功能运行、没有生成输出或输出没有进入决策路径的客户，其应退出人工智能特有的控制环节。一般托管、在事件发生后才收购的产品，或仅传输固定客户规则的组件，都可以支持同样结果。这些事实均不决定其他就业做法是否违法。</w:t>
      </w:r>
    </w:p>
    <w:p>
      <w:pPr>
        <w:pStyle w:val="BodyText"/>
      </w:pPr>
      <w:r>
        <w:rPr>
          <w:rFonts w:hint="eastAsia" w:ascii="Noto Serif CJK SC" w:hAnsi="Noto Serif CJK SC" w:eastAsia="Noto Serif CJK SC" w:cs="Noto Serif CJK SC"/>
          <w:lang w:val="en-US" w:eastAsia="zh-CN"/>
        </w:rPr>
        <w:t xml:space="preserve">只有到这一步以后，针对具体诉讼请求的第二阶段才告开始。差别影响理论可能证明有必要取得按产品、期间、雇主设置、职位类别和人群限定的汇总推荐数据、验证、功能文档及非特权测试。差别待遇理论关注决定输入、人工审查、偏离情况与通信。合理便利理论则关注字段、准入、例外处理及审查。由准据制定法与程序规则选择相应记录。</w:t>
      </w:r>
    </w:p>
    <w:p>
      <w:pPr>
        <w:pStyle w:val="BodyText"/>
      </w:pPr>
      <w:r>
        <w:rPr>
          <w:rFonts w:hint="eastAsia" w:ascii="Noto Serif CJK SC" w:hAnsi="Noto Serif CJK SC" w:eastAsia="Noto Serif CJK SC" w:cs="Noto Serif CJK SC"/>
          <w:lang w:val="en-US" w:eastAsia="zh-CN"/>
        </w:rPr>
        <w:t xml:space="preserve">如果托管与法律控制仍然分散，协调方案将取代串联转介。雇主授权提供指定客户字段；平台针对正确租户和版本运行查询；双方共同核实字段结构；直接身份标识符予以假名化；任何合法的受保护特征关联数据保持隔离；专家则使用安全环境。该方案应当说明每一字段由哪家企业提供，以及由谁证明完整性。它既不转移全部客户数据，也不把物理托管视为《联邦民事诉讼规则》第34条意义上的普遍控制。</w:t>
      </w:r>
    </w:p>
    <w:p>
      <w:pPr>
        <w:pStyle w:val="BodyText"/>
      </w:pPr>
      <w:r>
        <w:rPr>
          <w:rFonts w:hint="eastAsia" w:ascii="Noto Serif CJK SC" w:hAnsi="Noto Serif CJK SC" w:eastAsia="Noto Serif CJK SC" w:cs="Noto Serif CJK SC"/>
          <w:lang w:val="en-US" w:eastAsia="zh-CN"/>
        </w:rPr>
        <w:t xml:space="preserve">因此，申请人从雇主与事件标识符出发。首次答复揭示功能、版本、路径与持有人。联动保全防止所有权与托管形成循环。特权保护法律意见，同时保留最低限度运营记录。安全退出排除没有运行或相关控制的行为人。随后，普通反歧视法、《联邦民事诉讼规则》第34条、第45条及集体或集团诉讼标准规制范围有限的争议。</w:t>
      </w:r>
    </w:p>
    <w:bookmarkEnd w:id="179"/>
    <w:bookmarkStart w:id="183" w:name="a-stable-publicemployment-analogue"/>
    <w:p>
      <w:pPr>
        <w:pStyle w:val="Heading5"/>
      </w:pPr>
      <w:r>
        <w:rPr>
          <w:rFonts w:ascii="Noto Sans CJK SC" w:hAnsi="Noto Sans CJK SC" w:eastAsia="Noto Sans CJK SC" w:cs="Noto Sans CJK SC"/>
          <w:lang w:val="en-US" w:eastAsia="zh-CN"/>
        </w:rPr>
        <w:t xml:space="preserve">5　</w:t>
      </w:r>
      <w:r>
        <w:rPr>
          <w:rFonts w:hint="eastAsia" w:ascii="Noto Sans CJK SC" w:hAnsi="Noto Sans CJK SC" w:eastAsia="Noto Sans CJK SC" w:cs="Noto Sans CJK SC"/>
          <w:lang w:val="en-US" w:eastAsia="zh-CN"/>
        </w:rPr>
        <w:t xml:space="preserve">稳定的公共就业类比</w:t>
      </w:r>
    </w:p>
    <w:p>
      <w:pPr>
        <w:pStyle w:val="FirstParagraph"/>
      </w:pPr>
      <w:r>
        <w:rPr>
          <w:rFonts w:ascii="Noto Serif CJK SC" w:hAnsi="Noto Serif CJK SC" w:eastAsia="Noto Serif CJK SC" w:cs="Noto Serif CJK SC"/>
          <w:i/>
          <w:iCs/>
          <w:lang w:val="en-US" w:eastAsia="zh-CN"/>
        </w:rPr>
        <w:t xml:space="preserve">Houston Federation of Teachers v. Houston Independent School District</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以已经完成的简易判决案卷确认了上述结构性结论。HISD</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取得</w:t>
      </w:r>
      <w:r>
        <w:rPr>
          <w:rFonts w:ascii="Noto Serif CJK SC" w:hAnsi="Noto Serif CJK SC" w:eastAsia="Noto Serif CJK SC" w:cs="Noto Serif CJK SC"/>
          <w:lang w:val="en-US" w:eastAsia="zh-CN"/>
        </w:rPr>
        <w:t xml:space="preserve"> SAS </w:t>
      </w:r>
      <w:r>
        <w:rPr>
          <w:rFonts w:hint="eastAsia" w:ascii="Noto Serif CJK SC" w:hAnsi="Noto Serif CJK SC" w:eastAsia="Noto Serif CJK SC" w:cs="Noto Serif CJK SC"/>
          <w:lang w:val="en-US" w:eastAsia="zh-CN"/>
        </w:rPr>
        <w:t xml:space="preserve">专有</w:t>
      </w:r>
      <w:r>
        <w:rPr>
          <w:rFonts w:ascii="Noto Serif CJK SC" w:hAnsi="Noto Serif CJK SC" w:eastAsia="Noto Serif CJK SC" w:cs="Noto Serif CJK SC"/>
          <w:lang w:val="en-US" w:eastAsia="zh-CN"/>
        </w:rPr>
        <w:t xml:space="preserve"> Educational Value-Added Assessment System </w:t>
      </w:r>
      <w:r>
        <w:rPr>
          <w:rFonts w:hint="eastAsia" w:ascii="Noto Serif CJK SC" w:hAnsi="Noto Serif CJK SC" w:eastAsia="Noto Serif CJK SC" w:cs="Noto Serif CJK SC"/>
          <w:lang w:val="en-US" w:eastAsia="zh-CN"/>
        </w:rPr>
        <w:t xml:space="preserve">的许可，用于教师评价。SAS</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通过未披露的源代码和方法计算分数。HISD</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承认，其没有核实或审计这些计算，教师也无法根据可得信息复现计算。在证据开示和公共记录答复中，学区还主张所请求材料不在其保管、控制或占有范围内。</w:t>
      </w:r>
      <w:r>
        <w:rPr>
          <w:rFonts w:ascii="Noto Serif CJK SC" w:hAnsi="Noto Serif CJK SC" w:eastAsia="Noto Serif CJK SC" w:cs="Noto Serif CJK SC"/>
          <w:rStyle w:val="FootnoteReference"/>
          <w:lang w:val="en-US" w:eastAsia="zh-CN"/>
        </w:rPr>
        <w:footnoteReference w:id="180"/>
      </w:r>
    </w:p>
    <w:p>
      <w:pPr>
        <w:pStyle w:val="BodyText"/>
      </w:pPr>
      <w:r>
        <w:rPr>
          <w:rFonts w:hint="eastAsia" w:ascii="Noto Serif CJK SC" w:hAnsi="Noto Serif CJK SC" w:eastAsia="Noto Serif CJK SC" w:cs="Noto Serif CJK SC"/>
          <w:lang w:val="en-US" w:eastAsia="zh-CN"/>
        </w:rPr>
        <w:t xml:space="preserve">法院就程序性正当程序诉讼请求驳回了</w:t>
      </w:r>
      <w:r>
        <w:rPr>
          <w:rFonts w:ascii="Noto Serif CJK SC" w:hAnsi="Noto Serif CJK SC" w:eastAsia="Noto Serif CJK SC" w:cs="Noto Serif CJK SC"/>
          <w:lang w:val="en-US" w:eastAsia="zh-CN"/>
        </w:rPr>
        <w:t xml:space="preserve"> HISD </w:t>
      </w:r>
      <w:r>
        <w:rPr>
          <w:rFonts w:hint="eastAsia" w:ascii="Noto Serif CJK SC" w:hAnsi="Noto Serif CJK SC" w:eastAsia="Noto Serif CJK SC" w:cs="Noto Serif CJK SC"/>
          <w:lang w:val="en-US" w:eastAsia="zh-CN"/>
        </w:rPr>
        <w:t xml:space="preserve">的简易判决申请，同时就其他宪法理论支持</w:t>
      </w:r>
      <w:r>
        <w:rPr>
          <w:rFonts w:ascii="Noto Serif CJK SC" w:hAnsi="Noto Serif CJK SC" w:eastAsia="Noto Serif CJK SC" w:cs="Noto Serif CJK SC"/>
          <w:lang w:val="en-US" w:eastAsia="zh-CN"/>
        </w:rPr>
        <w:t xml:space="preserve"> HISD </w:t>
      </w:r>
      <w:r>
        <w:rPr>
          <w:rFonts w:hint="eastAsia" w:ascii="Noto Serif CJK SC" w:hAnsi="Noto Serif CJK SC" w:eastAsia="Noto Serif CJK SC" w:cs="Noto Serif CJK SC"/>
          <w:lang w:val="en-US" w:eastAsia="zh-CN"/>
        </w:rPr>
        <w:t xml:space="preserve">的简易判决申请。案卷能够支持这样的结论：教师没有任何有实质意义的方式，核实用于受保护就业决定且可能存在错误的分数。法院没有判令</w:t>
      </w:r>
      <w:r>
        <w:rPr>
          <w:rFonts w:ascii="Noto Serif CJK SC" w:hAnsi="Noto Serif CJK SC" w:eastAsia="Noto Serif CJK SC" w:cs="Noto Serif CJK SC"/>
          <w:lang w:val="en-US" w:eastAsia="zh-CN"/>
        </w:rPr>
        <w:t xml:space="preserve"> SAS </w:t>
      </w:r>
      <w:r>
        <w:rPr>
          <w:rFonts w:hint="eastAsia" w:ascii="Noto Serif CJK SC" w:hAnsi="Noto Serif CJK SC" w:eastAsia="Noto Serif CJK SC" w:cs="Noto Serif CJK SC"/>
          <w:lang w:val="en-US" w:eastAsia="zh-CN"/>
        </w:rPr>
        <w:t xml:space="preserve">承担责任，没有裁判侵权请求，也没有命令公开源代码。其裁定仅保留正当程序诉讼请求进入后续程序，并就其余请求判</w:t>
      </w:r>
      <w:r>
        <w:rPr>
          <w:rFonts w:ascii="Noto Serif CJK SC" w:hAnsi="Noto Serif CJK SC" w:eastAsia="Noto Serif CJK SC" w:cs="Noto Serif CJK SC"/>
          <w:lang w:val="en-US" w:eastAsia="zh-CN"/>
        </w:rPr>
        <w:t xml:space="preserve"> HISD </w:t>
      </w:r>
      <w:r>
        <w:rPr>
          <w:rFonts w:hint="eastAsia" w:ascii="Noto Serif CJK SC" w:hAnsi="Noto Serif CJK SC" w:eastAsia="Noto Serif CJK SC" w:cs="Noto Serif CJK SC"/>
          <w:lang w:val="en-US" w:eastAsia="zh-CN"/>
        </w:rPr>
        <w:t xml:space="preserve">胜诉。</w:t>
      </w:r>
      <w:r>
        <w:rPr>
          <w:rFonts w:ascii="Noto Serif CJK SC" w:hAnsi="Noto Serif CJK SC" w:eastAsia="Noto Serif CJK SC" w:cs="Noto Serif CJK SC"/>
          <w:rStyle w:val="FootnoteReference"/>
          <w:lang w:val="en-US" w:eastAsia="zh-CN"/>
        </w:rPr>
        <w:footnoteReference w:id="181"/>
      </w:r>
    </w:p>
    <w:p>
      <w:pPr>
        <w:pStyle w:val="BodyText"/>
      </w:pPr>
      <w:r>
        <w:rPr>
          <w:rFonts w:hint="eastAsia" w:ascii="Noto Serif CJK SC" w:hAnsi="Noto Serif CJK SC" w:eastAsia="Noto Serif CJK SC" w:cs="Noto Serif CJK SC"/>
          <w:lang w:val="en-US" w:eastAsia="zh-CN"/>
        </w:rPr>
        <w:t xml:space="preserve">法院处理保密与公共义务时，并未将保密或公共义务任何一者绝对化。救济可以在保护供应商商业秘密的同时，限制政府使用无法核实的程序。</w:t>
      </w:r>
      <w:r>
        <w:rPr>
          <w:rFonts w:ascii="Noto Serif CJK SC" w:hAnsi="Noto Serif CJK SC" w:eastAsia="Noto Serif CJK SC" w:cs="Noto Serif CJK SC"/>
          <w:rStyle w:val="FootnoteReference"/>
          <w:lang w:val="en-US" w:eastAsia="zh-CN"/>
        </w:rPr>
        <w:footnoteReference w:id="182"/>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部署责任入口法则提供了前瞻性的补充：在公共雇主采用工具以前，即界定版本、输入、验证、审计及质疑记录；当就业利益受到影响时，分配受保护的信息获取权限。即使供应商保留相关方法，公共机构仍须对其所选择的程序负责。</w:t>
      </w:r>
    </w:p>
    <w:p>
      <w:pPr>
        <w:pStyle w:val="BodyText"/>
      </w:pPr>
      <w:r>
        <w:rPr>
          <w:rFonts w:ascii="Noto Serif CJK SC" w:hAnsi="Noto Serif CJK SC" w:eastAsia="Noto Serif CJK SC" w:cs="Noto Serif CJK SC"/>
          <w:i/>
          <w:iCs/>
          <w:lang w:val="en-US" w:eastAsia="zh-CN"/>
        </w:rPr>
        <w:t xml:space="preserve">Mobley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与</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Houston Federation</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共同说明，分散式应用为何重要。行为人识别问题与部署记录问题可以在同一技术栈中同时出现，但所有权、托管、法律控制、特权与商业秘密分别需要不同答案。首次答复义务会在早期明确这些区别，并使裁判机构能够依据规制特定记录的法律，自由决定命令提供、拒绝提供、采取保护措施或终止诉讼请求。</w:t>
      </w:r>
    </w:p>
    <w:bookmarkEnd w:id="183"/>
    <w:bookmarkEnd w:id="184"/>
    <w:bookmarkEnd w:id="185"/>
    <w:bookmarkStart w:id="214" w:name="the-record-infrastructure"/>
    <w:p>
      <w:pPr>
        <w:pStyle w:val="Heading3"/>
      </w:pPr>
      <w:r>
        <w:rPr>
          <w:rFonts w:hint="eastAsia" w:ascii="Noto Sans CJK SC" w:hAnsi="Noto Sans CJK SC" w:eastAsia="Noto Sans CJK SC" w:cs="Noto Sans CJK SC"/>
          <w:lang w:val="en-US" w:eastAsia="zh-CN"/>
        </w:rPr>
        <w:t xml:space="preserve">四</w:t>
      </w:r>
      <w:r>
        <w:rPr>
          <w:rFonts w:ascii="Noto Sans CJK SC" w:hAnsi="Noto Sans CJK SC" w:eastAsia="Noto Sans CJK SC" w:cs="Noto Sans CJK SC"/>
          <w:lang w:val="en-US" w:eastAsia="zh-CN"/>
        </w:rPr>
        <w:t xml:space="preserve">　</w:t>
      </w:r>
      <w:r>
        <w:rPr>
          <w:rFonts w:hint="eastAsia" w:ascii="Noto Sans CJK SC" w:hAnsi="Noto Sans CJK SC" w:eastAsia="Noto Sans CJK SC" w:cs="Noto Sans CJK SC"/>
          <w:lang w:val="en-US" w:eastAsia="zh-CN"/>
        </w:rPr>
        <w:t xml:space="preserve">记录基础设施</w:t>
      </w:r>
    </w:p>
    <w:p>
      <w:pPr>
        <w:pStyle w:val="FirstParagraph"/>
      </w:pPr>
      <w:r>
        <w:rPr>
          <w:rFonts w:hint="eastAsia" w:ascii="Noto Serif CJK SC" w:hAnsi="Noto Serif CJK SC" w:eastAsia="Noto Serif CJK SC" w:cs="Noto Serif CJK SC"/>
          <w:lang w:val="en-US" w:eastAsia="zh-CN"/>
        </w:rPr>
        <w:t xml:space="preserve">部署责任入口只能披露部署本身已使之可观察的信息。通常的证据开示能够触及当事人持有、保管或控制范围内已存在的材料。</w:t>
      </w:r>
      <w:r>
        <w:rPr>
          <w:rFonts w:ascii="Noto Serif CJK SC" w:hAnsi="Noto Serif CJK SC" w:eastAsia="Noto Serif CJK SC" w:cs="Noto Serif CJK SC"/>
          <w:rStyle w:val="FootnoteReference"/>
          <w:lang w:val="en-US" w:eastAsia="zh-CN"/>
        </w:rPr>
        <w:footnoteReference w:id="186"/>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但它无法重建未被记录的版本、未形成文件的发布决定、未送达任何指定负责人的投诉，也无法补造从未配置给任何人的停止运行权。因此，部署记录义务首先是一项运行基础设施，随后才成为诉讼基础设施。</w:t>
      </w:r>
    </w:p>
    <w:p>
      <w:pPr>
        <w:pStyle w:val="BodyText"/>
      </w:pPr>
      <w:r>
        <w:rPr>
          <w:rFonts w:hint="eastAsia" w:ascii="Noto Serif CJK SC" w:hAnsi="Noto Serif CJK SC" w:eastAsia="Noto Serif CJK SC" w:cs="Noto Serif CJK SC"/>
          <w:lang w:val="en-US" w:eastAsia="zh-CN"/>
        </w:rPr>
        <w:t xml:space="preserve">本部分将这一前提转化为一套可管理的记录。第一节至第三节分别界定控制表、标准接口，以及适用于身份记录、反馈记录和事件记录的不同时间机制。第四节以</w:t>
      </w:r>
      <w:r>
        <w:rPr>
          <w:rFonts w:ascii="Noto Serif CJK SC" w:hAnsi="Noto Serif CJK SC" w:eastAsia="Noto Serif CJK SC" w:cs="Noto Serif CJK SC"/>
          <w:lang w:val="en-US" w:eastAsia="zh-CN"/>
        </w:rPr>
        <w:t xml:space="preserve"> FAA、FTC </w:t>
      </w:r>
      <w:r>
        <w:rPr>
          <w:rFonts w:hint="eastAsia" w:ascii="Noto Serif CJK SC" w:hAnsi="Noto Serif CJK SC" w:eastAsia="Noto Serif CJK SC" w:cs="Noto Serif CJK SC"/>
          <w:lang w:val="en-US" w:eastAsia="zh-CN"/>
        </w:rPr>
        <w:t xml:space="preserve">和</w:t>
      </w:r>
      <w:r>
        <w:rPr>
          <w:rFonts w:ascii="Noto Serif CJK SC" w:hAnsi="Noto Serif CJK SC" w:eastAsia="Noto Serif CJK SC" w:cs="Noto Serif CJK SC"/>
          <w:lang w:val="en-US" w:eastAsia="zh-CN"/>
        </w:rPr>
        <w:t xml:space="preserve"> FCRA </w:t>
      </w:r>
      <w:r>
        <w:rPr>
          <w:rFonts w:hint="eastAsia" w:ascii="Noto Serif CJK SC" w:hAnsi="Noto Serif CJK SC" w:eastAsia="Noto Serif CJK SC" w:cs="Noto Serif CJK SC"/>
          <w:lang w:val="en-US" w:eastAsia="zh-CN"/>
        </w:rPr>
        <w:t xml:space="preserve">为参照，检验该方案的可行性。第五节回应记录保存可能异化为监控或组织表演的风险。第六节保护维持记录准确性所必需的报告活动，第七节则说明同一基础设施为何既能支持请求权，也能支持抗辩。</w:t>
      </w:r>
    </w:p>
    <w:bookmarkStart w:id="188" w:name="X96e6df3ce2b0fe9ae370cd78843786deb0393c7"/>
    <w:p>
      <w:pPr>
        <w:pStyle w:val="Heading4"/>
      </w:pPr>
      <w:r>
        <w:rPr>
          <w:rFonts w:hint="eastAsia" w:ascii="Noto Sans CJK SC" w:hAnsi="Noto Sans CJK SC" w:eastAsia="Noto Sans CJK SC" w:cs="Noto Sans CJK SC"/>
          <w:lang w:val="en-US" w:eastAsia="zh-CN"/>
        </w:rPr>
        <w:t xml:space="preserve">（一）责任章程是部署记录的控制表</w:t>
      </w:r>
    </w:p>
    <w:p>
      <w:pPr>
        <w:pStyle w:val="FirstParagraph"/>
      </w:pPr>
      <w:r>
        <w:rPr>
          <w:rFonts w:hint="eastAsia" w:ascii="Noto Serif CJK SC" w:hAnsi="Noto Serif CJK SC" w:eastAsia="Noto Serif CJK SC" w:cs="Noto Serif CJK SC"/>
          <w:lang w:val="en-US" w:eastAsia="zh-CN"/>
        </w:rPr>
        <w:t xml:space="preserve">对于被指定的高影响部署，运营者应当在发布前制定书面责任章程。该名称可能令人联想到宽泛的伦理准则，但其在本文中的法律功能更为狭窄。它是针对具名部署、版本系列、运行场景和风险类别的控制表，将技术标识符与组织权限相连接，并确定持续性记录的保存位置。</w:t>
      </w:r>
    </w:p>
    <w:p>
      <w:pPr>
        <w:pStyle w:val="TableCaption"/>
        <w:keepNext/>
      </w:pPr>
      <w:r>
        <w:rPr>
          <w:rFonts w:hint="eastAsia" w:ascii="Noto Serif CJK SC" w:hAnsi="Noto Serif CJK SC" w:eastAsia="Noto Serif CJK SC" w:cs="Noto Serif CJK SC"/>
          <w:lang w:val="en-US" w:eastAsia="zh-CN"/>
        </w:rPr>
        <w:t xml:space="preserve">表</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4：最低限度的部署记录基础设施</w:t>
      </w:r>
    </w:p>
    <w:tbl>
      <w:tblPr>
        <w:tblStyle w:val="Table"/>
        <w:tblW w:type="dxa" w:w="7920"/>
        <w:tblLayout w:type="fixed"/>
        <w:tblLook w:firstRow="1" w:lastRow="0" w:firstColumn="0" w:lastColumn="0" w:noHBand="0" w:noVBand="0" w:val="0020"/>
        <w:tblCaption w:val="表 4：最低限度的部署记录基础设施"/>
        <w:tblInd w:type="dxa" w:w="0"/>
        <w:jc w:val="left"/>
      </w:tblPr>
      <w:tblGrid>
        <w:gridCol w:w="2640"/>
        <w:gridCol w:w="2640"/>
        <w:gridCol w:w="2640"/>
      </w:tblGrid>
      <w:tr>
        <w:trPr>
          <w:tblHeader w:val="on"/>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构成要素</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必要配置</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部署责任入口功能</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身份与范围</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应用和模型版本；目的；受影响人群；数据；检索；工具；凭证；供应商；限制；实质性变更阈值。</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界定部署，并区分不同版本、组件变更和独立修改。</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风险与发布负责人</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为每项指定风险配置负责高管和运行负责人；批准人；权限与资源；附加条件和复审日期。</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明确由谁接收信息，以及谁能够启动风险缓释措施或拒绝发布。</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评估与决策记录</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评估方案、对象群体、阈值、结果、例外、被否决或附条件采纳的缓释措施，以及尚未解决的风险决定。</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记录授权依据，并同时提供有关知悉情况和行为合理性的证据。</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反馈与逐级上报</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投诉和事件类别；监测；受保护的逐级上报；接收人；答复期限；决定和纠正措施。</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保全通知证据，区分报告与回应，并使持续性控制可被观察。</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干预</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有权限制运行、撤销凭证、更新、暂停、回滚或终止系统的主体；触发条件、响应时限和经过测试的程序。</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确立实际权限，并表明拟议干预措施在相关时点是否可供采用。</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溯源与留存</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版本沿革；实质性配置变更；事件标识符；记录保管人；第三方保存位置；留存和法律保全程序。</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支持识别、鉴真、保全、符合比例原则的提供以及安全退出。</w:t>
            </w:r>
          </w:p>
        </w:tc>
      </w:tr>
      <w:tr>
        <w:trPr>
          <w:cantSplit/>
        </w:trPr>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外部权利保留条款</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声明内部责任分配和合同标签不构成对受影响者权利的放弃，也不决定最终责任。</w:t>
            </w:r>
          </w:p>
        </w:tc>
        <w:tc>
          <w:tcPr>
            <w:tcW w:type="dxa" w:w="2640"/>
            <w:vAlign w:val="center"/>
          </w:tcPr>
          <w:p>
            <w:pPr>
              <w:pStyle w:val="Compact"/>
              <w:jc w:val="left"/>
            </w:pPr>
            <w:r>
              <w:rPr>
                <w:rFonts w:hint="eastAsia" w:ascii="Noto Serif CJK SC" w:hAnsi="Noto Serif CJK SC" w:eastAsia="Noto Serif CJK SC" w:cs="Noto Serif CJK SC"/>
                <w:lang w:val="en-US" w:eastAsia="zh-CN"/>
              </w:rPr>
              <w:t xml:space="preserve">防止该记录成为私主体之间的免责协议。</w:t>
            </w:r>
          </w:p>
        </w:tc>
      </w:tr>
    </w:tbl>
    <w:p>
      <w:pPr>
        <w:pStyle w:val="BodyText"/>
      </w:pPr>
      <w:r>
        <w:rPr>
          <w:rFonts w:hint="eastAsia" w:ascii="Noto Serif CJK SC" w:hAnsi="Noto Serif CJK SC" w:eastAsia="Noto Serif CJK SC" w:cs="Noto Serif CJK SC"/>
          <w:lang w:val="en-US" w:eastAsia="zh-CN"/>
        </w:rPr>
        <w:t xml:space="preserve">记录既应标明姓名，也应标明角色与机构职位。人员会发生变动，制定法上的责任不应因人员更替而中断。部署</w:t>
      </w:r>
      <w:r>
        <w:rPr>
          <w:rFonts w:ascii="Noto Serif CJK SC" w:hAnsi="Noto Serif CJK SC" w:eastAsia="Noto Serif CJK SC" w:cs="Noto Serif CJK SC"/>
          <w:lang w:val="en-US" w:eastAsia="zh-CN"/>
        </w:rPr>
        <w:t xml:space="preserve"> ID </w:t>
      </w:r>
      <w:r>
        <w:rPr>
          <w:rFonts w:hint="eastAsia" w:ascii="Noto Serif CJK SC" w:hAnsi="Noto Serif CJK SC" w:eastAsia="Noto Serif CJK SC" w:cs="Noto Serif CJK SC"/>
          <w:lang w:val="en-US" w:eastAsia="zh-CN"/>
        </w:rPr>
        <w:t xml:space="preserve">将经批准的控制表与实际运行的配置相连接，带有版本信息的修订记录则记载实质性变更。如此，运营者收到部署责任入口通知后，便可调取一套界定明确的记录，而无须在事件发生后重新拼凑组织沿革。</w:t>
      </w:r>
    </w:p>
    <w:p>
      <w:pPr>
        <w:pStyle w:val="BodyText"/>
      </w:pPr>
      <w:r>
        <w:rPr>
          <w:rFonts w:hint="eastAsia" w:ascii="Noto Serif CJK SC" w:hAnsi="Noto Serif CJK SC" w:eastAsia="Noto Serif CJK SC" w:cs="Noto Serif CJK SC"/>
          <w:lang w:val="en-US" w:eastAsia="zh-CN"/>
        </w:rPr>
        <w:t xml:space="preserve">对于学习型系统和复合系统，实质性变更阈值尤其重要。模型更新可能在应用版本不变的情况下改变系统能力。新的检索来源、记忆设置、工具凭证、排序阈值、用户群体或下游目的，也可能在模型权重不变的情况下改变风险。责任章程应明确哪些变更须重新评估或批准，哪些只需记入负担较轻的变更日志。提供者和运营者可以使用不同的内部系统，只要部署记录能够依据版本、时间和控制环节将两者连接起来即可。</w:t>
      </w:r>
    </w:p>
    <w:p>
      <w:pPr>
        <w:pStyle w:val="BodyText"/>
      </w:pPr>
      <w:r>
        <w:rPr>
          <w:rFonts w:hint="eastAsia" w:ascii="Noto Serif CJK SC" w:hAnsi="Noto Serif CJK SC" w:eastAsia="Noto Serif CJK SC" w:cs="Noto Serif CJK SC"/>
          <w:lang w:val="en-US" w:eastAsia="zh-CN"/>
        </w:rPr>
        <w:t xml:space="preserve">持有一份填写完整的表格，只能构成证明的起点。部署责任入口项下的记录提供还须查明：被指定接收信号的人员是否拥有实际权限和资源，报告是否送达该人员，干预程序能否正常运作，以及实质性变更是否触发了复审。除非实定法赋予合规行为其他法律效果，完整记录所提供的是行为证据，而非终局性的抗辩。</w:t>
      </w:r>
      <w:r>
        <w:rPr>
          <w:rFonts w:ascii="Noto Serif CJK SC" w:hAnsi="Noto Serif CJK SC" w:eastAsia="Noto Serif CJK SC" w:cs="Noto Serif CJK SC"/>
          <w:rStyle w:val="FootnoteReference"/>
          <w:lang w:val="en-US" w:eastAsia="zh-CN"/>
        </w:rPr>
        <w:footnoteReference w:id="187"/>
      </w:r>
    </w:p>
    <w:bookmarkEnd w:id="188"/>
    <w:bookmarkStart w:id="190" w:name="the-record-has-a-standard-interface"/>
    <w:p>
      <w:pPr>
        <w:pStyle w:val="Heading4"/>
      </w:pPr>
      <w:r>
        <w:rPr>
          <w:rFonts w:hint="eastAsia" w:ascii="Noto Sans CJK SC" w:hAnsi="Noto Sans CJK SC" w:eastAsia="Noto Sans CJK SC" w:cs="Noto Sans CJK SC"/>
          <w:lang w:val="en-US" w:eastAsia="zh-CN"/>
        </w:rPr>
        <w:t xml:space="preserve">（二）记录具有标准接口</w:t>
      </w:r>
    </w:p>
    <w:p>
      <w:pPr>
        <w:pStyle w:val="FirstParagraph"/>
      </w:pPr>
      <w:r>
        <w:rPr>
          <w:rFonts w:hint="eastAsia" w:ascii="Noto Serif CJK SC" w:hAnsi="Noto Serif CJK SC" w:eastAsia="Noto Serif CJK SC" w:cs="Noto Serif CJK SC"/>
          <w:lang w:val="en-US" w:eastAsia="zh-CN"/>
        </w:rPr>
        <w:t xml:space="preserve">最低限度记录应作为贯穿整个部署的信息层发挥作用，而不应要求将所有底层材料集中保存。对外可见的运营者保存一份封闭式清单，其中包括：部署</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ID；所涵盖的目的和人群；应用与模型版本；实质性组件及供应商；记录保管人；风险与发布负责人；相关合同权利；以及用于重大行动的事件字段结构。每一控制持有人保存分配给其所在控制环节的更深层材料。当收到通知或监管机关要求时，稳定的标识符将清单与这些材料连接起来。</w:t>
      </w:r>
    </w:p>
    <w:p>
      <w:pPr>
        <w:pStyle w:val="BodyText"/>
      </w:pPr>
      <w:r>
        <w:rPr>
          <w:rFonts w:hint="eastAsia" w:ascii="Noto Serif CJK SC" w:hAnsi="Noto Serif CJK SC" w:eastAsia="Noto Serif CJK SC" w:cs="Noto Serif CJK SC"/>
          <w:lang w:val="en-US" w:eastAsia="zh-CN"/>
        </w:rPr>
        <w:t xml:space="preserve">三类标识符承担了大部分工作。</w:t>
      </w:r>
      <w:r>
        <w:rPr>
          <w:rFonts w:hint="eastAsia" w:ascii="Noto Serif CJK SC" w:hAnsi="Noto Serif CJK SC" w:eastAsia="Noto Serif CJK SC" w:cs="Noto Serif CJK SC"/>
          <w:i/>
          <w:iCs/>
          <w:lang w:val="en-US" w:eastAsia="zh-CN"/>
        </w:rPr>
        <w:t xml:space="preserve">部署标识符</w:t>
      </w:r>
      <w:r>
        <w:rPr>
          <w:rFonts w:hint="eastAsia" w:ascii="Noto Serif CJK SC" w:hAnsi="Noto Serif CJK SC" w:eastAsia="Noto Serif CJK SC" w:cs="Noto Serif CJK SC"/>
          <w:lang w:val="en-US" w:eastAsia="zh-CN"/>
        </w:rPr>
        <w:t xml:space="preserve">将受规制用途与同一模型在其他场景中的用途区分开来。</w:t>
      </w:r>
      <w:r>
        <w:rPr>
          <w:rFonts w:hint="eastAsia" w:ascii="Noto Serif CJK SC" w:hAnsi="Noto Serif CJK SC" w:eastAsia="Noto Serif CJK SC" w:cs="Noto Serif CJK SC"/>
          <w:i/>
          <w:iCs/>
          <w:lang w:val="en-US" w:eastAsia="zh-CN"/>
        </w:rPr>
        <w:t xml:space="preserve">组件版本标识符</w:t>
      </w:r>
      <w:r>
        <w:rPr>
          <w:rFonts w:hint="eastAsia" w:ascii="Noto Serif CJK SC" w:hAnsi="Noto Serif CJK SC" w:eastAsia="Noto Serif CJK SC" w:cs="Noto Serif CJK SC"/>
          <w:lang w:val="en-US" w:eastAsia="zh-CN"/>
        </w:rPr>
        <w:t xml:space="preserve">把模型、应用、检索、工具、政策和配置的变更与特定时间区间相连接。</w:t>
      </w:r>
      <w:r>
        <w:rPr>
          <w:rFonts w:hint="eastAsia" w:ascii="Noto Serif CJK SC" w:hAnsi="Noto Serif CJK SC" w:eastAsia="Noto Serif CJK SC" w:cs="Noto Serif CJK SC"/>
          <w:i/>
          <w:iCs/>
          <w:lang w:val="en-US" w:eastAsia="zh-CN"/>
        </w:rPr>
        <w:t xml:space="preserve">事件标识符</w:t>
      </w:r>
      <w:r>
        <w:rPr>
          <w:rFonts w:hint="eastAsia" w:ascii="Noto Serif CJK SC" w:hAnsi="Noto Serif CJK SC" w:eastAsia="Noto Serif CJK SC" w:cs="Noto Serif CJK SC"/>
          <w:lang w:val="en-US" w:eastAsia="zh-CN"/>
        </w:rPr>
        <w:t xml:space="preserve">则把受影响者或重大决定与当时支配该事件的版本和记录相连接。事件标识符可以采用假名，并另行与个人数据建立关联。这样，系统便能检索相关的数据切片，而无须暴露无关用户的信息，也无须让后续调查者仅凭时间戳推断版本沿革。</w:t>
      </w:r>
    </w:p>
    <w:p>
      <w:pPr>
        <w:pStyle w:val="BodyText"/>
      </w:pPr>
      <w:r>
        <w:rPr>
          <w:rFonts w:hint="eastAsia" w:ascii="Noto Serif CJK SC" w:hAnsi="Noto Serif CJK SC" w:eastAsia="Noto Serif CJK SC" w:cs="Noto Serif CJK SC"/>
          <w:lang w:val="en-US" w:eastAsia="zh-CN"/>
        </w:rPr>
        <w:t xml:space="preserve">该接口应使用特定行业的数据字典。否则，“模型版本”可能指营销名称、权重快照、API</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别名、应用发布版本、政策包或客户配置。指定规则应界定重现具有法律相关性的身份所需字段，包括：供应商标识符；不可变或以其他方式可审计的版本引用；启用期间；配置负责人；实质性变更；下游集成；输出类型；以及保管人。企业可以保留自身的工程数据格式，但首次答复应将该格式转换为规定字段，并标明各字段来自哪个源系统。</w:t>
      </w:r>
    </w:p>
    <w:p>
      <w:pPr>
        <w:pStyle w:val="BodyText"/>
      </w:pPr>
      <w:r>
        <w:rPr>
          <w:rFonts w:hint="eastAsia" w:ascii="Noto Serif CJK SC" w:hAnsi="Noto Serif CJK SC" w:eastAsia="Noto Serif CJK SC" w:cs="Noto Serif CJK SC"/>
          <w:lang w:val="en-US" w:eastAsia="zh-CN"/>
        </w:rPr>
        <w:t xml:space="preserve">完整性有赖于版本沿革，而非一份能够自我证明的合规证书。清单应记录其制作人和批准人、制作日期、后续修订，以及支持每一记载的源记录。在适当情况下，自动化日志可以使用哈希、签名或仅允许追加的控制机制；技术程度较低的行业则可采用通常的版本控制和证明方式。其法律功能相同：保留一条从实际事件通向相关记录、可供争议和检验的轨迹，而非终局性地证明每项列明的控制措施均按设计运行。</w:t>
      </w:r>
    </w:p>
    <w:p>
      <w:pPr>
        <w:pStyle w:val="BodyText"/>
      </w:pPr>
      <w:r>
        <w:rPr>
          <w:rFonts w:hint="eastAsia" w:ascii="Noto Serif CJK SC" w:hAnsi="Noto Serif CJK SC" w:eastAsia="Noto Serif CJK SC" w:cs="Noto Serif CJK SC"/>
          <w:lang w:val="en-US" w:eastAsia="zh-CN"/>
        </w:rPr>
        <w:t xml:space="preserve">供应商合同负责落实该接口。受规制的运营者应获得当前组件和版本标识符、实质性变更通知、事件解析方法、响应联系人，以及在提出要求时调取最低限度供应商字段的权利。供应商则应获得运营者的部署标识符、指定用途、配置后适用的人群、客户作出的实质性设置，以及保全联系人。在规定的留存期内，收购、转包、模型替换和服务终止均应附带继受义务与数据导出义务。这些条款能够在部署后企业边界与技术边界发生变化时，确保记录仍可调取。近期关于人工智能采购记录的研究得出了高度相近的判断：合同可以将证据、运行控制、经济风险与公共问责分别配置。</w:t>
      </w:r>
      <w:r>
        <w:rPr>
          <w:rFonts w:ascii="Noto Serif CJK SC" w:hAnsi="Noto Serif CJK SC" w:eastAsia="Noto Serif CJK SC" w:cs="Noto Serif CJK SC"/>
          <w:rStyle w:val="FootnoteReference"/>
          <w:lang w:val="en-US" w:eastAsia="zh-CN"/>
        </w:rPr>
        <w:footnoteReference w:id="189"/>
      </w:r>
    </w:p>
    <w:p>
      <w:pPr>
        <w:pStyle w:val="BodyText"/>
      </w:pPr>
      <w:r>
        <w:rPr>
          <w:rFonts w:hint="eastAsia" w:ascii="Noto Serif CJK SC" w:hAnsi="Noto Serif CJK SC" w:eastAsia="Noto Serif CJK SC" w:cs="Noto Serif CJK SC"/>
          <w:lang w:val="en-US" w:eastAsia="zh-CN"/>
        </w:rPr>
        <w:t xml:space="preserve">该架构通过将日常清单字段与特定事件发生后的调取工作分开，控制制度成本。发布系统和资产管理系统可以提供版本与供应商身份；交易系统、决策系统和事件系统可以提供事件字段。更深层的评估材料、投诉材料和源材料仍由各自保管人保存，除非针对特定风险的请求足以证明访问这些材料具有正当性。标准化使成本转向一次性设计和按标识符调取，避免在每一争议中反复开展取证式重建。</w:t>
      </w:r>
    </w:p>
    <w:p>
      <w:pPr>
        <w:pStyle w:val="BodyText"/>
      </w:pPr>
      <w:r>
        <w:rPr>
          <w:rFonts w:hint="eastAsia" w:ascii="Noto Serif CJK SC" w:hAnsi="Noto Serif CJK SC" w:eastAsia="Noto Serif CJK SC" w:cs="Noto Serif CJK SC"/>
          <w:lang w:val="en-US" w:eastAsia="zh-CN"/>
        </w:rPr>
        <w:t xml:space="preserve">质量保证同样可以受到明确限制。运营者定期将实际运行的部署与清单核对，测试事件标识符能否解析至适用版本，确认供应商联系人和调取权仍然有效，并记录例外情况。监管机关可以对样本进行审计，而无须取得每一事件。检查所要回答的是部署责任入口能否在需要时开启：运营者能否识别实际运行的系统、找到记录持有人、保全相关数据切片并启用调取路径？</w:t>
      </w:r>
    </w:p>
    <w:bookmarkEnd w:id="190"/>
    <w:bookmarkStart w:id="191" w:name="X20f93bd622b219086ee0900f04dbdb471b336f6"/>
    <w:p>
      <w:pPr>
        <w:pStyle w:val="Heading4"/>
      </w:pPr>
      <w:r>
        <w:rPr>
          <w:rFonts w:hint="eastAsia" w:ascii="Noto Sans CJK SC" w:hAnsi="Noto Sans CJK SC" w:eastAsia="Noto Sans CJK SC" w:cs="Noto Sans CJK SC"/>
          <w:lang w:val="en-US" w:eastAsia="zh-CN"/>
        </w:rPr>
        <w:t xml:space="preserve">（三）身份记录、反馈记录与事件记录适用不同的时间机制</w:t>
      </w:r>
    </w:p>
    <w:p>
      <w:pPr>
        <w:pStyle w:val="FirstParagraph"/>
      </w:pPr>
      <w:r>
        <w:rPr>
          <w:rFonts w:hint="eastAsia" w:ascii="Noto Serif CJK SC" w:hAnsi="Noto Serif CJK SC" w:eastAsia="Noto Serif CJK SC" w:cs="Noto Serif CJK SC"/>
          <w:lang w:val="en-US" w:eastAsia="zh-CN"/>
        </w:rPr>
        <w:t xml:space="preserve">一套可用的基础设施包含三类相互连接的记录。</w:t>
      </w:r>
    </w:p>
    <w:p>
      <w:pPr>
        <w:pStyle w:val="BodyText"/>
      </w:pPr>
      <w:r>
        <w:rPr>
          <w:rFonts w:hint="eastAsia" w:ascii="Noto Serif CJK SC" w:hAnsi="Noto Serif CJK SC" w:eastAsia="Noto Serif CJK SC" w:cs="Noto Serif CJK SC"/>
          <w:i/>
          <w:iCs/>
          <w:lang w:val="en-US" w:eastAsia="zh-CN"/>
        </w:rPr>
        <w:t xml:space="preserve">身份记录</w:t>
      </w:r>
      <w:r>
        <w:rPr>
          <w:rFonts w:hint="eastAsia" w:ascii="Noto Serif CJK SC" w:hAnsi="Noto Serif CJK SC" w:eastAsia="Noto Serif CJK SC" w:cs="Noto Serif CJK SC"/>
          <w:lang w:val="en-US" w:eastAsia="zh-CN"/>
        </w:rPr>
        <w:t xml:space="preserve">随部署的变更而变更。其内容包括带有版本信息的架构、目的、人群、组件供应商、实质性配置、数据与工具接口、负责人以及干预权。其留存期应覆盖涉及该部署的请求权通常可能产生的期间；对于未成年人、潜伏性人身伤害或持续性公共给付，则应按照行业特点延长留存期。</w:t>
      </w:r>
    </w:p>
    <w:p>
      <w:pPr>
        <w:pStyle w:val="BodyText"/>
      </w:pPr>
      <w:r>
        <w:rPr>
          <w:rFonts w:hint="eastAsia" w:ascii="Noto Serif CJK SC" w:hAnsi="Noto Serif CJK SC" w:eastAsia="Noto Serif CJK SC" w:cs="Noto Serif CJK SC"/>
          <w:i/>
          <w:iCs/>
          <w:lang w:val="en-US" w:eastAsia="zh-CN"/>
        </w:rPr>
        <w:t xml:space="preserve">反馈记录</w:t>
      </w:r>
      <w:r>
        <w:rPr>
          <w:rFonts w:hint="eastAsia" w:ascii="Noto Serif CJK SC" w:hAnsi="Noto Serif CJK SC" w:eastAsia="Noto Serif CJK SC" w:cs="Noto Serif CJK SC"/>
          <w:lang w:val="en-US" w:eastAsia="zh-CN"/>
        </w:rPr>
        <w:t xml:space="preserve">在运行过程中持续累积。其内容包括规定范围内的投诉、评估、事件分类、监测信号、逐级上报、决定和纠正措施。指定规则应明确哪些事件须单独留存、哪些可以汇总，以及哪些内容应予最小化处理。服务提供者可以记录危机检测器曾被触发、当时适用的政策与版本以及此后采取的干预措施，而无须无限期保存每一段与事件无关的私密对话。</w:t>
      </w:r>
    </w:p>
    <w:p>
      <w:pPr>
        <w:pStyle w:val="BodyText"/>
      </w:pPr>
      <w:r>
        <w:rPr>
          <w:rFonts w:hint="eastAsia" w:ascii="Noto Serif CJK SC" w:hAnsi="Noto Serif CJK SC" w:eastAsia="Noto Serif CJK SC" w:cs="Noto Serif CJK SC"/>
          <w:i/>
          <w:iCs/>
          <w:lang w:val="en-US" w:eastAsia="zh-CN"/>
        </w:rPr>
        <w:t xml:space="preserve">事件记录</w:t>
      </w:r>
      <w:r>
        <w:rPr>
          <w:rFonts w:hint="eastAsia" w:ascii="Noto Serif CJK SC" w:hAnsi="Noto Serif CJK SC" w:eastAsia="Noto Serif CJK SC" w:cs="Noto Serif CJK SC"/>
          <w:lang w:val="en-US" w:eastAsia="zh-CN"/>
        </w:rPr>
        <w:t xml:space="preserve">在发生重大行动或已识别事件时，冻结范围有限的数据切片。在就业场景中，该记录可以包括申请材料、输入字段、模型与配置版本、评分或建议、阈值、下游人工行动、通知和复核。在公共给付场景中，该记录可以包括评估数据、计算版本、输出、适用政策、说明、申诉和纠正。在陪伴型部署中，该记录可以包括账户及年龄状态、相关互动时段、适用的关系型政策与危机政策、检测结果、干预、警示和账户限制。事件记录将因果序列固定下来，同时使无关人员和无关期间处于提供范围之外。</w:t>
      </w:r>
    </w:p>
    <w:p>
      <w:pPr>
        <w:pStyle w:val="BodyText"/>
      </w:pPr>
      <w:r>
        <w:rPr>
          <w:rFonts w:hint="eastAsia" w:ascii="Noto Serif CJK SC" w:hAnsi="Noto Serif CJK SC" w:eastAsia="Noto Serif CJK SC" w:cs="Noto Serif CJK SC"/>
          <w:lang w:val="en-US" w:eastAsia="zh-CN"/>
        </w:rPr>
        <w:t xml:space="preserve">这些时间机制能够同时改善隐私保护和记录准确性。要求留存所有互动的笼统命令容易导致过度收集。部署</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ID、事件字段结构和实质性变更日志可以保全识别相关时段所需的事实。行业立法者由此可以根据受保护利益选择适当的期间和最小化规则，而非默认采用永久监控。</w:t>
      </w:r>
    </w:p>
    <w:p>
      <w:pPr>
        <w:pStyle w:val="BodyText"/>
      </w:pPr>
      <w:r>
        <w:rPr>
          <w:rFonts w:hint="eastAsia" w:ascii="Noto Serif CJK SC" w:hAnsi="Noto Serif CJK SC" w:eastAsia="Noto Serif CJK SC" w:cs="Noto Serif CJK SC"/>
          <w:lang w:val="en-US" w:eastAsia="zh-CN"/>
        </w:rPr>
        <w:t xml:space="preserve">留存期应当与相关利益在法律上和事实上的存续期间相适应。就业和信用记录可以参照适用于指定决定的诉讼时效期间和行政申诉期间，并规定通知发出后的延长期。公共给付事件的记录可能需要持续保存至复议、申诉和司法审查期间届满。对于临床部署，如果伤害可能延后显现，则身份记录和验证沿革可能需要保留更长时间，同时仍应依照健康信息规则尽量减少原始患者内容。涉及未成年人的关系型服务可以在更长的受保护期间保存危机与干预事件，而不必保留每一段普通对话。指定规则应明确时钟、触发条件和合法删除规则，而非要求运营者自行揣测一项笼统的“人工智能数据”保存命令。</w:t>
      </w:r>
    </w:p>
    <w:p>
      <w:pPr>
        <w:pStyle w:val="BodyText"/>
      </w:pPr>
      <w:r>
        <w:rPr>
          <w:rFonts w:hint="eastAsia" w:ascii="Noto Serif CJK SC" w:hAnsi="Noto Serif CJK SC" w:eastAsia="Noto Serif CJK SC" w:cs="Noto Serif CJK SC"/>
          <w:lang w:val="en-US" w:eastAsia="zh-CN"/>
        </w:rPr>
        <w:t xml:space="preserve">不同的时间机制还可以防止后续变更覆盖历史状态。当前的模型卡无法证明早先事件适用何种规则；当前合同无法证明收购前由谁控制调取；修订后的政策无法表明早先用户看到的是哪一版警示。身份记录冻结每一实质性时间区间；事件记录指向相应区间；反馈记录则表明组织在不同区间之间获知了什么，又作出了何种改变。该结构使系统演变不再构成障碍，而成为可审计的序列。</w:t>
      </w:r>
    </w:p>
    <w:p>
      <w:pPr>
        <w:pStyle w:val="BodyText"/>
      </w:pPr>
      <w:r>
        <w:rPr>
          <w:rFonts w:hint="eastAsia" w:ascii="Noto Serif CJK SC" w:hAnsi="Noto Serif CJK SC" w:eastAsia="Noto Serif CJK SC" w:cs="Noto Serif CJK SC"/>
          <w:lang w:val="en-US" w:eastAsia="zh-CN"/>
        </w:rPr>
        <w:t xml:space="preserve">记录还应明确法律保全的责任主体。第二部分所述经核验通知将指明事件、期间、用户或决定以及风险。运营者发出的保全指令覆盖与之匹配的身份记录、反馈记录和事件记录，并为已识别的控制持有人提供共同的引用标识。如某项记录已不存在，答复应说明删除规则、删除日期、保管人以及可能的替代材料。法院由此可以区分正常到期删除、过失性不合规和故意隐瞒。</w:t>
      </w:r>
    </w:p>
    <w:bookmarkEnd w:id="191"/>
    <w:bookmarkStart w:id="206" w:name="X3bf8f79bbc4024447d2fb1025eff4c0b5e2ceca"/>
    <w:p>
      <w:pPr>
        <w:pStyle w:val="Heading4"/>
      </w:pPr>
      <w:r>
        <w:rPr>
          <w:rFonts w:hint="eastAsia" w:ascii="Noto Sans CJK SC" w:hAnsi="Noto Sans CJK SC" w:eastAsia="Noto Sans CJK SC" w:cs="Noto Sans CJK SC"/>
          <w:lang w:val="en-US" w:eastAsia="zh-CN"/>
        </w:rPr>
        <w:t xml:space="preserve">（四）现有制度证明该方案具有可管理性</w:t>
      </w:r>
    </w:p>
    <w:p>
      <w:pPr>
        <w:pStyle w:val="FirstParagraph"/>
      </w:pPr>
      <w:r>
        <w:rPr>
          <w:rFonts w:hint="eastAsia" w:ascii="Noto Serif CJK SC" w:hAnsi="Noto Serif CJK SC" w:eastAsia="Noto Serif CJK SC" w:cs="Noto Serif CJK SC"/>
          <w:lang w:val="en-US" w:eastAsia="zh-CN"/>
        </w:rPr>
        <w:t xml:space="preserve">本方案借鉴的是实施形式，而非责任结论。以下三种制度分别发挥不同的参照作用：组织记录的形成、由监管机关界定的信息要求，以及从对外可见的决策者通向上游档案持有人的私主体路径。</w:t>
      </w:r>
    </w:p>
    <w:bookmarkStart w:id="195" w:name="faa-safety-management-systems"/>
    <w:p>
      <w:pPr>
        <w:pStyle w:val="Heading5"/>
      </w:pPr>
      <w:r>
        <w:rPr>
          <w:rFonts w:ascii="Noto Sans CJK SC" w:hAnsi="Noto Sans CJK SC" w:eastAsia="Noto Sans CJK SC" w:cs="Noto Sans CJK SC"/>
          <w:lang w:val="en-US" w:eastAsia="zh-CN"/>
        </w:rPr>
        <w:t xml:space="preserve">1　</w:t>
      </w:r>
      <w:r>
        <w:rPr>
          <w:rFonts w:hint="eastAsia" w:ascii="Noto Sans CJK SC" w:hAnsi="Noto Sans CJK SC" w:eastAsia="Noto Sans CJK SC" w:cs="Noto Sans CJK SC"/>
          <w:lang w:val="en-US" w:eastAsia="zh-CN"/>
        </w:rPr>
        <w:t xml:space="preserve">美国联邦航空管理局（FAA）安全管理体系</w:t>
      </w:r>
    </w:p>
    <w:p>
      <w:pPr>
        <w:pStyle w:val="FirstParagraph"/>
      </w:pPr>
      <w:r>
        <w:rPr>
          <w:rFonts w:ascii="Noto Serif CJK SC" w:hAnsi="Noto Serif CJK SC" w:eastAsia="Noto Serif CJK SC" w:cs="Noto Serif CJK SC"/>
          <w:lang w:val="en-US" w:eastAsia="zh-CN"/>
        </w:rPr>
        <w:t xml:space="preserve">FAA Part 5 </w:t>
      </w:r>
      <w:r>
        <w:rPr>
          <w:rFonts w:hint="eastAsia" w:ascii="Noto Serif CJK SC" w:hAnsi="Noto Serif CJK SC" w:eastAsia="Noto Serif CJK SC" w:cs="Noto Serif CJK SC"/>
          <w:lang w:val="en-US" w:eastAsia="zh-CN"/>
        </w:rPr>
        <w:t xml:space="preserve">要求受规制的航空组织依照适用时间表，建立并维持覆盖整个组织的安全管理体系。相关规则指定一名负责高管，要求管理层具备接受安全风险的权限，规定危险识别与风险控制，要求开展安全保证和纠正行动，并保存记录。对于特定组织，该体系还包括不必担心遭到报复的员工保密报告机制。</w:t>
      </w:r>
      <w:r>
        <w:rPr>
          <w:rFonts w:ascii="Noto Serif CJK SC" w:hAnsi="Noto Serif CJK SC" w:eastAsia="Noto Serif CJK SC" w:cs="Noto Serif CJK SC"/>
          <w:rStyle w:val="FootnoteReference"/>
          <w:lang w:val="en-US" w:eastAsia="zh-CN"/>
        </w:rPr>
        <w:footnoteReference w:id="192"/>
      </w:r>
    </w:p>
    <w:p>
      <w:pPr>
        <w:pStyle w:val="BodyText"/>
      </w:pPr>
      <w:r>
        <w:rPr>
          <w:rFonts w:ascii="Noto Serif CJK SC" w:hAnsi="Noto Serif CJK SC" w:eastAsia="Noto Serif CJK SC" w:cs="Noto Serif CJK SC"/>
          <w:lang w:val="en-US" w:eastAsia="zh-CN"/>
        </w:rPr>
        <w:t xml:space="preserve">Part 5 </w:t>
      </w:r>
      <w:r>
        <w:rPr>
          <w:rFonts w:hint="eastAsia" w:ascii="Noto Serif CJK SC" w:hAnsi="Noto Serif CJK SC" w:eastAsia="Noto Serif CJK SC" w:cs="Noto Serif CJK SC"/>
          <w:lang w:val="en-US" w:eastAsia="zh-CN"/>
        </w:rPr>
        <w:t xml:space="preserve">证明了四项制度事实。安全体系可以附着于组织，而非单一组件。具名的高管权限与运行权限可以并存。持续评估与纠正可以作为运行要求形成记录。留存要求可以在诉讼发生前予以规定。人工智能部署涉及不同的技术和受保护利益，因此航空标准并不界定人工智能领域的合理注意标准；但它为一种可管理的做法提供了先例，即将权限、反馈、干预和记录设置为强制性的运行体系，而非倡议性的政策。</w:t>
      </w:r>
    </w:p>
    <w:p>
      <w:pPr>
        <w:pStyle w:val="BodyText"/>
      </w:pPr>
      <w:r>
        <w:rPr>
          <w:rFonts w:hint="eastAsia" w:ascii="Noto Serif CJK SC" w:hAnsi="Noto Serif CJK SC" w:eastAsia="Noto Serif CJK SC" w:cs="Noto Serif CJK SC"/>
          <w:lang w:val="en-US" w:eastAsia="zh-CN"/>
        </w:rPr>
        <w:t xml:space="preserve">航空报告制度还提供了一项相关的设计启示。坦诚的事件信息和险情信息具有预防价值，而把每份报告都视为自认的制度会鼓励沉默。Aviation</w:t>
      </w:r>
      <w:r>
        <w:rPr>
          <w:rFonts w:ascii="Noto Serif CJK SC" w:hAnsi="Noto Serif CJK SC" w:eastAsia="Noto Serif CJK SC" w:cs="Noto Serif CJK SC"/>
          <w:lang w:val="en-US" w:eastAsia="zh-CN"/>
        </w:rPr>
        <w:t xml:space="preserve"> Safety Reporting Program </w:t>
      </w:r>
      <w:r>
        <w:rPr>
          <w:rFonts w:hint="eastAsia" w:ascii="Noto Serif CJK SC" w:hAnsi="Noto Serif CJK SC" w:eastAsia="Noto Serif CJK SC" w:cs="Noto Serif CJK SC"/>
          <w:lang w:val="en-US" w:eastAsia="zh-CN"/>
        </w:rPr>
        <w:t xml:space="preserve">采用第三方报告机制和附条件的非惩罚性执法政策，而非概括性豁免。</w:t>
      </w:r>
      <w:r>
        <w:rPr>
          <w:rFonts w:ascii="Noto Serif CJK SC" w:hAnsi="Noto Serif CJK SC" w:eastAsia="Noto Serif CJK SC" w:cs="Noto Serif CJK SC"/>
          <w:rStyle w:val="FootnoteReference"/>
          <w:lang w:val="en-US" w:eastAsia="zh-CN"/>
        </w:rPr>
        <w:footnoteReference w:id="193"/>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部署责任入口记录可以遵循同样的激励逻辑：保护善意报告和证据保全，同时继续追究伪造、隐瞒、报复以及未经授权绕过控制措施的后果。</w:t>
      </w:r>
    </w:p>
    <w:bookmarkEnd w:id="195"/>
    <w:bookmarkStart w:id="200" w:name="the-ftc-companionchatbot-orders"/>
    <w:p>
      <w:pPr>
        <w:pStyle w:val="Heading5"/>
      </w:pPr>
      <w:r>
        <w:rPr>
          <w:rFonts w:ascii="Noto Sans CJK SC" w:hAnsi="Noto Sans CJK SC" w:eastAsia="Noto Sans CJK SC" w:cs="Noto Sans CJK SC"/>
          <w:lang w:val="en-US" w:eastAsia="zh-CN"/>
        </w:rPr>
        <w:t xml:space="preserve">2　</w:t>
      </w:r>
      <w:r>
        <w:rPr>
          <w:rFonts w:hint="eastAsia" w:ascii="Noto Sans CJK SC" w:hAnsi="Noto Sans CJK SC" w:eastAsia="Noto Sans CJK SC" w:cs="Noto Sans CJK SC"/>
          <w:lang w:val="en-US" w:eastAsia="zh-CN"/>
        </w:rPr>
        <w:t xml:space="preserve">联邦贸易委员会（FTC）关于陪伴型聊天机器人的命令</w:t>
      </w:r>
    </w:p>
    <w:p>
      <w:pPr>
        <w:pStyle w:val="FirstParagraph"/>
      </w:pPr>
      <w:r>
        <w:rPr>
          <w:rFonts w:ascii="Noto Serif CJK SC" w:hAnsi="Noto Serif CJK SC" w:eastAsia="Noto Serif CJK SC" w:cs="Noto Serif CJK SC"/>
          <w:lang w:val="en-US" w:eastAsia="zh-CN"/>
        </w:rPr>
        <w:t xml:space="preserve">Federal Trade Commission </w:t>
      </w:r>
      <w:r>
        <w:rPr>
          <w:rFonts w:hint="eastAsia" w:ascii="Noto Serif CJK SC" w:hAnsi="Noto Serif CJK SC" w:eastAsia="Noto Serif CJK SC" w:cs="Noto Serif CJK SC"/>
          <w:lang w:val="en-US" w:eastAsia="zh-CN"/>
        </w:rPr>
        <w:t xml:space="preserve">于</w:t>
      </w:r>
      <w:r>
        <w:rPr>
          <w:rFonts w:ascii="Noto Serif CJK SC" w:hAnsi="Noto Serif CJK SC" w:eastAsia="Noto Serif CJK SC" w:cs="Noto Serif CJK SC"/>
          <w:lang w:val="en-US" w:eastAsia="zh-CN"/>
        </w:rPr>
        <w:t xml:space="preserve"> 2025 </w:t>
      </w:r>
      <w:r>
        <w:rPr>
          <w:rFonts w:hint="eastAsia" w:ascii="Noto Serif CJK SC" w:hAnsi="Noto Serif CJK SC" w:eastAsia="Noto Serif CJK SC" w:cs="Noto Serif CJK SC"/>
          <w:lang w:val="en-US" w:eastAsia="zh-CN"/>
        </w:rPr>
        <w:t xml:space="preserve">年开展的</w:t>
      </w:r>
      <w:r>
        <w:rPr>
          <w:rFonts w:ascii="Noto Serif CJK SC" w:hAnsi="Noto Serif CJK SC" w:eastAsia="Noto Serif CJK SC" w:cs="Noto Serif CJK SC"/>
          <w:lang w:val="en-US" w:eastAsia="zh-CN"/>
        </w:rPr>
        <w:t xml:space="preserve"> section 6(b) </w:t>
      </w:r>
      <w:r>
        <w:rPr>
          <w:rFonts w:hint="eastAsia" w:ascii="Noto Serif CJK SC" w:hAnsi="Noto Serif CJK SC" w:eastAsia="Noto Serif CJK SC" w:cs="Noto Serif CJK SC"/>
          <w:lang w:val="en-US" w:eastAsia="zh-CN"/>
        </w:rPr>
        <w:t xml:space="preserve">调查表明，人工智能部署记录可以用远比“提供算法”精确的方式加以规定。委员会命令具名企业说明组织角色、部署前的标准与阈值、部署批准人、曾被考虑及否决的风险缓释措施、部署后监测、投诉、员工关切、逐级上报和回应。</w:t>
      </w:r>
      <w:r>
        <w:rPr>
          <w:rFonts w:ascii="Noto Serif CJK SC" w:hAnsi="Noto Serif CJK SC" w:eastAsia="Noto Serif CJK SC" w:cs="Noto Serif CJK SC"/>
          <w:rStyle w:val="FootnoteReference"/>
          <w:lang w:val="en-US" w:eastAsia="zh-CN"/>
        </w:rPr>
        <w:footnoteReference w:id="196"/>
      </w:r>
    </w:p>
    <w:p>
      <w:pPr>
        <w:pStyle w:val="BodyText"/>
      </w:pPr>
      <w:r>
        <w:rPr>
          <w:rFonts w:hint="eastAsia" w:ascii="Noto Serif CJK SC" w:hAnsi="Noto Serif CJK SC" w:eastAsia="Noto Serif CJK SC" w:cs="Noto Serif CJK SC"/>
          <w:lang w:val="en-US" w:eastAsia="zh-CN"/>
        </w:rPr>
        <w:t xml:space="preserve">这些具体要求与部署责任入口的功能直接对应。组织角色确定控制环节；阈值和批准人界定发布权限；记录被否决的风险缓释措施能够保存一项决定，却不预先判断该决定是否不合理；监测、投诉、员工关切、逐级上报和回应则形成带有时间戳的反馈路径。特定行业制定法可以前瞻性地标准化相同类别，并允许法院仅要求提供与经核验风险相关的部分。</w:t>
      </w:r>
    </w:p>
    <w:p>
      <w:pPr>
        <w:pStyle w:val="BodyText"/>
      </w:pPr>
      <w:r>
        <w:rPr>
          <w:rFonts w:ascii="Noto Serif CJK SC" w:hAnsi="Noto Serif CJK SC" w:eastAsia="Noto Serif CJK SC" w:cs="Noto Serif CJK SC"/>
          <w:lang w:val="en-US" w:eastAsia="zh-CN"/>
        </w:rPr>
        <w:t xml:space="preserve">NIST </w:t>
      </w:r>
      <w:r>
        <w:rPr>
          <w:rFonts w:hint="eastAsia" w:ascii="Noto Serif CJK SC" w:hAnsi="Noto Serif CJK SC" w:eastAsia="Noto Serif CJK SC" w:cs="Noto Serif CJK SC"/>
          <w:lang w:val="en-US" w:eastAsia="zh-CN"/>
        </w:rPr>
        <w:t xml:space="preserve">的</w:t>
      </w:r>
      <w:r>
        <w:rPr>
          <w:rFonts w:ascii="Noto Serif CJK SC" w:hAnsi="Noto Serif CJK SC" w:eastAsia="Noto Serif CJK SC" w:cs="Noto Serif CJK SC"/>
          <w:lang w:val="en-US" w:eastAsia="zh-CN"/>
        </w:rPr>
        <w:t xml:space="preserve"> AI Risk Management Framework </w:t>
      </w:r>
      <w:r>
        <w:rPr>
          <w:rFonts w:hint="eastAsia" w:ascii="Noto Serif CJK SC" w:hAnsi="Noto Serif CJK SC" w:eastAsia="Noto Serif CJK SC" w:cs="Noto Serif CJK SC"/>
          <w:lang w:val="en-US" w:eastAsia="zh-CN"/>
        </w:rPr>
        <w:t xml:space="preserve">可以为生命周期角色、高管责任、第三方组件、测试、反馈、监测和退役提供术语。</w:t>
      </w:r>
      <w:r>
        <w:rPr>
          <w:rFonts w:ascii="Noto Serif CJK SC" w:hAnsi="Noto Serif CJK SC" w:eastAsia="Noto Serif CJK SC" w:cs="Noto Serif CJK SC"/>
          <w:rStyle w:val="FootnoteReference"/>
          <w:lang w:val="en-US" w:eastAsia="zh-CN"/>
        </w:rPr>
        <w:footnoteReference w:id="198"/>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该自愿性框架仍然只是术语来源。FAA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规则和特定行业制定法提供法律义务；FTC</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命令则证明可以在运行层面界定须予答复的信息。</w:t>
      </w:r>
    </w:p>
    <w:bookmarkEnd w:id="200"/>
    <w:bookmarkStart w:id="205" w:name="X70f81613e64c266e88fae370eca995aa5706d42"/>
    <w:p>
      <w:pPr>
        <w:pStyle w:val="Heading5"/>
      </w:pPr>
      <w:r>
        <w:rPr>
          <w:rFonts w:ascii="Noto Sans CJK SC" w:hAnsi="Noto Sans CJK SC" w:eastAsia="Noto Sans CJK SC" w:cs="Noto Sans CJK SC"/>
          <w:lang w:val="en-US" w:eastAsia="zh-CN"/>
        </w:rPr>
        <w:t xml:space="preserve">3　</w:t>
      </w:r>
      <w:r>
        <w:rPr>
          <w:rFonts w:hint="eastAsia" w:ascii="Noto Sans CJK SC" w:hAnsi="Noto Sans CJK SC" w:eastAsia="Noto Sans CJK SC" w:cs="Noto Sans CJK SC"/>
          <w:lang w:val="en-US" w:eastAsia="zh-CN"/>
        </w:rPr>
        <w:t xml:space="preserve">《公平信用报告法》（FCRA）的私主体首次答复程序</w:t>
      </w:r>
    </w:p>
    <w:p>
      <w:pPr>
        <w:pStyle w:val="FirstParagraph"/>
      </w:pPr>
      <w:r>
        <w:rPr>
          <w:rFonts w:ascii="Noto Serif CJK SC" w:hAnsi="Noto Serif CJK SC" w:eastAsia="Noto Serif CJK SC" w:cs="Noto Serif CJK SC"/>
          <w:lang w:val="en-US" w:eastAsia="zh-CN"/>
        </w:rPr>
        <w:t xml:space="preserve">Fair Credit Reporting Act </w:t>
      </w:r>
      <w:r>
        <w:rPr>
          <w:rFonts w:hint="eastAsia" w:ascii="Noto Serif CJK SC" w:hAnsi="Noto Serif CJK SC" w:eastAsia="Noto Serif CJK SC" w:cs="Noto Serif CJK SC"/>
          <w:lang w:val="en-US" w:eastAsia="zh-CN"/>
        </w:rPr>
        <w:t xml:space="preserve">提供了最接近的美国国内私主体入口范例。在就业场景中，使用者依据消费者报告采取不利行动前，通常必须向消费者提供报告副本和权利摘要。</w:t>
      </w:r>
      <w:r>
        <w:rPr>
          <w:rFonts w:ascii="Noto Serif CJK SC" w:hAnsi="Noto Serif CJK SC" w:eastAsia="Noto Serif CJK SC" w:cs="Noto Serif CJK SC"/>
          <w:rStyle w:val="FootnoteReference"/>
          <w:lang w:val="en-US" w:eastAsia="zh-CN"/>
        </w:rPr>
        <w:footnoteReference w:id="201"/>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在采取受规制的不利行动后，对外可见的决策使用者必须通知消费者，指明提供报告的消费者报告机构，说明该机构并未作出决定，并告知消费者有权免费获取报告以及对报告准确性提出异议。</w:t>
      </w:r>
      <w:r>
        <w:rPr>
          <w:rFonts w:ascii="Noto Serif CJK SC" w:hAnsi="Noto Serif CJK SC" w:eastAsia="Noto Serif CJK SC" w:cs="Noto Serif CJK SC"/>
          <w:rStyle w:val="FootnoteReference"/>
          <w:lang w:val="en-US" w:eastAsia="zh-CN"/>
        </w:rPr>
        <w:footnoteReference w:id="202"/>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随后，该机构向消费者披露范围有限的消费者档案、档案来源和近期接收人；提出异议后，则会启动重新调查以及通向信息提供者的明确路径。</w:t>
      </w:r>
      <w:r>
        <w:rPr>
          <w:rFonts w:ascii="Noto Serif CJK SC" w:hAnsi="Noto Serif CJK SC" w:eastAsia="Noto Serif CJK SC" w:cs="Noto Serif CJK SC"/>
          <w:rStyle w:val="FootnoteReference"/>
          <w:lang w:val="en-US" w:eastAsia="zh-CN"/>
        </w:rPr>
        <w:footnoteReference w:id="203"/>
      </w:r>
    </w:p>
    <w:p>
      <w:pPr>
        <w:pStyle w:val="BodyText"/>
      </w:pPr>
      <w:r>
        <w:rPr>
          <w:rFonts w:hint="eastAsia" w:ascii="Noto Serif CJK SC" w:hAnsi="Noto Serif CJK SC" w:eastAsia="Noto Serif CJK SC" w:cs="Noto Serif CJK SC"/>
          <w:lang w:val="en-US" w:eastAsia="zh-CN"/>
        </w:rPr>
        <w:t xml:space="preserve">该程序将实体问题与信息获取相分离，也将对外可见的行为人与上游信息持有人相分离。不利行动通知并不证明报告不准确，也不证明任何一方违反实体义务；它只是把受影响者引向范围有限的档案和纠正程序。这里类比的是分配给私主体的义务，而非单一的私人救济：section</w:t>
      </w:r>
      <w:r>
        <w:rPr>
          <w:rFonts w:ascii="Noto Serif CJK SC" w:hAnsi="Noto Serif CJK SC" w:eastAsia="Noto Serif CJK SC" w:cs="Noto Serif CJK SC"/>
          <w:lang w:val="en-US" w:eastAsia="zh-CN"/>
        </w:rPr>
        <w:t xml:space="preserve"> 1681m(h)(8) </w:t>
      </w:r>
      <w:r>
        <w:rPr>
          <w:rFonts w:hint="eastAsia" w:ascii="Noto Serif CJK SC" w:hAnsi="Noto Serif CJK SC" w:eastAsia="Noto Serif CJK SC" w:cs="Noto Serif CJK SC"/>
          <w:lang w:val="en-US" w:eastAsia="zh-CN"/>
        </w:rPr>
        <w:t xml:space="preserve">排除了针对</w:t>
      </w:r>
      <w:r>
        <w:rPr>
          <w:rFonts w:ascii="Noto Serif CJK SC" w:hAnsi="Noto Serif CJK SC" w:eastAsia="Noto Serif CJK SC" w:cs="Noto Serif CJK SC"/>
          <w:lang w:val="en-US" w:eastAsia="zh-CN"/>
        </w:rPr>
        <w:t xml:space="preserve"> section 1681m </w:t>
      </w:r>
      <w:r>
        <w:rPr>
          <w:rFonts w:hint="eastAsia" w:ascii="Noto Serif CJK SC" w:hAnsi="Noto Serif CJK SC" w:eastAsia="Noto Serif CJK SC" w:cs="Noto Serif CJK SC"/>
          <w:lang w:val="en-US" w:eastAsia="zh-CN"/>
        </w:rPr>
        <w:t xml:space="preserve">义务违反行为提起的私人诉讼，并将该条交由公共执法，而</w:t>
      </w:r>
      <w:r>
        <w:rPr>
          <w:rFonts w:ascii="Noto Serif CJK SC" w:hAnsi="Noto Serif CJK SC" w:eastAsia="Noto Serif CJK SC" w:cs="Noto Serif CJK SC"/>
          <w:lang w:val="en-US" w:eastAsia="zh-CN"/>
        </w:rPr>
        <w:t xml:space="preserve"> FCRA </w:t>
      </w:r>
      <w:r>
        <w:rPr>
          <w:rFonts w:hint="eastAsia" w:ascii="Noto Serif CJK SC" w:hAnsi="Noto Serif CJK SC" w:eastAsia="Noto Serif CJK SC" w:cs="Noto Serif CJK SC"/>
          <w:lang w:val="en-US" w:eastAsia="zh-CN"/>
        </w:rPr>
        <w:t xml:space="preserve">的其他条款则各有其执法安排。</w:t>
      </w:r>
      <w:r>
        <w:rPr>
          <w:rFonts w:ascii="Noto Serif CJK SC" w:hAnsi="Noto Serif CJK SC" w:eastAsia="Noto Serif CJK SC" w:cs="Noto Serif CJK SC"/>
          <w:rStyle w:val="FootnoteReference"/>
          <w:lang w:val="en-US" w:eastAsia="zh-CN"/>
        </w:rPr>
        <w:footnoteReference w:id="204"/>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lang w:val="en-US" w:eastAsia="zh-CN"/>
        </w:rPr>
        <w:t xml:space="preserve">FCRA </w:t>
      </w:r>
      <w:r>
        <w:rPr>
          <w:rFonts w:hint="eastAsia" w:ascii="Noto Serif CJK SC" w:hAnsi="Noto Serif CJK SC" w:eastAsia="Noto Serif CJK SC" w:cs="Noto Serif CJK SC"/>
          <w:lang w:val="en-US" w:eastAsia="zh-CN"/>
        </w:rPr>
        <w:t xml:space="preserve">也仅适用于其消费者报告架构，通常以既有档案为前提，既不提供人工智能部署图谱，也不规定实质性控制标准。然而，其结构性启示仍然有力：联邦法律可以要求对外可见的决策使用者指明上游记录持有人，同时明确拒绝将该持有人视为决策者。部署责任入口则针对立法机关指定的部署，增加事前事件记录和控制记录。</w:t>
      </w:r>
    </w:p>
    <w:p>
      <w:pPr>
        <w:pStyle w:val="BodyText"/>
      </w:pPr>
      <w:r>
        <w:rPr>
          <w:rFonts w:hint="eastAsia" w:ascii="Noto Serif CJK SC" w:hAnsi="Noto Serif CJK SC" w:eastAsia="Noto Serif CJK SC" w:cs="Noto Serif CJK SC"/>
          <w:lang w:val="en-US" w:eastAsia="zh-CN"/>
        </w:rPr>
        <w:t xml:space="preserve">综合来看，上述参照制度在恰当层面回答了可行性问题。FAA</w:t>
      </w:r>
      <w:r>
        <w:rPr>
          <w:rFonts w:ascii="Noto Serif CJK SC" w:hAnsi="Noto Serif CJK SC" w:eastAsia="Noto Serif CJK SC" w:cs="Noto Serif CJK SC"/>
          <w:lang w:val="en-US" w:eastAsia="zh-CN"/>
        </w:rPr>
        <w:t xml:space="preserve"> Part 5 </w:t>
      </w:r>
      <w:r>
        <w:rPr>
          <w:rFonts w:hint="eastAsia" w:ascii="Noto Serif CJK SC" w:hAnsi="Noto Serif CJK SC" w:eastAsia="Noto Serif CJK SC" w:cs="Noto Serif CJK SC"/>
          <w:lang w:val="en-US" w:eastAsia="zh-CN"/>
        </w:rPr>
        <w:t xml:space="preserve">展示前瞻性的组织记录；FTC</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命令表明部署角色和事件可以得到明确界定；FCRA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展示跨越分散决策栈的私主体信息路由程序。对于已经具备版本控制、发布管理、访问日志、供应商管理、事件响应和法定留存能力的企业，本方案将这些系统连接起来，以适用于被指定的部署。特定行业指定规则可以在适当情况下提供简化表格和监管机关协助。两种路径均不要求对模型的每一内部状态作出普遍性解释。</w:t>
      </w:r>
    </w:p>
    <w:bookmarkEnd w:id="205"/>
    <w:bookmarkEnd w:id="206"/>
    <w:bookmarkStart w:id="208" w:name="X16ad30c4d706d066ca5ea4f581954ce6b0ad1f3"/>
    <w:p>
      <w:pPr>
        <w:pStyle w:val="Heading4"/>
      </w:pPr>
      <w:r>
        <w:rPr>
          <w:rFonts w:hint="eastAsia" w:ascii="Noto Sans CJK SC" w:hAnsi="Noto Sans CJK SC" w:eastAsia="Noto Sans CJK SC" w:cs="Noto Sans CJK SC"/>
          <w:lang w:val="en-US" w:eastAsia="zh-CN"/>
        </w:rPr>
        <w:t xml:space="preserve">（五）记录保存的风险要求在设计层面贯彻最小化原则</w:t>
      </w:r>
    </w:p>
    <w:p>
      <w:pPr>
        <w:pStyle w:val="FirstParagraph"/>
      </w:pPr>
      <w:r>
        <w:rPr>
          <w:rFonts w:hint="eastAsia" w:ascii="Noto Serif CJK SC" w:hAnsi="Noto Serif CJK SC" w:eastAsia="Noto Serif CJK SC" w:cs="Noto Serif CJK SC"/>
          <w:lang w:val="en-US" w:eastAsia="zh-CN"/>
        </w:rPr>
        <w:t xml:space="preserve">记录保存会产生一种独特的治理风险，因为记录行为本身可能重塑被观察的组织。在</w:t>
      </w:r>
      <w:r>
        <w:rPr>
          <w:rFonts w:ascii="Noto Serif CJK SC" w:hAnsi="Noto Serif CJK SC" w:eastAsia="Noto Serif CJK SC" w:cs="Noto Serif CJK SC"/>
          <w:lang w:val="en-US" w:eastAsia="zh-CN"/>
        </w:rPr>
        <w:t xml:space="preserve"> 2025 </w:t>
      </w:r>
      <w:r>
        <w:rPr>
          <w:rFonts w:hint="eastAsia" w:ascii="Noto Serif CJK SC" w:hAnsi="Noto Serif CJK SC" w:eastAsia="Noto Serif CJK SC" w:cs="Noto Serif CJK SC"/>
          <w:lang w:val="en-US" w:eastAsia="zh-CN"/>
        </w:rPr>
        <w:t xml:space="preserve">年一项针对一百名从业者的调查中，受访者提到员工抵触、隐私冲突以及超出问责目的的用途；47%</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的受访者表示，相关记录曾被用于监控或改善员工绩效。</w:t>
      </w:r>
      <w:r>
        <w:rPr>
          <w:rFonts w:ascii="Noto Serif CJK SC" w:hAnsi="Noto Serif CJK SC" w:eastAsia="Noto Serif CJK SC" w:cs="Noto Serif CJK SC"/>
          <w:rStyle w:val="FootnoteReference"/>
          <w:lang w:val="en-US" w:eastAsia="zh-CN"/>
        </w:rPr>
        <w:footnoteReference w:id="207"/>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若一项义务被表述为“保留一切”，就可能扩大对员工和用户的监控，压制坦诚的内部讨论，无目的地保存敏感数据，并使组织更重视诉讼防御，而非安全价值。</w:t>
      </w:r>
    </w:p>
    <w:p>
      <w:pPr>
        <w:pStyle w:val="BodyText"/>
      </w:pPr>
      <w:r>
        <w:rPr>
          <w:rFonts w:hint="eastAsia" w:ascii="Noto Serif CJK SC" w:hAnsi="Noto Serif CJK SC" w:eastAsia="Noto Serif CJK SC" w:cs="Noto Serif CJK SC"/>
          <w:lang w:val="en-US" w:eastAsia="zh-CN"/>
        </w:rPr>
        <w:t xml:space="preserve">部署责任入口通过其数据结构回应这一风险。运营者默认保存最低限度的清单，而非原始内容。身份记录、反馈记录和事件记录适用不同的时间机制。事件字段结构记录某项阈值已被触发、当时适用何种政策以及随后采取何种回应；它并不要求保存每一段对话、每一次击键或无关用户的数据。员工绩效监控并非最低限度字段。原始决策讨论内容、受保护的健康信息，以及私密内容或第三方内容，原则上均不在记录范围之内；只有特定行业指定规则明确认定其具有必要性并规定合法保护措施时，方可纳入。自动化采集必须限于规定事件、声明目的、获授权接收人，并受删除规则约束。</w:t>
      </w:r>
    </w:p>
    <w:p>
      <w:pPr>
        <w:pStyle w:val="BodyText"/>
      </w:pPr>
      <w:r>
        <w:rPr>
          <w:rFonts w:hint="eastAsia" w:ascii="Noto Serif CJK SC" w:hAnsi="Noto Serif CJK SC" w:eastAsia="Noto Serif CJK SC" w:cs="Noto Serif CJK SC"/>
          <w:lang w:val="en-US" w:eastAsia="zh-CN"/>
        </w:rPr>
        <w:t xml:space="preserve">组织记录还应把报告与决定区分开来。善意风险报告所记录的是一个信号，而非企业作出的自认。回应记录则标明由谁审查、当时有哪些信息可供利用，以及随后采取了何种行动。受保护的逐级上报有助于坦诚沟通；实体问题防火墙防止报告的存在被自动视为违反义务。定期抽样测试记录能否解析至特定事件，而不把持续监控员工变成合规尺度。这些具体要求使最小化原则成为可观察性本身的组成部分，而非数据收集后补加的承诺。</w:t>
      </w:r>
    </w:p>
    <w:bookmarkEnd w:id="208"/>
    <w:bookmarkStart w:id="211" w:name="Xecd9a04b62efd8f961ae391a9a4ac0f1d5ab6ef"/>
    <w:p>
      <w:pPr>
        <w:pStyle w:val="Heading4"/>
      </w:pPr>
      <w:r>
        <w:rPr>
          <w:rFonts w:hint="eastAsia" w:ascii="Noto Sans CJK SC" w:hAnsi="Noto Sans CJK SC" w:eastAsia="Noto Sans CJK SC" w:cs="Noto Sans CJK SC"/>
          <w:lang w:val="en-US" w:eastAsia="zh-CN"/>
        </w:rPr>
        <w:t xml:space="preserve">（六）准确记录有赖于受保护的逐级上报</w:t>
      </w:r>
    </w:p>
    <w:p>
      <w:pPr>
        <w:pStyle w:val="FirstParagraph"/>
      </w:pPr>
      <w:r>
        <w:rPr>
          <w:rFonts w:hint="eastAsia" w:ascii="Noto Serif CJK SC" w:hAnsi="Noto Serif CJK SC" w:eastAsia="Noto Serif CJK SC" w:cs="Noto Serif CJK SC"/>
          <w:lang w:val="en-US" w:eastAsia="zh-CN"/>
        </w:rPr>
        <w:t xml:space="preserve">可靠的记录义务有赖于最接近风险的人员作出坦诚报告。工作人员基于客观合理的依据善意记录指定风险、使用获授权的逐级上报渠道并保全证据的，应当获得适用法律规定的反报复保护以及抗辩或补偿。保护附着于报告及获授权的行为。故意造成损害、明知而伪造或销毁材料、隐瞒、报复、操纵评估以及未经授权移除安全保障的行为，仍不在保护范围之内。</w:t>
      </w:r>
    </w:p>
    <w:p>
      <w:pPr>
        <w:pStyle w:val="BodyText"/>
      </w:pPr>
      <w:r>
        <w:rPr>
          <w:rFonts w:hint="eastAsia" w:ascii="Noto Serif CJK SC" w:hAnsi="Noto Serif CJK SC" w:eastAsia="Noto Serif CJK SC" w:cs="Noto Serif CJK SC"/>
          <w:lang w:val="en-US" w:eastAsia="zh-CN"/>
        </w:rPr>
        <w:t xml:space="preserve">这一配置使信息与权限相匹配。安全工程师可能了解失效模式，却无权决定发布；产品经理可能控制进度，却没有收到风险信号；一线运行专业人员可能观察到异常输出，却不了解评估沿革。记录表明信息在这些主体之间如何流动、何时流动，以及谁有权采取行动。保护形成记录的逐级上报能够提高记录的可靠性，而单独处理组织回应，则可防止每一份报告都成为实体问题上的自认。</w:t>
      </w:r>
    </w:p>
    <w:p>
      <w:pPr>
        <w:pStyle w:val="BodyText"/>
      </w:pPr>
      <w:r>
        <w:rPr>
          <w:rFonts w:hint="eastAsia" w:ascii="Noto Serif CJK SC" w:hAnsi="Noto Serif CJK SC" w:eastAsia="Noto Serif CJK SC" w:cs="Noto Serif CJK SC"/>
          <w:lang w:val="en-US" w:eastAsia="zh-CN"/>
        </w:rPr>
        <w:t xml:space="preserve">现有合规制度和举报人制度虽然适用范围与救济各不相同，却共同确认了这一制度原则。Organizational</w:t>
      </w:r>
      <w:r>
        <w:rPr>
          <w:rFonts w:ascii="Noto Serif CJK SC" w:hAnsi="Noto Serif CJK SC" w:eastAsia="Noto Serif CJK SC" w:cs="Noto Serif CJK SC"/>
          <w:lang w:val="en-US" w:eastAsia="zh-CN"/>
        </w:rPr>
        <w:t xml:space="preserve"> Sentencing Guidelines </w:t>
      </w:r>
      <w:r>
        <w:rPr>
          <w:rFonts w:hint="eastAsia" w:ascii="Noto Serif CJK SC" w:hAnsi="Noto Serif CJK SC" w:eastAsia="Noto Serif CJK SC" w:cs="Noto Serif CJK SC"/>
          <w:lang w:val="en-US" w:eastAsia="zh-CN"/>
        </w:rPr>
        <w:t xml:space="preserve">将领导责任、充分的权限与资源、免受报复恐惧的报告机制、执行、回应以及定期风险评估，视为有效合规计划的构成部分。</w:t>
      </w:r>
      <w:r>
        <w:rPr>
          <w:rFonts w:ascii="Noto Serif CJK SC" w:hAnsi="Noto Serif CJK SC" w:eastAsia="Noto Serif CJK SC" w:cs="Noto Serif CJK SC"/>
          <w:rStyle w:val="FootnoteReference"/>
          <w:lang w:val="en-US" w:eastAsia="zh-CN"/>
        </w:rPr>
        <w:footnoteReference w:id="209"/>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特定行业制定法则依据明确的因果关系标准和救济标准，保护特定报告与拒绝行为。</w:t>
      </w:r>
      <w:r>
        <w:rPr>
          <w:rFonts w:ascii="Noto Serif CJK SC" w:hAnsi="Noto Serif CJK SC" w:eastAsia="Noto Serif CJK SC" w:cs="Noto Serif CJK SC"/>
          <w:rStyle w:val="FootnoteReference"/>
          <w:lang w:val="en-US" w:eastAsia="zh-CN"/>
        </w:rPr>
        <w:footnoteReference w:id="210"/>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部署责任入口立法应自行规定适用范围，而不应照搬这些制度中的所有特权或豁免。</w:t>
      </w:r>
    </w:p>
    <w:bookmarkEnd w:id="211"/>
    <w:bookmarkStart w:id="213" w:name="the-record-is-also-a-defense-asset"/>
    <w:p>
      <w:pPr>
        <w:pStyle w:val="Heading4"/>
      </w:pPr>
      <w:r>
        <w:rPr>
          <w:rFonts w:hint="eastAsia" w:ascii="Noto Sans CJK SC" w:hAnsi="Noto Sans CJK SC" w:eastAsia="Noto Sans CJK SC" w:cs="Noto Sans CJK SC"/>
          <w:lang w:val="en-US" w:eastAsia="zh-CN"/>
        </w:rPr>
        <w:t xml:space="preserve">（七）记录也是一项抗辩资产</w:t>
      </w:r>
    </w:p>
    <w:p>
      <w:pPr>
        <w:pStyle w:val="FirstParagraph"/>
      </w:pPr>
      <w:r>
        <w:rPr>
          <w:rFonts w:hint="eastAsia" w:ascii="Noto Serif CJK SC" w:hAnsi="Noto Serif CJK SC" w:eastAsia="Noto Serif CJK SC" w:cs="Noto Serif CJK SC"/>
          <w:lang w:val="en-US" w:eastAsia="zh-CN"/>
        </w:rPr>
        <w:t xml:space="preserve">部署责任入口是一项信息规则，而信息也可以否定请求权。版本记录可以表明受质疑的功能并未启用；配置日志可以表明工具由独立部署者提供，或者安全保障由其移除；事件序列可以表明警示已经出现、干预已经触发，或相关内容曾被用户编辑；评估与批准记录可以表明企业测试了所主张的风险，依据当时可得信息采取了有根据的回应，并持续监测运行；停止运行记录则可以表明某一主体不具备请求权人所主张的实际权限。</w:t>
      </w:r>
    </w:p>
    <w:p>
      <w:pPr>
        <w:pStyle w:val="BodyText"/>
      </w:pPr>
      <w:r>
        <w:rPr>
          <w:rFonts w:hint="eastAsia" w:ascii="Noto Serif CJK SC" w:hAnsi="Noto Serif CJK SC" w:eastAsia="Noto Serif CJK SC" w:cs="Noto Serif CJK SC"/>
          <w:lang w:val="en-US" w:eastAsia="zh-CN"/>
        </w:rPr>
        <w:t xml:space="preserve">这种抗辩价值对于随机性系统尤其重要。“模型可能不可预测”只是在陈述一项一般属性。记录则可以表明具体事件是否落在已评估的范围内、哪些控制措施当时处于启用状态、收到了哪些反馈，以及拟议替代方案是否会改变事件序列。它使被告能够依据证据证明已作出合理准备、存在介入性修改、用户规避控制措施或不可避免的剩余风险，而不必诉诸类别标签。</w:t>
      </w:r>
    </w:p>
    <w:p>
      <w:pPr>
        <w:pStyle w:val="BodyText"/>
      </w:pPr>
      <w:r>
        <w:rPr>
          <w:rFonts w:hint="eastAsia" w:ascii="Noto Serif CJK SC" w:hAnsi="Noto Serif CJK SC" w:eastAsia="Noto Serif CJK SC" w:cs="Noto Serif CJK SC"/>
          <w:lang w:val="en-US" w:eastAsia="zh-CN"/>
        </w:rPr>
        <w:t xml:space="preserve">记录还可以约束针对历史时点提出的主张。事件发生后发表的研究可能识别出值得测试的变量，却不能据此证明被告在早先时点实际知道什么。后来开发的风险缓释措施可以表明一种在技术上能够描述的控制手段，却不能证明该措施对于早先部署而言具有可行性、属于法律要求或可以采纳为证据。</w:t>
      </w:r>
      <w:r>
        <w:rPr>
          <w:rFonts w:ascii="Noto Serif CJK SC" w:hAnsi="Noto Serif CJK SC" w:eastAsia="Noto Serif CJK SC" w:cs="Noto Serif CJK SC"/>
          <w:rStyle w:val="FootnoteReference"/>
          <w:lang w:val="en-US" w:eastAsia="zh-CN"/>
        </w:rPr>
        <w:footnoteReference w:id="212"/>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带有版本信息的评估、资源决定、投诉和当时可用的替代方案，能够将审查定位在正确时点。</w:t>
      </w:r>
    </w:p>
    <w:p>
      <w:pPr>
        <w:pStyle w:val="BodyText"/>
      </w:pPr>
      <w:r>
        <w:rPr>
          <w:rFonts w:hint="eastAsia" w:ascii="Noto Serif CJK SC" w:hAnsi="Noto Serif CJK SC" w:eastAsia="Noto Serif CJK SC" w:cs="Noto Serif CJK SC"/>
          <w:lang w:val="en-US" w:eastAsia="zh-CN"/>
        </w:rPr>
        <w:t xml:space="preserve">因此，该基础设施同时服务于核心命题的双方。它防止请求权人仅因相关部署不可见而败诉，也防止企业仅因法院不得不从令人不安的输出中推断部署情况而败诉。部署责任入口使记录可以调取；记录则使通常法律得以区分这两种情形。</w:t>
      </w:r>
    </w:p>
    <w:bookmarkEnd w:id="213"/>
    <w:bookmarkEnd w:id="214"/>
    <w:bookmarkStart w:id="233" w:name="X507690928aa67b85f2b8ff948030b87102a043b"/>
    <w:p>
      <w:pPr>
        <w:pStyle w:val="Heading3"/>
      </w:pPr>
      <w:r>
        <w:rPr>
          <w:rFonts w:hint="eastAsia" w:ascii="Noto Sans CJK SC" w:hAnsi="Noto Sans CJK SC" w:eastAsia="Noto Sans CJK SC" w:cs="Noto Sans CJK SC"/>
          <w:lang w:val="en-US" w:eastAsia="zh-CN"/>
        </w:rPr>
        <w:t xml:space="preserve">五</w:t>
      </w:r>
      <w:r>
        <w:rPr>
          <w:rFonts w:ascii="Noto Sans CJK SC" w:hAnsi="Noto Sans CJK SC" w:eastAsia="Noto Sans CJK SC" w:cs="Noto Sans CJK SC"/>
          <w:lang w:val="en-US" w:eastAsia="zh-CN"/>
        </w:rPr>
        <w:t xml:space="preserve">　</w:t>
      </w:r>
      <w:r>
        <w:rPr>
          <w:rFonts w:hint="eastAsia" w:ascii="Noto Sans CJK SC" w:hAnsi="Noto Sans CJK SC" w:eastAsia="Noto Sans CJK SC" w:cs="Noto Sans CJK SC"/>
          <w:lang w:val="en-US" w:eastAsia="zh-CN"/>
        </w:rPr>
        <w:t xml:space="preserve">实体问题防火墙与可管理的边界</w:t>
      </w:r>
    </w:p>
    <w:p>
      <w:pPr>
        <w:pStyle w:val="FirstParagraph"/>
      </w:pPr>
      <w:r>
        <w:rPr>
          <w:rFonts w:hint="eastAsia" w:ascii="Noto Serif CJK SC" w:hAnsi="Noto Serif CJK SC" w:eastAsia="Noto Serif CJK SC" w:cs="Noto Serif CJK SC"/>
          <w:lang w:val="en-US" w:eastAsia="zh-CN"/>
        </w:rPr>
        <w:t xml:space="preserve">部署责任入口是一项具有明确终点的信息获取权。只有在不利事件影响立法机关指定的利益时，它才会启动；它首先提供一份封闭式首次答复，并且只有在针对具体请求权作出相应说明后才会扩展。它不改变基础请求权的任何构成要件。四项边界使这种配置得以稳固运行：现有法律界定受保护利益；宪法与保密规则塑造披露方式；仲裁、地域限制与联邦先占决定执行该权利的机构；产品或言论的定性则留待实体问题阶段处理。</w:t>
      </w:r>
    </w:p>
    <w:bookmarkStart w:id="216" w:name="existing-legal-interests-define-the-gate"/>
    <w:p>
      <w:pPr>
        <w:pStyle w:val="Heading4"/>
      </w:pPr>
      <w:r>
        <w:rPr>
          <w:rFonts w:hint="eastAsia" w:ascii="Noto Sans CJK SC" w:hAnsi="Noto Sans CJK SC" w:eastAsia="Noto Sans CJK SC" w:cs="Noto Sans CJK SC"/>
          <w:lang w:val="en-US" w:eastAsia="zh-CN"/>
        </w:rPr>
        <w:t xml:space="preserve">（一）现有法律利益界定入口</w:t>
      </w:r>
    </w:p>
    <w:p>
      <w:pPr>
        <w:pStyle w:val="FirstParagraph"/>
      </w:pPr>
      <w:r>
        <w:rPr>
          <w:rFonts w:hint="eastAsia" w:ascii="Noto Serif CJK SC" w:hAnsi="Noto Serif CJK SC" w:eastAsia="Noto Serif CJK SC" w:cs="Noto Serif CJK SC"/>
          <w:lang w:val="en-US" w:eastAsia="zh-CN"/>
        </w:rPr>
        <w:t xml:space="preserve">指定规则负责确定哪些法律利益足以正当化强制可观察性。在特定场景中，就业机会、信用、住房、公共给付、健康、教育、人身安全和未成年人福祉，已经受到法律保护。立法机关可以选择一种部署类别，其中受影响者通常缺少援引这些保护所必需的身份事实与事件事实。仅有系统能力、营销宣传或不满，绝不会开启部署责任入口。</w:t>
      </w:r>
    </w:p>
    <w:p>
      <w:pPr>
        <w:pStyle w:val="BodyText"/>
      </w:pPr>
      <w:r>
        <w:rPr>
          <w:rFonts w:hint="eastAsia" w:ascii="Noto Serif CJK SC" w:hAnsi="Noto Serif CJK SC" w:eastAsia="Noto Serif CJK SC" w:cs="Noto Serif CJK SC"/>
          <w:lang w:val="en-US" w:eastAsia="zh-CN"/>
        </w:rPr>
        <w:t xml:space="preserve">因此，第一阶段要求发生一项不利事件，并且该事件影响指定规则所列法律保护的利益。受影响者无须先就基础请求权的全部构成要件作出诉状陈述，才能获得只有运营者掌握的字段。该规则也不创设独立审计企业的权利。遭到拒绝的求职者应指明职位、不利处置、受规制的筛选流程和事件字段；公共给付领取人应指明相关给付、受质疑的行动和受规制的计算过程；陪伴型服务用户应指明受规制的互动和受保护利益。偏好另一模型、要求与人类对话，或只是主张某项输出令人感觉不妥，均不符合启动条件。</w:t>
      </w:r>
    </w:p>
    <w:p>
      <w:pPr>
        <w:pStyle w:val="BodyText"/>
      </w:pPr>
      <w:r>
        <w:rPr>
          <w:rFonts w:hint="eastAsia" w:ascii="Noto Serif CJK SC" w:hAnsi="Noto Serif CJK SC" w:eastAsia="Noto Serif CJK SC" w:cs="Noto Serif CJK SC"/>
          <w:lang w:val="en-US" w:eastAsia="zh-CN"/>
        </w:rPr>
        <w:t xml:space="preserve">这一入口保留了人工智能争议的异质性。某些与人工智能相关的损失不存在私人救济；另一些则适用合同法、侵权法、反歧视法、行政法、消费者保护法或无责任规则。</w:t>
      </w:r>
      <w:r>
        <w:rPr>
          <w:rFonts w:ascii="Noto Serif CJK SC" w:hAnsi="Noto Serif CJK SC" w:eastAsia="Noto Serif CJK SC" w:cs="Noto Serif CJK SC"/>
          <w:rStyle w:val="FootnoteReference"/>
          <w:lang w:val="en-US" w:eastAsia="zh-CN"/>
        </w:rPr>
        <w:footnoteReference w:id="215"/>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首次答复负责把事件置于适用法律之中。如果指定利益、执行路径或所请求字段不在制定法范围内，信息获取之诉即告终结。如果一项纯粹法律抗辩——管辖权、豁免、明示先占、无法律规定的私人诉权，或从通知表面即可判断的诉讼时效障碍——足以终结制定法上的信息获取请求，裁判机构可以在第二阶段前对此作出决定。</w:t>
      </w:r>
    </w:p>
    <w:p>
      <w:pPr>
        <w:pStyle w:val="BodyText"/>
      </w:pPr>
      <w:r>
        <w:rPr>
          <w:rFonts w:hint="eastAsia" w:ascii="Noto Serif CJK SC" w:hAnsi="Noto Serif CJK SC" w:eastAsia="Noto Serif CJK SC" w:cs="Noto Serif CJK SC"/>
          <w:lang w:val="en-US" w:eastAsia="zh-CN"/>
        </w:rPr>
        <w:t xml:space="preserve">首次答复识别部署和保管人后，第</w:t>
      </w:r>
      <w:r>
        <w:rPr>
          <w:rFonts w:ascii="Noto Serif CJK SC" w:hAnsi="Noto Serif CJK SC" w:eastAsia="Noto Serif CJK SC" w:cs="Noto Serif CJK SC"/>
          <w:lang w:val="en-US" w:eastAsia="zh-CN"/>
        </w:rPr>
        <w:t xml:space="preserve"> </w:t>
      </w:r>
      <w:hyperlink w:anchor="X0d45b1bf289ec41abdcdcdd96a97e2c1be6f103">
        <w:r>
          <w:rPr>
            <w:rStyle w:val="Hyperlink"/>
            <w:rFonts w:hint="eastAsia" w:ascii="Noto Serif CJK SC" w:hAnsi="Noto Serif CJK SC" w:eastAsia="Noto Serif CJK SC" w:cs="Noto Serif CJK SC"/>
            <w:lang w:val="en-US" w:eastAsia="zh-CN"/>
          </w:rPr>
          <w:t xml:space="preserve">（三）</w:t>
        </w:r>
      </w:hyperlink>
      <w:r>
        <w:rPr>
          <w:rFonts w:hint="eastAsia" w:ascii="Noto Serif CJK SC" w:hAnsi="Noto Serif CJK SC" w:eastAsia="Noto Serif CJK SC" w:cs="Noto Serif CJK SC"/>
          <w:lang w:val="en-US" w:eastAsia="zh-CN"/>
        </w:rPr>
        <w:t xml:space="preserve">节确立的分配规则便可在更充分的事实基础上适用。《联邦民事诉讼规则》第8条适用于任何联邦诉状；第26、34和45条适用于针对具体请求权的记录提供；第15条适用于诉状修改。制定法创设的是这些规则本身并未创设的对象和固定信息获取权。它并不提供人工智能专用的注意标准、因果关系规则、产品分类或损害赔偿计算方法。</w:t>
      </w:r>
    </w:p>
    <w:p>
      <w:pPr>
        <w:pStyle w:val="BodyText"/>
      </w:pPr>
      <w:r>
        <w:rPr>
          <w:rFonts w:hint="eastAsia" w:ascii="Noto Serif CJK SC" w:hAnsi="Noto Serif CJK SC" w:eastAsia="Noto Serif CJK SC" w:cs="Noto Serif CJK SC"/>
          <w:lang w:val="en-US" w:eastAsia="zh-CN"/>
        </w:rPr>
        <w:t xml:space="preserve">法律利益入口还可以控制成本。可观察性是从事受规制运行的条件，因此运营者承担本地清单和首次答复的通常费用。额外格式处理或专家方案的费用，可以依照指定规则和裁判地法律分配。答复不完整或具有规避性的，由答复方承担其造成的合理费用。根据初步证据不处于控制环节的企业在第一阶段后退出。这些规则既使信息权能够实际行使，又避免把每一项受规制部署都变成持续面向公众的证据开示程序。</w:t>
      </w:r>
    </w:p>
    <w:bookmarkEnd w:id="216"/>
    <w:bookmarkStart w:id="220" w:name="X64f128467567ab17075eb48d3ab4c084add7f59"/>
    <w:p>
      <w:pPr>
        <w:pStyle w:val="Heading4"/>
      </w:pPr>
      <w:r>
        <w:rPr>
          <w:rFonts w:hint="eastAsia" w:ascii="Noto Sans CJK SC" w:hAnsi="Noto Sans CJK SC" w:eastAsia="Noto Sans CJK SC" w:cs="Noto Sans CJK SC"/>
          <w:lang w:val="en-US" w:eastAsia="zh-CN"/>
        </w:rPr>
        <w:t xml:space="preserve">（二）宪法、商业秘密和隐私保护塑造信息获取方式</w:t>
      </w:r>
    </w:p>
    <w:p>
      <w:pPr>
        <w:pStyle w:val="FirstParagraph"/>
      </w:pPr>
      <w:r>
        <w:rPr>
          <w:rFonts w:hint="eastAsia" w:ascii="Noto Serif CJK SC" w:hAnsi="Noto Serif CJK SC" w:eastAsia="Noto Serif CJK SC" w:cs="Noto Serif CJK SC"/>
          <w:lang w:val="en-US" w:eastAsia="zh-CN"/>
        </w:rPr>
        <w:t xml:space="preserve">强制答复既要符合示范法，也要符合宪法。最低限度答复与特定交易相连接，并且主要由事实构成：实际运行的系统及版本、持有记录的企业、发生的输出或通知，以及拥有所列权限的角色。答复交付给受影响者或执行该权利的裁判机构，而非向全社会公开。这些特征使首次答复区别于强迫表达意识形态观点，也区别于要求企业承认法律过错。</w:t>
      </w:r>
    </w:p>
    <w:p>
      <w:pPr>
        <w:pStyle w:val="BodyText"/>
      </w:pPr>
      <w:r>
        <w:rPr>
          <w:rFonts w:hint="eastAsia" w:ascii="Noto Serif CJK SC" w:hAnsi="Noto Serif CJK SC" w:eastAsia="Noto Serif CJK SC" w:cs="Noto Serif CJK SC"/>
          <w:lang w:val="en-US" w:eastAsia="zh-CN"/>
        </w:rPr>
        <w:t xml:space="preserve">应当适用何种《美国宪法第一修正案》（First</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Amendment）标准，取决于表达主体、内容和监管场景。</w:t>
      </w:r>
      <w:r>
        <w:rPr>
          <w:rFonts w:ascii="Noto Serif CJK SC" w:hAnsi="Noto Serif CJK SC" w:eastAsia="Noto Serif CJK SC" w:cs="Noto Serif CJK SC"/>
          <w:i/>
          <w:iCs/>
          <w:lang w:val="en-US" w:eastAsia="zh-CN"/>
        </w:rPr>
        <w:t xml:space="preserve">Zauderer</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允许在特定情况下，强制披露与防止欺骗具有合理联系、纯事实且无争议的商业信息；</w:t>
      </w:r>
      <w:r>
        <w:rPr>
          <w:rFonts w:ascii="Noto Serif CJK SC" w:hAnsi="Noto Serif CJK SC" w:eastAsia="Noto Serif CJK SC" w:cs="Noto Serif CJK SC"/>
          <w:i/>
          <w:iCs/>
          <w:lang w:val="en-US" w:eastAsia="zh-CN"/>
        </w:rPr>
        <w:t xml:space="preserve">NIFLA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则拒绝承认不受限制的“专业言论”类别，并要求法院审查负担及其与监管目标的适配性。</w:t>
      </w:r>
      <w:r>
        <w:rPr>
          <w:rFonts w:ascii="Noto Serif CJK SC" w:hAnsi="Noto Serif CJK SC" w:eastAsia="Noto Serif CJK SC" w:cs="Noto Serif CJK SC"/>
          <w:rStyle w:val="FootnoteReference"/>
          <w:lang w:val="en-US" w:eastAsia="zh-CN"/>
        </w:rPr>
        <w:footnoteReference w:id="217"/>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因此，指定规则应要求提供运行事实，采用中立的字段定义，并避免强迫企业使用“不安全”“有偏见”或“负有责任”等规范性定性。如果某一行业或所请求字段不属于商业披露规则的适用范围，则应适用通常的宪法审查标准。制定法采用封闭式字段并提供非公开保护，可以减轻负担，但不能预先决定宪法判断的结果。</w:t>
      </w:r>
    </w:p>
    <w:p>
      <w:pPr>
        <w:pStyle w:val="BodyText"/>
      </w:pPr>
      <w:r>
        <w:rPr>
          <w:rFonts w:hint="eastAsia" w:ascii="Noto Serif CJK SC" w:hAnsi="Noto Serif CJK SC" w:eastAsia="Noto Serif CJK SC" w:cs="Noto Serif CJK SC"/>
          <w:lang w:val="en-US" w:eastAsia="zh-CN"/>
        </w:rPr>
        <w:t xml:space="preserve">商业秘密应得到保护，但不应被一概排除。商业秘密利益可以构成财产，其成立取决于对保密性的合理期待；诉讼法也长期通过保护令限制机密商业材料的披露。</w:t>
      </w:r>
      <w:r>
        <w:rPr>
          <w:rFonts w:ascii="Noto Serif CJK SC" w:hAnsi="Noto Serif CJK SC" w:eastAsia="Noto Serif CJK SC" w:cs="Noto Serif CJK SC"/>
          <w:rStyle w:val="FootnoteReference"/>
          <w:lang w:val="en-US" w:eastAsia="zh-CN"/>
        </w:rPr>
        <w:footnoteReference w:id="218"/>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第一阶段不要求提供源代码、权重或不受限制的训练数据，而只要求提供身份、版本、事件、保管人和控制字段。只有在第二阶段证明必要性并符合比例原则后，方可考虑更深层材料；可以采用删节、仅限律师查阅、安全的专家审查、不公开审查以及测试方案等措施。拒绝提供的一方应说明记录、保管人、日期、版本和法律依据，以免保护措施演变为不可见性。</w:t>
      </w:r>
    </w:p>
    <w:p>
      <w:pPr>
        <w:pStyle w:val="BodyText"/>
      </w:pPr>
      <w:r>
        <w:rPr>
          <w:rFonts w:hint="eastAsia" w:ascii="Noto Serif CJK SC" w:hAnsi="Noto Serif CJK SC" w:eastAsia="Noto Serif CJK SC" w:cs="Noto Serif CJK SC"/>
          <w:lang w:val="en-US" w:eastAsia="zh-CN"/>
        </w:rPr>
        <w:t xml:space="preserve">特权遵循第</w:t>
      </w:r>
      <w:r>
        <w:rPr>
          <w:rFonts w:ascii="Noto Serif CJK SC" w:hAnsi="Noto Serif CJK SC" w:eastAsia="Noto Serif CJK SC" w:cs="Noto Serif CJK SC"/>
          <w:lang w:val="en-US" w:eastAsia="zh-CN"/>
        </w:rPr>
        <w:t xml:space="preserve"> </w:t>
      </w:r>
      <w:hyperlink w:anchor="Xe223f864c9710e45f97a5c50cbfddf30155e637">
        <w:r>
          <w:rPr>
            <w:rFonts w:ascii="Noto Serif CJK SC" w:hAnsi="Noto Serif CJK SC" w:eastAsia="Noto Serif CJK SC" w:cs="Noto Serif CJK SC"/>
            <w:rStyle w:val="Hyperlink"/>
            <w:lang w:val="en-US" w:eastAsia="zh-CN"/>
          </w:rPr>
          <w:t xml:space="preserve">3</w:t>
        </w:r>
      </w:hyperlink>
      <w:r>
        <w:rPr>
          <w:rFonts w:hint="eastAsia" w:ascii="Noto Serif CJK SC" w:hAnsi="Noto Serif CJK SC" w:eastAsia="Noto Serif CJK SC" w:cs="Noto Serif CJK SC"/>
          <w:lang w:val="en-US" w:eastAsia="zh-CN"/>
        </w:rPr>
        <w:t xml:space="preserve">节确立的同一界线。法律意见和律师工作成果继续受到保护。运营者提供底层的非特权事实和日常业务记录，并以足以供审查的具体程度列明受保护材料。本法不创设任何特权例外，也不规定律师参与会自动使一项运行事实脱离最低限度记录的范围。</w:t>
      </w:r>
    </w:p>
    <w:p>
      <w:pPr>
        <w:pStyle w:val="BodyText"/>
      </w:pPr>
      <w:r>
        <w:rPr>
          <w:rFonts w:hint="eastAsia" w:ascii="Noto Serif CJK SC" w:hAnsi="Noto Serif CJK SC" w:eastAsia="Noto Serif CJK SC" w:cs="Noto Serif CJK SC"/>
          <w:lang w:val="en-US" w:eastAsia="zh-CN"/>
        </w:rPr>
        <w:t xml:space="preserve">隐私与安全同时限制记录的形成和提供。第四部分采用分别适用的时间机制和事件字段结构，默认使无关用户、原始对话、员工监控、受保护的健康信息、凭证和安全细节处于清单之外。请求应采用范围最窄的可用事件标识符、时间窗口、功能和人群。假名化、汇总、安全审查和不公开测试，可以在不披露控制措施本身的情况下证明该措施确实存在。及时提出且针对特定字段的异议，只暂停提供有争议的受保护字段，并允许在披露或处罚前迅速接受中立审查；无争议的身份字段和事件字段仍应按期提供。</w:t>
      </w:r>
      <w:r>
        <w:rPr>
          <w:rFonts w:ascii="Noto Serif CJK SC" w:hAnsi="Noto Serif CJK SC" w:eastAsia="Noto Serif CJK SC" w:cs="Noto Serif CJK SC"/>
          <w:rStyle w:val="FootnoteReference"/>
          <w:lang w:val="en-US" w:eastAsia="zh-CN"/>
        </w:rPr>
        <w:footnoteReference w:id="219"/>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因此，宪法与保密边界具有积极内容：界定最低限度事实，尽量减少收集，并对其余材料采用受保护的信息获取方式。</w:t>
      </w:r>
    </w:p>
    <w:bookmarkEnd w:id="220"/>
    <w:bookmarkStart w:id="230" w:name="Xdc02b2c9f8ecb38a0d74a9a8d9de321f0e9eb2a"/>
    <w:p>
      <w:pPr>
        <w:pStyle w:val="Heading4"/>
      </w:pPr>
      <w:r>
        <w:rPr>
          <w:rFonts w:hint="eastAsia" w:ascii="Noto Sans CJK SC" w:hAnsi="Noto Sans CJK SC" w:eastAsia="Noto Sans CJK SC" w:cs="Noto Sans CJK SC"/>
          <w:lang w:val="en-US" w:eastAsia="zh-CN"/>
        </w:rPr>
        <w:t xml:space="preserve">（三）仲裁、地域限制与联邦先占支配争议解决场所</w:t>
      </w:r>
    </w:p>
    <w:p>
      <w:pPr>
        <w:pStyle w:val="FirstParagraph"/>
      </w:pPr>
      <w:r>
        <w:rPr>
          <w:rFonts w:hint="eastAsia" w:ascii="Noto Serif CJK SC" w:hAnsi="Noto Serif CJK SC" w:eastAsia="Noto Serif CJK SC" w:cs="Noto Serif CJK SC"/>
          <w:lang w:val="en-US" w:eastAsia="zh-CN"/>
        </w:rPr>
        <w:t xml:space="preserve">“不得放弃”所指的是实体义务，而非排他的司法审理机构。运营者不得通过合同排除受影响者取得最低限度记录的权利，但有效的仲裁协议可以决定由谁执行该权利。对于联邦制定法上的权利，国会作出的相反指令可以排除《联邦仲裁法》（Federal</w:t>
      </w:r>
      <w:r>
        <w:rPr>
          <w:rFonts w:ascii="Noto Serif CJK SC" w:hAnsi="Noto Serif CJK SC" w:eastAsia="Noto Serif CJK SC" w:cs="Noto Serif CJK SC"/>
          <w:lang w:val="en-US" w:eastAsia="zh-CN"/>
        </w:rPr>
        <w:t xml:space="preserve"> Arbitration </w:t>
      </w:r>
      <w:r>
        <w:rPr>
          <w:rFonts w:hint="eastAsia" w:ascii="Noto Serif CJK SC" w:hAnsi="Noto Serif CJK SC" w:eastAsia="Noto Serif CJK SC" w:cs="Noto Serif CJK SC"/>
          <w:lang w:val="en-US" w:eastAsia="zh-CN"/>
        </w:rPr>
        <w:t xml:space="preserve">Act）关于可仲裁性的规则。州示范法不得专门对仲裁协议施加不利待遇；它应当规定该义务不得放弃，同时允许其他方面有效的协议选择私人争议解决机构或仲裁庭。</w:t>
      </w:r>
      <w:r>
        <w:rPr>
          <w:rFonts w:ascii="Noto Serif CJK SC" w:hAnsi="Noto Serif CJK SC" w:eastAsia="Noto Serif CJK SC" w:cs="Noto Serif CJK SC"/>
          <w:rStyle w:val="FootnoteReference"/>
          <w:lang w:val="en-US" w:eastAsia="zh-CN"/>
        </w:rPr>
        <w:footnoteReference w:id="221"/>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当事人是否已将可仲裁性问题交由仲裁，依照联邦仲裁法理判断。</w:t>
      </w:r>
      <w:r>
        <w:rPr>
          <w:rFonts w:ascii="Noto Serif CJK SC" w:hAnsi="Noto Serif CJK SC" w:eastAsia="Noto Serif CJK SC" w:cs="Noto Serif CJK SC"/>
          <w:rStyle w:val="FootnoteReference"/>
          <w:lang w:val="en-US" w:eastAsia="zh-CN"/>
        </w:rPr>
        <w:footnoteReference w:id="222"/>
      </w:r>
    </w:p>
    <w:p>
      <w:pPr>
        <w:pStyle w:val="BodyText"/>
      </w:pPr>
      <w:r>
        <w:rPr>
          <w:rFonts w:hint="eastAsia" w:ascii="Noto Serif CJK SC" w:hAnsi="Noto Serif CJK SC" w:eastAsia="Noto Serif CJK SC" w:cs="Noto Serif CJK SC"/>
          <w:lang w:val="en-US" w:eastAsia="zh-CN"/>
        </w:rPr>
        <w:t xml:space="preserve">该义务仍然先于实体问题裁判机构对证据开示的需要而产生。受规制的运营者必须保存本地记录，并在制定法规定的期限内答复符合条件的请求；完成答复并非启动或继续仲裁的先决条件。如果运营者对协议的可执行性或适用范围提出争议，有权的法院或仲裁员应依照协议和《联邦仲裁法》解决。负责执行本法的机关不是仲裁协议当事人的，该协议不排除该机关以自己名义开展公共执法。</w:t>
      </w:r>
      <w:r>
        <w:rPr>
          <w:rFonts w:ascii="Noto Serif CJK SC" w:hAnsi="Noto Serif CJK SC" w:eastAsia="Noto Serif CJK SC" w:cs="Noto Serif CJK SC"/>
          <w:rStyle w:val="FootnoteReference"/>
          <w:lang w:val="en-US" w:eastAsia="zh-CN"/>
        </w:rPr>
        <w:footnoteReference w:id="223"/>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这一配置同时保留实体权利、当事人选定的私人争议解决机构和独立公共执法。</w:t>
      </w:r>
    </w:p>
    <w:p>
      <w:pPr>
        <w:pStyle w:val="BodyText"/>
      </w:pPr>
      <w:r>
        <w:rPr>
          <w:rFonts w:hint="eastAsia" w:ascii="Noto Serif CJK SC" w:hAnsi="Noto Serif CJK SC" w:eastAsia="Noto Serif CJK SC" w:cs="Noto Serif CJK SC"/>
          <w:lang w:val="en-US" w:eastAsia="zh-CN"/>
        </w:rPr>
        <w:t xml:space="preserve">仲裁程序可能无法触及上游第三方，因此本地记录尤其重要。《联邦仲裁法》第7条授权仲裁员传唤某人到场并携带文件；第九巡回上诉法院将其解释为不授权向非当事人发出独立的仲裁前文件传票。</w:t>
      </w:r>
      <w:r>
        <w:rPr>
          <w:rFonts w:ascii="Noto Serif CJK SC" w:hAnsi="Noto Serif CJK SC" w:eastAsia="Noto Serif CJK SC" w:cs="Noto Serif CJK SC"/>
          <w:rStyle w:val="FootnoteReference"/>
          <w:lang w:val="en-US" w:eastAsia="zh-CN"/>
        </w:rPr>
        <w:footnoteReference w:id="224"/>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运营者在部署前取得的调取权能够提供规定的供应商字段，而无须扩大仲裁传票权。本身受本法或仲裁协议约束的供应商应依据相应权限来源作出答复；其他供应商则通过运营者的合同提供答复。</w:t>
      </w:r>
    </w:p>
    <w:p>
      <w:pPr>
        <w:pStyle w:val="BodyText"/>
      </w:pPr>
      <w:r>
        <w:rPr>
          <w:rFonts w:hint="eastAsia" w:ascii="Noto Serif CJK SC" w:hAnsi="Noto Serif CJK SC" w:eastAsia="Noto Serif CJK SC" w:cs="Noto Serif CJK SC"/>
          <w:lang w:val="en-US" w:eastAsia="zh-CN"/>
        </w:rPr>
        <w:t xml:space="preserve">地域限制同样必须具体处理。州适用本州实体法的权限、裁判机构的属人管辖权以及有效送达，是彼此独立的前提。向运营者发出通知，并不能满足其中任何一项。只有在企业和已识别部署处于有效的地域范围与法律选择规则范围内时，控制持有人才直接承担制定法义务；采取强制性救济还需要有效送达和独立的管辖权基础。</w:t>
      </w:r>
      <w:r>
        <w:rPr>
          <w:rFonts w:ascii="Noto Serif CJK SC" w:hAnsi="Noto Serif CJK SC" w:eastAsia="Noto Serif CJK SC" w:cs="Noto Serif CJK SC"/>
          <w:rStyle w:val="FootnoteReference"/>
          <w:lang w:val="en-US" w:eastAsia="zh-CN"/>
        </w:rPr>
        <w:footnoteReference w:id="225"/>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运营者委任答复代理人，仅授权按制定法规定的路径送达通知，不应默示转化为对一般管辖权的同意；以登记为基础的明示同意制度会引出</w:t>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i/>
          <w:iCs/>
          <w:lang w:val="en-US" w:eastAsia="zh-CN"/>
        </w:rPr>
        <w:t xml:space="preserve">Mallory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所说明的不同问题。</w:t>
      </w:r>
      <w:r>
        <w:rPr>
          <w:rFonts w:ascii="Noto Serif CJK SC" w:hAnsi="Noto Serif CJK SC" w:eastAsia="Noto Serif CJK SC" w:cs="Noto Serif CJK SC"/>
          <w:rStyle w:val="FootnoteReference"/>
          <w:lang w:val="en-US" w:eastAsia="zh-CN"/>
        </w:rPr>
        <w:footnoteReference w:id="226"/>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尽管如此，本州境内对外可见的运营者仍负有保存本地清单和事件回执并维持合同调取路径的义务。这一不得转移的本地架构确保答复可以取得，同时避免虚构州的法律程序能够触及全球每一个节点。</w:t>
      </w:r>
    </w:p>
    <w:p>
      <w:pPr>
        <w:pStyle w:val="BodyText"/>
      </w:pPr>
      <w:r>
        <w:rPr>
          <w:rFonts w:hint="eastAsia" w:ascii="Noto Serif CJK SC" w:hAnsi="Noto Serif CJK SC" w:eastAsia="Noto Serif CJK SC" w:cs="Noto Serif CJK SC"/>
          <w:lang w:val="en-US" w:eastAsia="zh-CN"/>
        </w:rPr>
        <w:t xml:space="preserve">特定行业指定规则还必须逐条进行实质性的联邦先占审查。FCRA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明示先占了州法中关于异议程序、不利行动义务和信息提供者责任的特定要求；该机关现行解释取代了消费者金融保护局此前已经撤回的</w:t>
      </w:r>
      <w:r>
        <w:rPr>
          <w:rFonts w:ascii="Noto Serif CJK SC" w:hAnsi="Noto Serif CJK SC" w:eastAsia="Noto Serif CJK SC" w:cs="Noto Serif CJK SC"/>
          <w:lang w:val="en-US" w:eastAsia="zh-CN"/>
        </w:rPr>
        <w:t xml:space="preserve"> 2022 </w:t>
      </w:r>
      <w:r>
        <w:rPr>
          <w:rFonts w:hint="eastAsia" w:ascii="Noto Serif CJK SC" w:hAnsi="Noto Serif CJK SC" w:eastAsia="Noto Serif CJK SC" w:cs="Noto Serif CJK SC"/>
          <w:lang w:val="en-US" w:eastAsia="zh-CN"/>
        </w:rPr>
        <w:t xml:space="preserve">年狭义先占观点，同时承认法院仍是最终裁判者。</w:t>
      </w:r>
      <w:r>
        <w:rPr>
          <w:rFonts w:ascii="Noto Serif CJK SC" w:hAnsi="Noto Serif CJK SC" w:eastAsia="Noto Serif CJK SC" w:cs="Noto Serif CJK SC"/>
          <w:rStyle w:val="FootnoteReference"/>
          <w:lang w:val="en-US" w:eastAsia="zh-CN"/>
        </w:rPr>
        <w:footnoteReference w:id="227"/>
      </w:r>
      <w:r>
        <w:rPr>
          <w:rFonts w:ascii="Noto Serif CJK SC" w:hAnsi="Noto Serif CJK SC" w:eastAsia="Noto Serif CJK SC" w:cs="Noto Serif CJK SC"/>
          <w:lang w:val="en-US" w:eastAsia="zh-CN"/>
        </w:rPr>
        <w:t xml:space="preserve"> </w:t>
      </w:r>
      <w:r>
        <w:rPr>
          <w:rFonts w:ascii="Noto Serif CJK SC" w:hAnsi="Noto Serif CJK SC" w:eastAsia="Noto Serif CJK SC" w:cs="Noto Serif CJK SC"/>
          <w:lang w:val="en-US" w:eastAsia="zh-CN"/>
        </w:rPr>
        <w:t xml:space="preserve">ERISA </w:t>
      </w:r>
      <w:r>
        <w:rPr>
          <w:rFonts w:hint="eastAsia" w:ascii="Noto Serif CJK SC" w:hAnsi="Noto Serif CJK SC" w:eastAsia="Noto Serif CJK SC" w:cs="Noto Serif CJK SC"/>
          <w:lang w:val="en-US" w:eastAsia="zh-CN"/>
        </w:rPr>
        <w:t xml:space="preserve">可以排除侵入全国统一计划管理的州报告制度。联邦医疗器械法先占某些不同于或附加于联邦要求的义务，而</w:t>
      </w:r>
      <w:r>
        <w:rPr>
          <w:rFonts w:ascii="Noto Serif CJK SC" w:hAnsi="Noto Serif CJK SC" w:eastAsia="Noto Serif CJK SC" w:cs="Noto Serif CJK SC"/>
          <w:lang w:val="en-US" w:eastAsia="zh-CN"/>
        </w:rPr>
        <w:t xml:space="preserve"> HIPAA </w:t>
      </w:r>
      <w:r>
        <w:rPr>
          <w:rFonts w:hint="eastAsia" w:ascii="Noto Serif CJK SC" w:hAnsi="Noto Serif CJK SC" w:eastAsia="Noto Serif CJK SC" w:cs="Noto Serif CJK SC"/>
          <w:lang w:val="en-US" w:eastAsia="zh-CN"/>
        </w:rPr>
        <w:t xml:space="preserve">规则则保留特定的、更为严格的州隐私规定，并禁止与之冲突的信息披露命令。</w:t>
      </w:r>
      <w:r>
        <w:rPr>
          <w:rFonts w:ascii="Noto Serif CJK SC" w:hAnsi="Noto Serif CJK SC" w:eastAsia="Noto Serif CJK SC" w:cs="Noto Serif CJK SC"/>
          <w:rStyle w:val="FootnoteReference"/>
          <w:lang w:val="en-US" w:eastAsia="zh-CN"/>
        </w:rPr>
        <w:footnoteReference w:id="228"/>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就业法适用另一种权利保留规则。</w:t>
      </w:r>
      <w:r>
        <w:rPr>
          <w:rFonts w:ascii="Noto Serif CJK SC" w:hAnsi="Noto Serif CJK SC" w:eastAsia="Noto Serif CJK SC" w:cs="Noto Serif CJK SC"/>
          <w:rStyle w:val="FootnoteReference"/>
          <w:lang w:val="en-US" w:eastAsia="zh-CN"/>
        </w:rPr>
        <w:footnoteReference w:id="229"/>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指定规则应明确联邦主体和专属救济，说明联邦法提供的是最低标准、最高限度还是并行义务路径，排除哪些主体和字段，救济如何重叠，以及州可以中止哪些请求权的时效。一项概括性权利保留条款无法挽救联邦法已经排除的具体适用。在全国统一确有必要时，国会可以采用同样的部署责任入口架构。</w:t>
      </w:r>
    </w:p>
    <w:bookmarkEnd w:id="230"/>
    <w:bookmarkStart w:id="232" w:name="Xcb4b30a26b8c574b82ee1211e6956218b6054e7"/>
    <w:p>
      <w:pPr>
        <w:pStyle w:val="Heading4"/>
      </w:pPr>
      <w:r>
        <w:rPr>
          <w:rFonts w:hint="eastAsia" w:ascii="Noto Sans CJK SC" w:hAnsi="Noto Sans CJK SC" w:eastAsia="Noto Sans CJK SC" w:cs="Noto Sans CJK SC"/>
          <w:lang w:val="en-US" w:eastAsia="zh-CN"/>
        </w:rPr>
        <w:t xml:space="preserve">（四）分类中立保留实体问题</w:t>
      </w:r>
    </w:p>
    <w:p>
      <w:pPr>
        <w:pStyle w:val="FirstParagraph"/>
      </w:pPr>
      <w:r>
        <w:rPr>
          <w:rFonts w:hint="eastAsia" w:ascii="Noto Serif CJK SC" w:hAnsi="Noto Serif CJK SC" w:eastAsia="Noto Serif CJK SC" w:cs="Noto Serif CJK SC"/>
          <w:lang w:val="en-US" w:eastAsia="zh-CN"/>
        </w:rPr>
        <w:t xml:space="preserve">部署责任入口不把人工智能系统归类为产品、服务、表达主体、代理人或法律主体。陪伴型应用可能提出有关访问、记忆、参与度目标、危机响应和警示的设计问题，而针对某项被采纳信息提出的请求权则可能引出不同的《美国宪法第一修正案》问题。就业评分可以参与决定，却不会因此成为有形产品。生成文本可以传达运营者的决定，却不会因此使模型成为法律行为主体。</w:t>
      </w:r>
    </w:p>
    <w:p>
      <w:pPr>
        <w:pStyle w:val="BodyText"/>
      </w:pPr>
      <w:r>
        <w:rPr>
          <w:rFonts w:ascii="Noto Serif CJK SC" w:hAnsi="Noto Serif CJK SC" w:eastAsia="Noto Serif CJK SC" w:cs="Noto Serif CJK SC"/>
          <w:i/>
          <w:iCs/>
          <w:lang w:val="en-US" w:eastAsia="zh-CN"/>
        </w:rPr>
        <w:t xml:space="preserve">Garcia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说明了这种区分。在《联邦民事诉讼规则》第12条阶段，地区法院认为，将</w:t>
      </w:r>
      <w:r>
        <w:rPr>
          <w:rFonts w:ascii="Noto Serif CJK SC" w:hAnsi="Noto Serif CJK SC" w:eastAsia="Noto Serif CJK SC" w:cs="Noto Serif CJK SC"/>
          <w:lang w:val="en-US" w:eastAsia="zh-CN"/>
        </w:rPr>
        <w:t xml:space="preserve"> Character.AI </w:t>
      </w:r>
      <w:r>
        <w:rPr>
          <w:rFonts w:hint="eastAsia" w:ascii="Noto Serif CJK SC" w:hAnsi="Noto Serif CJK SC" w:eastAsia="Noto Serif CJK SC" w:cs="Noto Serif CJK SC"/>
          <w:lang w:val="en-US" w:eastAsia="zh-CN"/>
        </w:rPr>
        <w:t xml:space="preserve">主张为产品具有合理依据，因为受到质疑的功能涉及设计与商业销售。鉴于被告未能指出相关表达选择或表达主体，法院根据当时案卷拒绝将生成序列归类为受保护言论。</w:t>
      </w:r>
      <w:r>
        <w:rPr>
          <w:rFonts w:ascii="Noto Serif CJK SC" w:hAnsi="Noto Serif CJK SC" w:eastAsia="Noto Serif CJK SC" w:cs="Noto Serif CJK SC"/>
          <w:rStyle w:val="FootnoteReference"/>
          <w:lang w:val="en-US" w:eastAsia="zh-CN"/>
        </w:rPr>
        <w:footnoteReference w:id="231"/>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这些裁定都属于程序性、针对具体请求权的裁定。首次答复会指明请求权所质疑的是何种行为，部署实施了哪些人类或组织选择，具名主体采纳了何种信息，以及所请求救济所规制的是设计、交易、决策过程还是表达。适用法律随后再对请求权作出分类。</w:t>
      </w:r>
    </w:p>
    <w:p>
      <w:pPr>
        <w:pStyle w:val="BodyText"/>
      </w:pPr>
      <w:r>
        <w:rPr>
          <w:rFonts w:hint="eastAsia" w:ascii="Noto Serif CJK SC" w:hAnsi="Noto Serif CJK SC" w:eastAsia="Noto Serif CJK SC" w:cs="Noto Serif CJK SC"/>
          <w:lang w:val="en-US" w:eastAsia="zh-CN"/>
        </w:rPr>
        <w:t xml:space="preserve">分散式架构与开放式架构改变的是控制图谱，而非这一边界。不具备持续可见性、合同权利或停止运行权的开放权重发布者，可以在完成溯源答复后退出。选择受保护用途、添加数据和工具、移除安全保障并控制运行的下游修改者，可能占据相关控制环节。保留强制更新、监测或远程暂停权的提供者，则可能继续占据另一控制环节。合同标签和品牌关联仅在能够说明实际权限的范围内构成证据。只有当第一阶段记录支持相关功能构成事件路径的一部分或支配某项安全保障，且所请求信息与构成要件、抗辩或救济之间具有非微不足道的关联时，第二阶段才会启动。义务与因果关系仍属于实体问题。</w:t>
      </w:r>
    </w:p>
    <w:p>
      <w:pPr>
        <w:pStyle w:val="BodyText"/>
      </w:pPr>
      <w:r>
        <w:rPr>
          <w:rFonts w:hint="eastAsia" w:ascii="Noto Serif CJK SC" w:hAnsi="Noto Serif CJK SC" w:eastAsia="Noto Serif CJK SC" w:cs="Noto Serif CJK SC"/>
          <w:lang w:val="en-US" w:eastAsia="zh-CN"/>
        </w:rPr>
        <w:t xml:space="preserve">实体问题防火墙完成这一配置。合规、不合规、记录提供以及参与部署责任入口程序，均不对列举的实体问题产生任何推定。该规则提供一套记录，使现有法律能够区分合理部署、独立修改、剩余风险与可诉行为。它开启裁判程序，却不预先选择实体问题的胜方。</w:t>
      </w:r>
    </w:p>
    <w:bookmarkEnd w:id="232"/>
    <w:bookmarkEnd w:id="233"/>
    <w:bookmarkStart w:id="234" w:name="conclusion1"/>
    <w:p>
      <w:pPr>
        <w:pStyle w:val="Heading3"/>
      </w:pPr>
      <w:r>
        <w:rPr>
          <w:rFonts w:hint="eastAsia" w:ascii="Noto Sans CJK SC" w:hAnsi="Noto Sans CJK SC" w:eastAsia="Noto Sans CJK SC" w:cs="Noto Sans CJK SC"/>
          <w:lang w:val="en-US" w:eastAsia="zh-CN"/>
        </w:rPr>
        <w:t xml:space="preserve">结论</w:t>
      </w:r>
    </w:p>
    <w:p>
      <w:pPr>
        <w:pStyle w:val="FirstParagraph"/>
      </w:pPr>
      <w:r>
        <w:rPr>
          <w:rFonts w:hint="eastAsia" w:ascii="Noto Serif CJK SC" w:hAnsi="Noto Serif CJK SC" w:eastAsia="Noto Serif CJK SC" w:cs="Noto Serif CJK SC"/>
          <w:lang w:val="en-US" w:eastAsia="zh-CN"/>
        </w:rPr>
        <w:t xml:space="preserve">人工智能诉讼可能在义务、缺陷、歧视、因果关系、豁免或抗辩获得审理之前即告失败，因为系统身份、版本、事件路径、保管人和控制记录分散于不同组织。适格对象与记录持有人一经确定，通常程序就能发挥强大作用；但它无法在事件发生后创造这些前提。</w:t>
      </w:r>
    </w:p>
    <w:p>
      <w:pPr>
        <w:pStyle w:val="BodyText"/>
      </w:pPr>
      <w:r>
        <w:rPr>
          <w:rFonts w:hint="eastAsia" w:ascii="Noto Serif CJK SC" w:hAnsi="Noto Serif CJK SC" w:eastAsia="Noto Serif CJK SC" w:cs="Noto Serif CJK SC"/>
          <w:lang w:val="en-US" w:eastAsia="zh-CN"/>
        </w:rPr>
        <w:t xml:space="preserve">示范性行业立法提供部署责任入口。州立法机关指定受规制部署、受保护利益、对外可见的运营者、最低限度记录、留存期限及其起算机制、执行路径和联邦法边界；对于全国市场或联邦请求权，国会可以采用同一架构。法院负责管理首次答复和针对具体请求权的第二阶段，而不是从证据开示规则中推导事前义务。</w:t>
      </w:r>
    </w:p>
    <w:p>
      <w:pPr>
        <w:pStyle w:val="BodyText"/>
      </w:pPr>
      <w:r>
        <w:rPr>
          <w:rFonts w:hint="eastAsia" w:ascii="Noto Serif CJK SC" w:hAnsi="Noto Serif CJK SC" w:eastAsia="Noto Serif CJK SC" w:cs="Noto Serif CJK SC"/>
          <w:lang w:val="en-US" w:eastAsia="zh-CN"/>
        </w:rPr>
        <w:t xml:space="preserve">第一阶段始于一项影响指定利益的不利事件、该事件借以发生的受规制部署，以及将封闭列举的身份字段与事件字段同该事件联系起来的事实——绝不要求仅存在于部署记录中的事实。对外可见的运营者提供事件回执和保管人图谱，保全相关数据切片，并启动合同约定的调取路径。企业只有在同时满足下列条件时才会进入第二阶段：其对特定风险拥有实际权限；第一阶段记录支持其功能构成事件路径的一部分或支配某项安全保障；所请求信息与构成要件、抗辩或救济之间具有非微不足道的关联。无须证明其本应采取不同行为、能够预防损害或存在因果关系。</w:t>
      </w:r>
    </w:p>
    <w:p>
      <w:pPr>
        <w:pStyle w:val="BodyText"/>
      </w:pPr>
      <w:r>
        <w:rPr>
          <w:rFonts w:hint="eastAsia" w:ascii="Noto Serif CJK SC" w:hAnsi="Noto Serif CJK SC" w:eastAsia="Noto Serif CJK SC" w:cs="Noto Serif CJK SC"/>
          <w:lang w:val="en-US" w:eastAsia="zh-CN"/>
        </w:rPr>
        <w:t xml:space="preserve">具体适用说明了两个阶段为何都不可或缺。</w:t>
      </w:r>
      <w:r>
        <w:rPr>
          <w:rFonts w:ascii="Noto Serif CJK SC" w:hAnsi="Noto Serif CJK SC" w:eastAsia="Noto Serif CJK SC" w:cs="Noto Serif CJK SC"/>
          <w:i/>
          <w:iCs/>
          <w:lang w:val="en-US" w:eastAsia="zh-CN"/>
        </w:rPr>
        <w:t xml:space="preserve">Garcia</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涉及一个对外可见的运营者和一套缺失的部署记录。</w:t>
      </w:r>
      <w:r>
        <w:rPr>
          <w:rFonts w:ascii="Noto Serif CJK SC" w:hAnsi="Noto Serif CJK SC" w:eastAsia="Noto Serif CJK SC" w:cs="Noto Serif CJK SC"/>
          <w:i/>
          <w:iCs/>
          <w:lang w:val="en-US" w:eastAsia="zh-CN"/>
        </w:rPr>
        <w:t xml:space="preserve">Mobley</w:t>
      </w:r>
      <w:r>
        <w:rPr>
          <w:rFonts w:ascii="Noto Serif CJK SC" w:hAnsi="Noto Serif CJK SC" w:eastAsia="Noto Serif CJK SC" w:cs="Noto Serif CJK SC"/>
          <w:lang w:val="en-US" w:eastAsia="zh-CN"/>
        </w:rPr>
        <w:t xml:space="preserve"> </w:t>
      </w:r>
      <w:r>
        <w:rPr>
          <w:rFonts w:hint="eastAsia" w:ascii="Noto Serif CJK SC" w:hAnsi="Noto Serif CJK SC" w:eastAsia="Noto Serif CJK SC" w:cs="Noto Serif CJK SC"/>
          <w:lang w:val="en-US" w:eastAsia="zh-CN"/>
        </w:rPr>
        <w:t xml:space="preserve">则涉及分散于雇主与供应商之间的功能身份、物理托管、法律控制、特权和使用。共同的事件标识符、本地清单和调取权使两种架构都可以被观察，而无须把每一供应商都列为被告。实体问题防火墙允许不相关主体及早退出，同时不改变任何构成要件或抗辩。</w:t>
      </w:r>
    </w:p>
    <w:p>
      <w:pPr>
        <w:pStyle w:val="BodyText"/>
      </w:pPr>
      <w:r>
        <w:rPr>
          <w:rFonts w:hint="eastAsia" w:ascii="Noto Serif CJK SC" w:hAnsi="Noto Serif CJK SC" w:eastAsia="Noto Serif CJK SC" w:cs="Noto Serif CJK SC"/>
          <w:lang w:val="en-US" w:eastAsia="zh-CN"/>
        </w:rPr>
        <w:t xml:space="preserve">该制度设计使受影响者能够在分散保管或诉讼时效决定争议结果之前，识别实际运行的部署。它也使企业能够证明某项功能从未运行、某项输出从未进入决策路径、下游主体修改了系统、警示曾经出现或干预措施按设计运行，或者拟议的替代方案当时不可用。隐私最小化、特权、商业秘密保护、仲裁法理、地域限制和联邦先占，始终是该规则的组成部分。</w:t>
      </w:r>
    </w:p>
    <w:p>
      <w:pPr>
        <w:pStyle w:val="BodyText"/>
      </w:pPr>
      <w:r>
        <w:rPr>
          <w:rFonts w:hint="eastAsia" w:ascii="Noto Serif CJK SC" w:hAnsi="Noto Serif CJK SC" w:eastAsia="Noto Serif CJK SC" w:cs="Noto Serif CJK SC"/>
          <w:lang w:val="en-US" w:eastAsia="zh-CN"/>
        </w:rPr>
        <w:t xml:space="preserve">概率性输出不会消除法律责任；它只是改变控制证据所在的位置。部署责任入口使这些证据可以在信息不对称决定案件结果之前被调取。</w:t>
      </w:r>
    </w:p>
    <w:bookmarkEnd w:id="234"/>
    <w:bookmarkEnd w:id="235"/>
    <w:sectPr>
      <w:footnotePr>
        <w:pos w:val="pageBottom"/>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Noto Serif CJK SC">
    <w:charset w:val="86"/>
    <w:family w:val="roman"/>
    <w:pitch w:val="variable"/>
  </w:font>
  <w:font w:name="Noto Sans CJK SC">
    <w:charset w:val="86"/>
    <w:family w:val="swiss"/>
    <w:pitch w:val="variable"/>
  </w:font>
  <w:font w:name="Arial Unicode MS">
    <w:charset w:val="86"/>
    <w:family w:val="roman"/>
    <w:pitch w:val="variable"/>
  </w:font>
  <w:font w:name="Arial Unicode MS">
    <w:charset w:val="86"/>
    <w:family w:val="swiss"/>
    <w:pitch w:val="variable"/>
  </w:font>
</w:fonts>
</file>

<file path=word/footnotes.xml><?xml version="1.0" encoding="utf-8"?>
<w:footnotes xmlns:r="http://schemas.openxmlformats.org/officeDocument/2006/relationships" xmlns:w="http://schemas.openxmlformats.org/wordprocessingml/2006/main">
  <w:footnote w:type="continuationSeparator" w:id="0">
    <w:p>
      <w:r>
        <w:continuationSeparator/>
      </w:r>
    </w:p>
  </w:footnote>
  <w:footnote w:type="separator" w:id="-1">
    <w:p>
      <w:r>
        <w:separator/>
      </w:r>
    </w:p>
  </w:footnote>
  <w:footnote w:id="98">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 v. Character Techs.,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785 F. Supp. 3d 1157, 1165–69, 1174–84 (M.D. Fla. 2025); Order Dismissing Settled Action at 1,</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 v. Character Techs.,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No. 6:24-cv-01903-ACC-DCI (M.D. Fla. Jan. 7, 2026), ECF No. 244; Order Resolving Charging Lien at 1,</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 v. Character Techs.,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No. 6:24-cv-01903-ACC-DCI (M.D. Fla. June 11, 2026), ECF No. 273. </w:t>
      </w:r>
      <w:r>
        <w:rPr>
          <w:rFonts w:hint="eastAsia" w:ascii="Noto Serif CJK SC" w:hAnsi="Noto Serif CJK SC" w:eastAsia="Noto Serif CJK SC" w:cs="Noto Serif CJK SC"/>
          <w:lang w:val="en-US" w:eastAsia="zh-CN"/>
          <w:sz w:val="20"/>
          <w:szCs w:val="20"/>
        </w:rPr>
        <w:t xml:space="preserve">起诉状中存在争议的事实陈述仍仅属诉讼主张。本文使用已经公布的《联邦民事诉讼规则》第12条裁定开展分类与诉状分析，而不将其视为实体判决。</w:t>
      </w:r>
    </w:p>
  </w:footnote>
  <w:footnote w:id="99">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Anat Lior,</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AI Strict Liability Vis-À-Vis AI Monopolization</w:t>
      </w:r>
      <w:r>
        <w:rPr>
          <w:rFonts w:ascii="Noto Serif CJK SC" w:hAnsi="Noto Serif CJK SC" w:eastAsia="Noto Serif CJK SC" w:cs="Noto Serif CJK SC"/>
          <w:lang w:val="en-US" w:eastAsia="zh-CN"/>
          <w:sz w:val="20"/>
          <w:szCs w:val="20"/>
        </w:rPr>
        <w:t xml:space="preserve">, 22</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Colum. Sci. &amp; Tech. L. Rev.</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90, 91, 94–97 (2021)</w:t>
      </w:r>
      <w:bookmarkStart w:id="100" w:name="x1-2007xdoc"/>
      <w:bookmarkEnd w:id="100"/>
      <w:r>
        <w:rPr>
          <w:rFonts w:ascii="Noto Serif CJK SC" w:hAnsi="Noto Serif CJK SC" w:eastAsia="Noto Serif CJK SC" w:cs="Noto Serif CJK SC"/>
          <w:lang w:val="en-US" w:eastAsia="zh-CN"/>
          <w:sz w:val="20"/>
          <w:szCs w:val="20"/>
        </w:rPr>
        <w:t xml:space="preserve">; Zachary Henderson,</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Rethinking Robot Liability</w:t>
      </w:r>
      <w:r>
        <w:rPr>
          <w:rFonts w:ascii="Noto Serif CJK SC" w:hAnsi="Noto Serif CJK SC" w:eastAsia="Noto Serif CJK SC" w:cs="Noto Serif CJK SC"/>
          <w:lang w:val="en-US" w:eastAsia="zh-CN"/>
          <w:sz w:val="20"/>
          <w:szCs w:val="20"/>
        </w:rPr>
        <w:t xml:space="preserve">, 67</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B.C. L. Rev.</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479, 483, 515–17 (2026); Catherine M. Sharkey,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A Products Liability Framework for AI</w:t>
      </w:r>
      <w:r>
        <w:rPr>
          <w:rFonts w:ascii="Noto Serif CJK SC" w:hAnsi="Noto Serif CJK SC" w:eastAsia="Noto Serif CJK SC" w:cs="Noto Serif CJK SC"/>
          <w:lang w:val="en-US" w:eastAsia="zh-CN"/>
          <w:sz w:val="20"/>
          <w:szCs w:val="20"/>
        </w:rPr>
        <w:t xml:space="preserve">, 25</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Colum. Sci. &amp; Tech. L. Rev.</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240, 240, 244–47 (2024); Ketan Ramakrishnan,</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Tort Law at the Frontier of Artificial Intelligence</w:t>
      </w:r>
      <w:r>
        <w:rPr>
          <w:rFonts w:ascii="Noto Serif CJK SC" w:hAnsi="Noto Serif CJK SC" w:eastAsia="Noto Serif CJK SC" w:cs="Noto Serif CJK SC"/>
          <w:lang w:val="en-US" w:eastAsia="zh-CN"/>
          <w:sz w:val="20"/>
          <w:szCs w:val="20"/>
        </w:rPr>
        <w:t xml:space="preserve">, 43</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Yale J. on Reg.</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960, 960–61 (2026). </w:t>
      </w:r>
      <w:r>
        <w:rPr>
          <w:rFonts w:hint="eastAsia" w:ascii="Noto Serif CJK SC" w:hAnsi="Noto Serif CJK SC" w:eastAsia="Noto Serif CJK SC" w:cs="Noto Serif CJK SC"/>
          <w:lang w:val="en-US" w:eastAsia="zh-CN"/>
          <w:sz w:val="20"/>
          <w:szCs w:val="20"/>
        </w:rPr>
        <w:t xml:space="preserve">一项针对</w:t>
      </w:r>
      <w:r>
        <w:rPr>
          <w:rFonts w:ascii="Noto Serif CJK SC" w:hAnsi="Noto Serif CJK SC" w:eastAsia="Noto Serif CJK SC" w:cs="Noto Serif CJK SC"/>
          <w:lang w:val="en-US" w:eastAsia="zh-CN"/>
          <w:sz w:val="20"/>
          <w:szCs w:val="20"/>
        </w:rPr>
        <w:t xml:space="preserve"> 559 </w:t>
      </w:r>
      <w:r>
        <w:rPr>
          <w:rFonts w:hint="eastAsia" w:ascii="Noto Serif CJK SC" w:hAnsi="Noto Serif CJK SC" w:eastAsia="Noto Serif CJK SC" w:cs="Noto Serif CJK SC"/>
          <w:lang w:val="en-US" w:eastAsia="zh-CN"/>
          <w:sz w:val="20"/>
          <w:szCs w:val="20"/>
        </w:rPr>
        <w:t xml:space="preserve">份联邦法院裁判意见的系统综述同样指出，法院主要运用既有法理解决人工智能争议，而进入诉讼的损害受到现有请求权基础的塑造。参见</w:t>
      </w:r>
      <w:r>
        <w:rPr>
          <w:rFonts w:ascii="Noto Serif CJK SC" w:hAnsi="Noto Serif CJK SC" w:eastAsia="Noto Serif CJK SC" w:cs="Noto Serif CJK SC"/>
          <w:lang w:val="en-US" w:eastAsia="zh-CN"/>
          <w:sz w:val="20"/>
          <w:szCs w:val="20"/>
        </w:rPr>
        <w:t xml:space="preserve"> Julie Yu et al., Visible to the Court: How AI Is (and Isn’t) Litigated in U.S. Federal Court Opinions, at 1, 8–9 (2026),</w:t>
      </w:r>
      <w:r>
        <w:rPr>
          <w:rFonts w:ascii="Noto Serif CJK SC" w:hAnsi="Noto Serif CJK SC" w:eastAsia="Noto Serif CJK SC" w:cs="Noto Serif CJK SC"/>
          <w:lang w:val="en-US" w:eastAsia="zh-CN"/>
          <w:sz w:val="20"/>
          <w:szCs w:val="20"/>
        </w:rPr>
        <w:t xml:space="preserve"> </w:t>
      </w:r>
      <w:hyperlink r:id="rId101">
        <w:r>
          <w:rPr>
            <w:rFonts w:ascii="Noto Serif CJK SC" w:hAnsi="Noto Serif CJK SC" w:eastAsia="Noto Serif CJK SC" w:cs="Noto Serif CJK SC"/>
            <w:rStyle w:val="Hyperlink"/>
            <w:lang w:val="en-US" w:eastAsia="zh-CN"/>
            <w:sz w:val="20"/>
            <w:szCs w:val="20"/>
          </w:rPr>
          <w:t xml:space="preserve">https://arxiv.org/abs/2607.23888</w:t>
        </w:r>
      </w:hyperlink>
      <w:r>
        <w:rPr>
          <w:rFonts w:ascii="Noto Serif CJK SC" w:hAnsi="Noto Serif CJK SC" w:eastAsia="Noto Serif CJK SC" w:cs="Noto Serif CJK SC"/>
          <w:lang w:val="en-US" w:eastAsia="zh-CN"/>
          <w:sz w:val="20"/>
          <w:szCs w:val="20"/>
        </w:rPr>
        <w:t xml:space="preserve">.</w:t>
      </w:r>
    </w:p>
  </w:footnote>
  <w:footnote w:id="10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Matthew Stewart,</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Beyond Explanation: Evidentiary Rights for Algorithmic Accountability</w:t>
      </w:r>
      <w:r>
        <w:rPr>
          <w:rFonts w:ascii="Noto Serif CJK SC" w:hAnsi="Noto Serif CJK SC" w:eastAsia="Noto Serif CJK SC" w:cs="Noto Serif CJK SC"/>
          <w:lang w:val="en-US" w:eastAsia="zh-CN"/>
          <w:sz w:val="20"/>
          <w:szCs w:val="20"/>
        </w:rPr>
        <w:t xml:space="preserve">, in</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Proceedings</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of the 2026 ACM Conference on Fairness, Accountability, and Transparency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1066, 1067, 1076–79 (2026),</w:t>
      </w:r>
      <w:r>
        <w:rPr>
          <w:rFonts w:ascii="Noto Serif CJK SC" w:hAnsi="Noto Serif CJK SC" w:eastAsia="Noto Serif CJK SC" w:cs="Noto Serif CJK SC"/>
          <w:lang w:val="en-US" w:eastAsia="zh-CN"/>
          <w:sz w:val="20"/>
          <w:szCs w:val="20"/>
        </w:rPr>
        <w:t xml:space="preserve"> </w:t>
      </w:r>
      <w:hyperlink r:id="rId103">
        <w:r>
          <w:rPr>
            <w:rFonts w:ascii="Noto Serif CJK SC" w:hAnsi="Noto Serif CJK SC" w:eastAsia="Noto Serif CJK SC" w:cs="Noto Serif CJK SC"/>
            <w:rStyle w:val="Hyperlink"/>
            <w:lang w:val="en-US" w:eastAsia="zh-CN"/>
            <w:sz w:val="20"/>
            <w:szCs w:val="20"/>
          </w:rPr>
          <w:t xml:space="preserve">https://doi.org/10.1145/3805689.3806532</w:t>
        </w:r>
      </w:hyperlink>
      <w:bookmarkStart w:id="104" w:name="x1-2014xdoc"/>
      <w:bookmarkEnd w:id="104"/>
      <w:r>
        <w:rPr>
          <w:rFonts w:ascii="Noto Serif CJK SC" w:hAnsi="Noto Serif CJK SC" w:eastAsia="Noto Serif CJK SC" w:cs="Noto Serif CJK SC"/>
          <w:lang w:val="en-US" w:eastAsia="zh-CN"/>
          <w:sz w:val="20"/>
          <w:szCs w:val="20"/>
        </w:rPr>
        <w:t xml:space="preserve">; Sarah H. Cen, Hannah Ismael &amp; Lucia Zheng,</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Barriers to Evidence in AI-Related Cases and the Privatization of Proof</w:t>
      </w:r>
      <w:r>
        <w:rPr>
          <w:rFonts w:ascii="Noto Serif CJK SC" w:hAnsi="Noto Serif CJK SC" w:eastAsia="Noto Serif CJK SC" w:cs="Noto Serif CJK SC"/>
          <w:lang w:val="en-US" w:eastAsia="zh-CN"/>
          <w:sz w:val="20"/>
          <w:szCs w:val="20"/>
        </w:rPr>
        <w:t xml:space="preserve">, in</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Proceedings of the 2026 ACM</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Conference on Fairness, Accountability, and Transparency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7793, 7794–95, 7801–05 (2026),</w:t>
      </w:r>
      <w:r>
        <w:rPr>
          <w:rFonts w:ascii="Noto Serif CJK SC" w:hAnsi="Noto Serif CJK SC" w:eastAsia="Noto Serif CJK SC" w:cs="Noto Serif CJK SC"/>
          <w:lang w:val="en-US" w:eastAsia="zh-CN"/>
          <w:sz w:val="20"/>
          <w:szCs w:val="20"/>
        </w:rPr>
        <w:t xml:space="preserve"> </w:t>
      </w:r>
      <w:hyperlink r:id="rId105">
        <w:r>
          <w:rPr>
            <w:rFonts w:ascii="Noto Serif CJK SC" w:hAnsi="Noto Serif CJK SC" w:eastAsia="Noto Serif CJK SC" w:cs="Noto Serif CJK SC"/>
            <w:rStyle w:val="Hyperlink"/>
            <w:lang w:val="en-US" w:eastAsia="zh-CN"/>
            <w:sz w:val="20"/>
            <w:szCs w:val="20"/>
          </w:rPr>
          <w:t xml:space="preserve">https://doi.org/10.1145/3805689.3812219</w:t>
        </w:r>
      </w:hyperlink>
      <w:r>
        <w:rPr>
          <w:rFonts w:ascii="Noto Serif CJK SC" w:hAnsi="Noto Serif CJK SC" w:eastAsia="Noto Serif CJK SC" w:cs="Noto Serif CJK SC"/>
          <w:lang w:val="en-US" w:eastAsia="zh-CN"/>
          <w:sz w:val="20"/>
          <w:szCs w:val="20"/>
        </w:rPr>
        <w:t xml:space="preserve">.</w:t>
      </w:r>
    </w:p>
  </w:footnote>
  <w:footnote w:id="107">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例如参见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United States v. U.S. Gypsum Co.,</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438 U.S. 422, 444–46 (1978);</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Speller v. Sears, Roebuck &amp; Co.,</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100 N.Y.2d 38, 41–43 (2003);</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Restatement (Third) of Agency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 7.03(1), 7.05 (Am. L. Inst. 2006).</w:t>
      </w:r>
    </w:p>
  </w:footnote>
  <w:footnote w:id="108">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Mobley v. Workday,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740 F. Supp. 3d 796, 806–08 (N.D. Cal. 2024). </w:t>
      </w:r>
      <w:r>
        <w:rPr>
          <w:rFonts w:hint="eastAsia" w:ascii="Noto Serif CJK SC" w:hAnsi="Noto Serif CJK SC" w:eastAsia="Noto Serif CJK SC" w:cs="Noto Serif CJK SC"/>
          <w:lang w:val="en-US" w:eastAsia="zh-CN"/>
          <w:sz w:val="20"/>
          <w:szCs w:val="20"/>
        </w:rPr>
        <w:t xml:space="preserve">该裁定部分准许、部分驳回</w:t>
      </w:r>
      <w:r>
        <w:rPr>
          <w:rFonts w:ascii="Noto Serif CJK SC" w:hAnsi="Noto Serif CJK SC" w:eastAsia="Noto Serif CJK SC" w:cs="Noto Serif CJK SC"/>
          <w:lang w:val="en-US" w:eastAsia="zh-CN"/>
          <w:sz w:val="20"/>
          <w:szCs w:val="20"/>
        </w:rPr>
        <w:t xml:space="preserve"> Workday </w:t>
      </w:r>
      <w:r>
        <w:rPr>
          <w:rFonts w:hint="eastAsia" w:ascii="Noto Serif CJK SC" w:hAnsi="Noto Serif CJK SC" w:eastAsia="Noto Serif CJK SC" w:cs="Noto Serif CJK SC"/>
          <w:lang w:val="en-US" w:eastAsia="zh-CN"/>
          <w:sz w:val="20"/>
          <w:szCs w:val="20"/>
        </w:rPr>
        <w:t xml:space="preserve">针对第一次修正起诉状提出的驳回动议；它没有认定存在歧视性运行，也没有解决实体问题。</w:t>
      </w:r>
    </w:p>
  </w:footnote>
  <w:footnote w:id="111">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Civ. P. 8(a)(2); Fed. R. Civ. P. 11(b)(3);</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Bell Atl. Corp. v. Twombly,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550 U.S. 544, 555–59, 570 (2007);</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Ashcroft v. Iqbal,</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556 U.S. 662, 678–79, 686 (2009);</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Rotella v. Wood,</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528 U.S. 549, 560–61 (2000).</w:t>
      </w:r>
    </w:p>
  </w:footnote>
  <w:footnote w:id="11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Civ. P. 26; Fed. R. Civ. P. 34(a)(1), 45.</w:t>
      </w:r>
    </w:p>
  </w:footnote>
  <w:footnote w:id="113">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Civ. P. 26(a)(1)(A)(i)–(iv), 26(a)(1)(C), 26(f).</w:t>
      </w:r>
    </w:p>
  </w:footnote>
  <w:footnote w:id="114">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Strike 3 Holdings, LLC v. Doe,</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964 F.3d 1203, 1207, 1210–11 (D.C. Cir. 2020); </w:t>
      </w:r>
      <w:r>
        <w:rPr>
          <w:rFonts w:hint="eastAsia" w:ascii="Noto Serif CJK SC" w:hAnsi="Noto Serif CJK SC" w:eastAsia="Noto Serif CJK SC" w:cs="Noto Serif CJK SC"/>
          <w:lang w:val="en-US" w:eastAsia="zh-CN"/>
          <w:sz w:val="20"/>
          <w:szCs w:val="20"/>
        </w:rPr>
        <w:t xml:space="preserve">另参见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Columbia Ins. Co. v. Seescandy.com,</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185 F.R.D. 573, 577–80 (N.D. Cal. 1999).</w:t>
      </w:r>
    </w:p>
  </w:footnote>
  <w:footnote w:id="115">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Civ. P. 27;</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Workman v. U.S. Postal Serv.,</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127 F.4th 237, 240–45 (10th Cir. 2025);</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Ash v. Cort,</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512 F.2d 909, 912 (3d Cir. 1975).</w:t>
      </w:r>
    </w:p>
  </w:footnote>
  <w:footnote w:id="116">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比较</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In re Citric Acid Litig.,</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191 F.3d 1090, 1107–08 (9th Cir. 1999) </w:t>
      </w:r>
      <w:r>
        <w:rPr>
          <w:rFonts w:hint="eastAsia" w:ascii="Noto Serif CJK SC" w:hAnsi="Noto Serif CJK SC" w:eastAsia="Noto Serif CJK SC" w:cs="Noto Serif CJK SC"/>
          <w:lang w:val="en-US" w:eastAsia="zh-CN"/>
          <w:sz w:val="20"/>
          <w:szCs w:val="20"/>
        </w:rPr>
        <w:t xml:space="preserve">与</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Sergeeva v. Tripleton Int’l Ltd.,</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834 F.3d 1194, 1200–02 (11th Cir. 2016)。</w:t>
      </w:r>
      <w:r>
        <w:rPr>
          <w:rFonts w:ascii="Noto Serif CJK SC" w:hAnsi="Noto Serif CJK SC" w:eastAsia="Noto Serif CJK SC" w:cs="Noto Serif CJK SC"/>
          <w:i/>
          <w:iCs/>
          <w:lang w:val="en-US" w:eastAsia="zh-CN"/>
          <w:sz w:val="20"/>
          <w:szCs w:val="20"/>
        </w:rPr>
        <w:t xml:space="preserve">Sergeeva</w:t>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案依据</w:t>
      </w:r>
      <w:r>
        <w:rPr>
          <w:rFonts w:ascii="Noto Serif CJK SC" w:hAnsi="Noto Serif CJK SC" w:eastAsia="Noto Serif CJK SC" w:cs="Noto Serif CJK SC"/>
          <w:lang w:val="en-US" w:eastAsia="zh-CN"/>
          <w:sz w:val="20"/>
          <w:szCs w:val="20"/>
        </w:rPr>
        <w:t xml:space="preserve"> 28 U.S.C. § 1782 </w:t>
      </w:r>
      <w:r>
        <w:rPr>
          <w:rFonts w:hint="eastAsia" w:ascii="Noto Serif CJK SC" w:hAnsi="Noto Serif CJK SC" w:eastAsia="Noto Serif CJK SC" w:cs="Noto Serif CJK SC"/>
          <w:lang w:val="en-US" w:eastAsia="zh-CN"/>
          <w:sz w:val="20"/>
          <w:szCs w:val="20"/>
        </w:rPr>
        <w:t xml:space="preserve">提起；它展示了实际控制路径，而非裁定美国国内通常实体诉讼中的证据开示问题。</w:t>
      </w:r>
    </w:p>
  </w:footnote>
  <w:footnote w:id="117">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Civ. P. 15(c);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Krupski v. Costa Crociere S.p.A.,</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560 U.S. 538, 547–57 (2010);</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Winzer v. Kaufman Cnty.,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916 F.3d 464, 470–71 (5th Cir. 2019);</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Butler v. Nat’l Cmty. Renaissance,</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766 F.3d 1191, 1200–02 (9th Cir. 2014).</w:t>
      </w:r>
    </w:p>
  </w:footnote>
  <w:footnote w:id="118">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Ill. Sup. Ct. R. 224(a)(1)–(2), (b), (c); Tex. R. Civ. P. 202.1, 202.2(g), 202.4(a), 202.5; N.Y. C.P.L.R. § 3102(c) (2026); Cal. Civ. Proc. Code § 2035.010(b) (2026). </w:t>
      </w:r>
      <w:r>
        <w:rPr>
          <w:rFonts w:hint="eastAsia" w:ascii="Noto Serif CJK SC" w:hAnsi="Noto Serif CJK SC" w:eastAsia="Noto Serif CJK SC" w:cs="Noto Serif CJK SC"/>
          <w:lang w:val="en-US" w:eastAsia="zh-CN"/>
          <w:sz w:val="20"/>
          <w:szCs w:val="20"/>
        </w:rPr>
        <w:t xml:space="preserve">一项纽约州诉前申请不会仅因被申请人将其移送至联邦法院，就转化为《联邦民事诉讼规则》第27条程序；</w:t>
      </w:r>
      <w:r>
        <w:rPr>
          <w:rFonts w:ascii="Noto Serif CJK SC" w:hAnsi="Noto Serif CJK SC" w:eastAsia="Noto Serif CJK SC" w:cs="Noto Serif CJK SC"/>
          <w:i/>
          <w:iCs/>
          <w:lang w:val="en-US" w:eastAsia="zh-CN"/>
          <w:sz w:val="20"/>
          <w:szCs w:val="20"/>
        </w:rPr>
        <w:t xml:space="preserve">Teamsters Local 404</w:t>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认为，州法申请不属于</w:t>
      </w:r>
      <w:r>
        <w:rPr>
          <w:rFonts w:ascii="Noto Serif CJK SC" w:hAnsi="Noto Serif CJK SC" w:eastAsia="Noto Serif CJK SC" w:cs="Noto Serif CJK SC"/>
          <w:lang w:val="en-US" w:eastAsia="zh-CN"/>
          <w:sz w:val="20"/>
          <w:szCs w:val="20"/>
        </w:rPr>
        <w:t xml:space="preserve"> 28 U.S.C. § 1441 </w:t>
      </w:r>
      <w:r>
        <w:rPr>
          <w:rFonts w:hint="eastAsia" w:ascii="Noto Serif CJK SC" w:hAnsi="Noto Serif CJK SC" w:eastAsia="Noto Serif CJK SC" w:cs="Noto Serif CJK SC"/>
          <w:lang w:val="en-US" w:eastAsia="zh-CN"/>
          <w:sz w:val="20"/>
          <w:szCs w:val="20"/>
        </w:rPr>
        <w:t xml:space="preserve">所称可以移送的民事诉讼。参见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Teamsters Loc. 404 Health Servs. &amp; Ins. Plan v. King Pharms.,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906 F.3d 260, 264–69 (2d Cir. 2018).</w:t>
      </w:r>
    </w:p>
  </w:footnote>
  <w:footnote w:id="120">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Stewart, supra note</w:t>
      </w:r>
      <w:r>
        <w:rPr>
          <w:rFonts w:ascii="Noto Serif CJK SC" w:hAnsi="Noto Serif CJK SC" w:eastAsia="Noto Serif CJK SC" w:cs="Noto Serif CJK SC"/>
          <w:lang w:val="en-US" w:eastAsia="zh-CN"/>
          <w:sz w:val="20"/>
          <w:szCs w:val="20"/>
        </w:rPr>
        <w:t xml:space="preserve"> </w:t>
      </w:r>
      <w:hyperlink w:anchor="x1-2014xdoc">
        <w:r>
          <w:rPr>
            <w:rFonts w:ascii="Noto Serif CJK SC" w:hAnsi="Noto Serif CJK SC" w:eastAsia="Noto Serif CJK SC" w:cs="Noto Serif CJK SC"/>
            <w:rStyle w:val="Hyperlink"/>
            <w:lang w:val="en-US" w:eastAsia="zh-CN"/>
            <w:sz w:val="20"/>
            <w:szCs w:val="20"/>
          </w:rPr>
          <w:t xml:space="preserve">3</w:t>
        </w:r>
      </w:hyperlink>
      <w:r>
        <w:rPr>
          <w:rFonts w:ascii="Noto Serif CJK SC" w:hAnsi="Noto Serif CJK SC" w:eastAsia="Noto Serif CJK SC" w:cs="Noto Serif CJK SC"/>
          <w:lang w:val="en-US" w:eastAsia="zh-CN"/>
          <w:sz w:val="20"/>
          <w:szCs w:val="20"/>
        </w:rPr>
        <w:t xml:space="preserve">, at 1067, 1075–79.</w:t>
      </w:r>
    </w:p>
  </w:footnote>
  <w:footnote w:id="121">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Cen, Ismael &amp; Zheng, supra note</w:t>
      </w:r>
      <w:r>
        <w:rPr>
          <w:rFonts w:ascii="Noto Serif CJK SC" w:hAnsi="Noto Serif CJK SC" w:eastAsia="Noto Serif CJK SC" w:cs="Noto Serif CJK SC"/>
          <w:lang w:val="en-US" w:eastAsia="zh-CN"/>
          <w:sz w:val="20"/>
          <w:szCs w:val="20"/>
        </w:rPr>
        <w:t xml:space="preserve"> </w:t>
      </w:r>
      <w:hyperlink w:anchor="x1-2014xdoc">
        <w:r>
          <w:rPr>
            <w:rFonts w:ascii="Noto Serif CJK SC" w:hAnsi="Noto Serif CJK SC" w:eastAsia="Noto Serif CJK SC" w:cs="Noto Serif CJK SC"/>
            <w:rStyle w:val="Hyperlink"/>
            <w:lang w:val="en-US" w:eastAsia="zh-CN"/>
            <w:sz w:val="20"/>
            <w:szCs w:val="20"/>
          </w:rPr>
          <w:t xml:space="preserve">3</w:t>
        </w:r>
      </w:hyperlink>
      <w:r>
        <w:rPr>
          <w:rFonts w:ascii="Noto Serif CJK SC" w:hAnsi="Noto Serif CJK SC" w:eastAsia="Noto Serif CJK SC" w:cs="Noto Serif CJK SC"/>
          <w:lang w:val="en-US" w:eastAsia="zh-CN"/>
          <w:sz w:val="20"/>
          <w:szCs w:val="20"/>
        </w:rPr>
        <w:t xml:space="preserve">, at 7794–95, 7801–05. </w:t>
      </w:r>
      <w:r>
        <w:rPr>
          <w:rFonts w:hint="eastAsia" w:ascii="Noto Serif CJK SC" w:hAnsi="Noto Serif CJK SC" w:eastAsia="Noto Serif CJK SC" w:cs="Noto Serif CJK SC"/>
          <w:lang w:val="en-US" w:eastAsia="zh-CN"/>
          <w:sz w:val="20"/>
          <w:szCs w:val="20"/>
        </w:rPr>
        <w:t xml:space="preserve">其分析包括非当事人开发者、保全、采购与日志记录。本文的区别在于制度先后次序：在法院能够针对已经界定的请求方与提供方关系适用信息获取测试之前，部署责任入口先设置对外可见的运营者入口、最低限度部署记录、实质性控制路由规则和安全退出机制。</w:t>
      </w:r>
    </w:p>
  </w:footnote>
  <w:footnote w:id="12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bookmarkStart w:id="123" w:name="x1-7008xD"/>
      <w:bookmarkEnd w:id="123"/>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Carlos García-Llorente &amp; Ignacio Olmeda,</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Making Algorithmic Transparency Enforceable: Sufficient Intelligibility, Technical Evidence, and Auditability Across the EU and the US</w:t>
      </w:r>
      <w:r>
        <w:rPr>
          <w:rFonts w:ascii="Noto Serif CJK SC" w:hAnsi="Noto Serif CJK SC" w:eastAsia="Noto Serif CJK SC" w:cs="Noto Serif CJK SC"/>
          <w:lang w:val="en-US" w:eastAsia="zh-CN"/>
          <w:sz w:val="20"/>
          <w:szCs w:val="20"/>
        </w:rPr>
        <w:t xml:space="preserve">, 34</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Int’l J.L. &amp; Info. Tech.</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eaag008 (2026) </w:t>
      </w:r>
      <w:r>
        <w:rPr>
          <w:rFonts w:hint="eastAsia" w:ascii="Noto Serif CJK SC" w:hAnsi="Noto Serif CJK SC" w:eastAsia="Noto Serif CJK SC" w:cs="Noto Serif CJK SC"/>
          <w:lang w:val="en-US" w:eastAsia="zh-CN"/>
          <w:sz w:val="20"/>
          <w:szCs w:val="20"/>
        </w:rPr>
        <w:t xml:space="preserve">(摘要)（提出一套最低限度技术证据包）;</w:t>
      </w:r>
      <w:r>
        <w:rPr>
          <w:rFonts w:ascii="Noto Serif CJK SC" w:hAnsi="Noto Serif CJK SC" w:eastAsia="Noto Serif CJK SC" w:cs="Noto Serif CJK SC"/>
          <w:lang w:val="en-US" w:eastAsia="zh-CN"/>
          <w:sz w:val="20"/>
          <w:szCs w:val="20"/>
        </w:rPr>
        <w:t xml:space="preserve"> Oswaldo Maxwell, The Procurement Record: How AI Contracts Decouple Evidence, Risk, Control, and Accountability (unpublished manuscript, July 10, 2026),</w:t>
      </w:r>
      <w:r>
        <w:rPr>
          <w:rFonts w:ascii="Noto Serif CJK SC" w:hAnsi="Noto Serif CJK SC" w:eastAsia="Noto Serif CJK SC" w:cs="Noto Serif CJK SC"/>
          <w:lang w:val="en-US" w:eastAsia="zh-CN"/>
          <w:sz w:val="20"/>
          <w:szCs w:val="20"/>
        </w:rPr>
        <w:t xml:space="preserve"> </w:t>
      </w:r>
      <w:hyperlink r:id="rId124">
        <w:r>
          <w:rPr>
            <w:rFonts w:ascii="Noto Serif CJK SC" w:hAnsi="Noto Serif CJK SC" w:eastAsia="Noto Serif CJK SC" w:cs="Noto Serif CJK SC"/>
            <w:rStyle w:val="Hyperlink"/>
            <w:lang w:val="en-US" w:eastAsia="zh-CN"/>
            <w:sz w:val="20"/>
            <w:szCs w:val="20"/>
          </w:rPr>
          <w:t xml:space="preserve">https://ssrn.com/abstract=7097518</w:t>
        </w:r>
      </w:hyperlink>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(摘要)（将采购档案视为治理记录）;</w:t>
      </w:r>
      <w:r>
        <w:rPr>
          <w:rFonts w:ascii="Noto Serif CJK SC" w:hAnsi="Noto Serif CJK SC" w:eastAsia="Noto Serif CJK SC" w:cs="Noto Serif CJK SC"/>
          <w:lang w:val="en-US" w:eastAsia="zh-CN"/>
          <w:sz w:val="20"/>
          <w:szCs w:val="20"/>
        </w:rPr>
        <w:t xml:space="preserve"> Shreya Chappidi et al.,</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Accountability Capture: How Record-Keeping to Support AI Transparency and Accountability (Re)shapes Algorithmic Oversight</w:t>
      </w:r>
      <w:r>
        <w:rPr>
          <w:rFonts w:ascii="Noto Serif CJK SC" w:hAnsi="Noto Serif CJK SC" w:eastAsia="Noto Serif CJK SC" w:cs="Noto Serif CJK SC"/>
          <w:lang w:val="en-US" w:eastAsia="zh-CN"/>
          <w:sz w:val="20"/>
          <w:szCs w:val="20"/>
        </w:rPr>
        <w:t xml:space="preserve">, 8</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Proceedings of the AAAI/ACM Conference</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on AI, Ethics, and Society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554, 558–63 </w:t>
      </w:r>
      <w:r>
        <w:rPr>
          <w:rFonts w:hint="eastAsia" w:ascii="Noto Serif CJK SC" w:hAnsi="Noto Serif CJK SC" w:eastAsia="Noto Serif CJK SC" w:cs="Noto Serif CJK SC"/>
          <w:lang w:val="en-US" w:eastAsia="zh-CN"/>
          <w:sz w:val="20"/>
          <w:szCs w:val="20"/>
        </w:rPr>
        <w:t xml:space="preserve">(2025)（识别问责记录对行为产生的影响）.</w:t>
      </w:r>
    </w:p>
  </w:footnote>
  <w:footnote w:id="125">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Yu et al., supra note</w:t>
      </w:r>
      <w:r>
        <w:rPr>
          <w:rFonts w:ascii="Noto Serif CJK SC" w:hAnsi="Noto Serif CJK SC" w:eastAsia="Noto Serif CJK SC" w:cs="Noto Serif CJK SC"/>
          <w:lang w:val="en-US" w:eastAsia="zh-CN"/>
          <w:sz w:val="20"/>
          <w:szCs w:val="20"/>
        </w:rPr>
        <w:t xml:space="preserve"> </w:t>
      </w:r>
      <w:hyperlink w:anchor="x1-2007xdoc">
        <w:r>
          <w:rPr>
            <w:rFonts w:ascii="Noto Serif CJK SC" w:hAnsi="Noto Serif CJK SC" w:eastAsia="Noto Serif CJK SC" w:cs="Noto Serif CJK SC"/>
            <w:rStyle w:val="Hyperlink"/>
            <w:lang w:val="en-US" w:eastAsia="zh-CN"/>
            <w:sz w:val="20"/>
            <w:szCs w:val="20"/>
          </w:rPr>
          <w:t xml:space="preserve">2</w:t>
        </w:r>
      </w:hyperlink>
      <w:r>
        <w:rPr>
          <w:rFonts w:ascii="Noto Serif CJK SC" w:hAnsi="Noto Serif CJK SC" w:eastAsia="Noto Serif CJK SC" w:cs="Noto Serif CJK SC"/>
          <w:lang w:val="en-US" w:eastAsia="zh-CN"/>
          <w:sz w:val="20"/>
          <w:szCs w:val="20"/>
        </w:rPr>
        <w:t xml:space="preserve">, at 1–2, 8–9. </w:t>
      </w:r>
      <w:r>
        <w:rPr>
          <w:rFonts w:hint="eastAsia" w:ascii="Noto Serif CJK SC" w:hAnsi="Noto Serif CJK SC" w:eastAsia="Noto Serif CJK SC" w:cs="Noto Serif CJK SC"/>
          <w:lang w:val="en-US" w:eastAsia="zh-CN"/>
          <w:sz w:val="20"/>
          <w:szCs w:val="20"/>
        </w:rPr>
        <w:t xml:space="preserve">该研究编码的是当事人主张中出现人工智能的联邦法院裁判意见；它既不估计人工智能事件的总量，也不裁断任何请求权是否成立。</w:t>
      </w:r>
    </w:p>
  </w:footnote>
  <w:footnote w:id="127">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Nancy G. Leveson</w:t>
      </w:r>
      <w:r>
        <w:rPr>
          <w:rFonts w:ascii="Noto Serif CJK SC" w:hAnsi="Noto Serif CJK SC" w:eastAsia="Noto Serif CJK SC" w:cs="Noto Serif CJK SC"/>
          <w:lang w:val="en-US" w:eastAsia="zh-CN"/>
          <w:sz w:val="20"/>
          <w:szCs w:val="20"/>
        </w:rPr>
        <w:t xml:space="preserve">,</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Engineering a Safer World: Systems Thinking Applied to Safety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75–76, 87–90 </w:t>
      </w:r>
      <w:r>
        <w:rPr>
          <w:rFonts w:hint="eastAsia" w:ascii="Noto Serif CJK SC" w:hAnsi="Noto Serif CJK SC" w:eastAsia="Noto Serif CJK SC" w:cs="Noto Serif CJK SC"/>
          <w:lang w:val="en-US" w:eastAsia="zh-CN"/>
          <w:sz w:val="20"/>
          <w:szCs w:val="20"/>
        </w:rPr>
        <w:t xml:space="preserve">(2012)（阐述系统理论前提）;</w:t>
      </w:r>
      <w:r>
        <w:rPr>
          <w:rFonts w:ascii="Noto Serif CJK SC" w:hAnsi="Noto Serif CJK SC" w:eastAsia="Noto Serif CJK SC" w:cs="Noto Serif CJK SC"/>
          <w:lang w:val="en-US" w:eastAsia="zh-CN"/>
          <w:sz w:val="20"/>
          <w:szCs w:val="20"/>
        </w:rPr>
        <w:t xml:space="preserve"> Nancy G. Leveson &amp; John P. Thomas, STPA Handbook, at 14–15 (MIT Partnership for Systems Approaches to Safety and Security, 2018),</w:t>
      </w:r>
      <w:r>
        <w:rPr>
          <w:rFonts w:ascii="Noto Serif CJK SC" w:hAnsi="Noto Serif CJK SC" w:eastAsia="Noto Serif CJK SC" w:cs="Noto Serif CJK SC"/>
          <w:lang w:val="en-US" w:eastAsia="zh-CN"/>
          <w:sz w:val="20"/>
          <w:szCs w:val="20"/>
        </w:rPr>
        <w:t xml:space="preserve"> </w:t>
      </w:r>
      <w:hyperlink r:id="rId128">
        <w:r>
          <w:rPr>
            <w:rFonts w:ascii="Noto Serif CJK SC" w:hAnsi="Noto Serif CJK SC" w:eastAsia="Noto Serif CJK SC" w:cs="Noto Serif CJK SC"/>
            <w:rStyle w:val="Hyperlink"/>
            <w:lang w:val="en-US" w:eastAsia="zh-CN"/>
            <w:sz w:val="20"/>
            <w:szCs w:val="20"/>
          </w:rPr>
          <w:t xml:space="preserve">https://psas.scripts.mit.edu/home/get_file.php?name=STPA_handbook.pdf</w:t>
        </w:r>
      </w:hyperlink>
      <w:r>
        <w:rPr>
          <w:rFonts w:hint="eastAsia" w:ascii="Noto Serif CJK SC" w:hAnsi="Noto Serif CJK SC" w:eastAsia="Noto Serif CJK SC" w:cs="Noto Serif CJK SC"/>
          <w:lang w:val="en-US" w:eastAsia="zh-CN"/>
          <w:sz w:val="20"/>
          <w:szCs w:val="20"/>
        </w:rPr>
        <w:t xml:space="preserve">（具体说明</w:t>
      </w:r>
      <w:r>
        <w:rPr>
          <w:rFonts w:ascii="Noto Serif CJK SC" w:hAnsi="Noto Serif CJK SC" w:eastAsia="Noto Serif CJK SC" w:cs="Noto Serif CJK SC"/>
          <w:lang w:val="en-US" w:eastAsia="zh-CN"/>
          <w:sz w:val="20"/>
          <w:szCs w:val="20"/>
        </w:rPr>
        <w:t xml:space="preserve"> STPA </w:t>
      </w:r>
      <w:r>
        <w:rPr>
          <w:rFonts w:hint="eastAsia" w:ascii="Noto Serif CJK SC" w:hAnsi="Noto Serif CJK SC" w:eastAsia="Noto Serif CJK SC" w:cs="Noto Serif CJK SC"/>
          <w:lang w:val="en-US" w:eastAsia="zh-CN"/>
          <w:sz w:val="20"/>
          <w:szCs w:val="20"/>
        </w:rPr>
        <w:t xml:space="preserve">方法）;</w:t>
      </w:r>
      <w:r>
        <w:rPr>
          <w:rFonts w:ascii="Noto Serif CJK SC" w:hAnsi="Noto Serif CJK SC" w:eastAsia="Noto Serif CJK SC" w:cs="Noto Serif CJK SC"/>
          <w:lang w:val="en-US" w:eastAsia="zh-CN"/>
          <w:sz w:val="20"/>
          <w:szCs w:val="20"/>
        </w:rPr>
        <w:t xml:space="preserve"> Shalaleh Rismani et al.,</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From Plane Crashes to Algorithmic Harm: Applicability of Safety Engineering Frameworks for Responsible ML</w:t>
      </w:r>
      <w:r>
        <w:rPr>
          <w:rFonts w:ascii="Noto Serif CJK SC" w:hAnsi="Noto Serif CJK SC" w:eastAsia="Noto Serif CJK SC" w:cs="Noto Serif CJK SC"/>
          <w:lang w:val="en-US" w:eastAsia="zh-CN"/>
          <w:sz w:val="20"/>
          <w:szCs w:val="20"/>
        </w:rPr>
        <w:t xml:space="preserve">, in</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CHI ’23 Proc.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2:1–2:18, 2:5–2:6, 2:14–2:18 (2023),</w:t>
      </w:r>
      <w:r>
        <w:rPr>
          <w:rFonts w:ascii="Noto Serif CJK SC" w:hAnsi="Noto Serif CJK SC" w:eastAsia="Noto Serif CJK SC" w:cs="Noto Serif CJK SC"/>
          <w:lang w:val="en-US" w:eastAsia="zh-CN"/>
          <w:sz w:val="20"/>
          <w:szCs w:val="20"/>
        </w:rPr>
        <w:t xml:space="preserve"> </w:t>
      </w:r>
      <w:hyperlink r:id="rId129">
        <w:r>
          <w:rPr>
            <w:rFonts w:ascii="Noto Serif CJK SC" w:hAnsi="Noto Serif CJK SC" w:eastAsia="Noto Serif CJK SC" w:cs="Noto Serif CJK SC"/>
            <w:rStyle w:val="Hyperlink"/>
            <w:lang w:val="en-US" w:eastAsia="zh-CN"/>
            <w:sz w:val="20"/>
            <w:szCs w:val="20"/>
          </w:rPr>
          <w:t xml:space="preserve">https://doi.org/10.1145/3544548.3581407</w:t>
        </w:r>
      </w:hyperlink>
      <w:r>
        <w:rPr>
          <w:rFonts w:hint="eastAsia" w:ascii="Noto Serif CJK SC" w:hAnsi="Noto Serif CJK SC" w:eastAsia="Noto Serif CJK SC" w:cs="Noto Serif CJK SC"/>
          <w:lang w:val="en-US" w:eastAsia="zh-CN"/>
          <w:sz w:val="20"/>
          <w:szCs w:val="20"/>
        </w:rPr>
        <w:t xml:space="preserve">（将安全工程框架应用于负责任的机器学习）.</w:t>
      </w:r>
    </w:p>
  </w:footnote>
  <w:footnote w:id="135">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Companion Chatbots, Cal. Bus. &amp; Prof. Code §§ 22601(b), (e), 22602(a)–(c), 22603(a)–(d), 22604–22606 </w:t>
      </w:r>
      <w:r>
        <w:rPr>
          <w:rFonts w:hint="eastAsia" w:ascii="Noto Serif CJK SC" w:hAnsi="Noto Serif CJK SC" w:eastAsia="Noto Serif CJK SC" w:cs="Noto Serif CJK SC"/>
          <w:lang w:val="en-US" w:eastAsia="zh-CN"/>
          <w:sz w:val="20"/>
          <w:szCs w:val="20"/>
        </w:rPr>
        <w:t xml:space="preserve">(2025)。已制定条款并不包含本文提出的部署责任入口规则；这些条款说明，立法机关可以指定一种关系型部署、识别其运营者，并规定可强制执行的程序义务和报告义务。</w:t>
      </w:r>
    </w:p>
  </w:footnote>
  <w:footnote w:id="140">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Bristol-Myers Squibb Co. v. Superior Ct. of Cal.,</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582 U.S. 255, 264–68 (2017);</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Ford Motor Co. v. Mont. Eighth Jud. Dist. Ct.,</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592 U.S. 351, 359–71 </w:t>
      </w:r>
      <w:r>
        <w:rPr>
          <w:rFonts w:hint="eastAsia" w:ascii="Noto Serif CJK SC" w:hAnsi="Noto Serif CJK SC" w:eastAsia="Noto Serif CJK SC" w:cs="Noto Serif CJK SC"/>
          <w:lang w:val="en-US" w:eastAsia="zh-CN"/>
          <w:sz w:val="20"/>
          <w:szCs w:val="20"/>
        </w:rPr>
        <w:t xml:space="preserve">(2021)。因此，示范法区分直接受本法规制的控制持有人与通过运营者合同及本地记录触及的供应商。</w:t>
      </w:r>
    </w:p>
  </w:footnote>
  <w:footnote w:id="143">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Stewart，见前注</w:t>
      </w:r>
      <w:r>
        <w:rPr>
          <w:rFonts w:ascii="Noto Serif CJK SC" w:hAnsi="Noto Serif CJK SC" w:eastAsia="Noto Serif CJK SC" w:cs="Noto Serif CJK SC"/>
          <w:lang w:val="en-US" w:eastAsia="zh-CN"/>
          <w:sz w:val="20"/>
          <w:szCs w:val="20"/>
        </w:rPr>
        <w:t xml:space="preserve"> </w:t>
      </w:r>
      <w:hyperlink w:anchor="x1-2014xdoc">
        <w:r>
          <w:rPr>
            <w:rFonts w:ascii="Noto Serif CJK SC" w:hAnsi="Noto Serif CJK SC" w:eastAsia="Noto Serif CJK SC" w:cs="Noto Serif CJK SC"/>
            <w:rStyle w:val="Hyperlink"/>
            <w:lang w:val="en-US" w:eastAsia="zh-CN"/>
            <w:sz w:val="20"/>
            <w:szCs w:val="20"/>
          </w:rPr>
          <w:t xml:space="preserve">3</w:t>
        </w:r>
      </w:hyperlink>
      <w:r>
        <w:rPr>
          <w:rFonts w:hint="eastAsia" w:ascii="Noto Serif CJK SC" w:hAnsi="Noto Serif CJK SC" w:eastAsia="Noto Serif CJK SC" w:cs="Noto Serif CJK SC"/>
          <w:lang w:val="en-US" w:eastAsia="zh-CN"/>
          <w:sz w:val="20"/>
          <w:szCs w:val="20"/>
        </w:rPr>
        <w:t xml:space="preserve">，第</w:t>
      </w:r>
      <w:r>
        <w:rPr>
          <w:rFonts w:ascii="Noto Serif CJK SC" w:hAnsi="Noto Serif CJK SC" w:eastAsia="Noto Serif CJK SC" w:cs="Noto Serif CJK SC"/>
          <w:lang w:val="en-US" w:eastAsia="zh-CN"/>
          <w:sz w:val="20"/>
          <w:szCs w:val="20"/>
        </w:rPr>
        <w:t xml:space="preserve"> 1076–79 </w:t>
      </w:r>
      <w:r>
        <w:rPr>
          <w:rFonts w:hint="eastAsia" w:ascii="Noto Serif CJK SC" w:hAnsi="Noto Serif CJK SC" w:eastAsia="Noto Serif CJK SC" w:cs="Noto Serif CJK SC"/>
          <w:lang w:val="en-US" w:eastAsia="zh-CN"/>
          <w:sz w:val="20"/>
          <w:szCs w:val="20"/>
        </w:rPr>
        <w:t xml:space="preserve">页。反事实询问检验已知的、作出决定时使用的版本之行为；第一阶段则提供确定该工具使用对象所必需的身份与保全前提。</w:t>
      </w:r>
    </w:p>
  </w:footnote>
  <w:footnote w:id="146">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Civ. P. 26(c)(1)(G).</w:t>
      </w:r>
    </w:p>
  </w:footnote>
  <w:footnote w:id="149">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例如，参见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Pledger v. Lynch,</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 F.4th 511, 516–24 (4th Cir. 2021).</w:t>
      </w:r>
    </w:p>
  </w:footnote>
  <w:footnote w:id="150">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28 U.S.C. §§ 1331, 1332, 1367 (2024).</w:t>
      </w:r>
    </w:p>
  </w:footnote>
  <w:footnote w:id="151">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TransUnion LLC v. Ramirez,</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594 U.S. 413, 425–31, 440–42 (2021);</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Spokeo, Inc. v. Robins,</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578 U.S. 330, 339–43 (2016).</w:t>
      </w:r>
    </w:p>
  </w:footnote>
  <w:footnote w:id="15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Havens Realty Corp. v. Coleman,</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455 U.S. 363, 373–74 (1982);</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Pub. Citizen v. U.S. Dep’t of Just.,</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491 U.S. 440, 449–50 (1989);</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Fed. Election Comm’n v. Akins,</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524 U.S. 11, 21–25 (1998).</w:t>
      </w:r>
    </w:p>
  </w:footnote>
  <w:footnote w:id="153">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ASARCO Inc. v. Kadish,</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490 U.S. 605, 617–18 (1989).</w:t>
      </w:r>
    </w:p>
  </w:footnote>
  <w:footnote w:id="154">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Hanna v. Plumer,</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380 U.S. 460, 464–65, 468, 471–74 (1965);</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Burlington N. R.R. Co. v. Woods,</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480 U.S. 1, 4–8 (1987);</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Walker v. Armco Steel Corp.,</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446 U.S. 740, 749–52 (1980); Rules Enabling Act, 28 U.S.C. § 2072(a)–(b) (2024).</w:t>
      </w:r>
    </w:p>
  </w:footnote>
  <w:footnote w:id="155">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Civ. P. 37(e).</w:t>
      </w:r>
    </w:p>
  </w:footnote>
  <w:footnote w:id="158">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本文关于</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Mobley</w:t>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案卷材料的截止日期为</w:t>
      </w:r>
      <w:r>
        <w:rPr>
          <w:rFonts w:ascii="Noto Serif CJK SC" w:hAnsi="Noto Serif CJK SC" w:eastAsia="Noto Serif CJK SC" w:cs="Noto Serif CJK SC"/>
          <w:lang w:val="en-US" w:eastAsia="zh-CN"/>
          <w:sz w:val="20"/>
          <w:szCs w:val="20"/>
        </w:rPr>
        <w:t xml:space="preserve"> 2026 </w:t>
      </w:r>
      <w:r>
        <w:rPr>
          <w:rFonts w:hint="eastAsia" w:ascii="Noto Serif CJK SC" w:hAnsi="Noto Serif CJK SC" w:eastAsia="Noto Serif CJK SC" w:cs="Noto Serif CJK SC"/>
          <w:lang w:val="en-US" w:eastAsia="zh-CN"/>
          <w:sz w:val="20"/>
          <w:szCs w:val="20"/>
        </w:rPr>
        <w:t xml:space="preserve">年</w:t>
      </w:r>
      <w:r>
        <w:rPr>
          <w:rFonts w:ascii="Noto Serif CJK SC" w:hAnsi="Noto Serif CJK SC" w:eastAsia="Noto Serif CJK SC" w:cs="Noto Serif CJK SC"/>
          <w:lang w:val="en-US" w:eastAsia="zh-CN"/>
          <w:sz w:val="20"/>
          <w:szCs w:val="20"/>
        </w:rPr>
        <w:t xml:space="preserve"> 7 </w:t>
      </w:r>
      <w:r>
        <w:rPr>
          <w:rFonts w:hint="eastAsia" w:ascii="Noto Serif CJK SC" w:hAnsi="Noto Serif CJK SC" w:eastAsia="Noto Serif CJK SC" w:cs="Noto Serif CJK SC"/>
          <w:lang w:val="en-US" w:eastAsia="zh-CN"/>
          <w:sz w:val="20"/>
          <w:szCs w:val="20"/>
        </w:rPr>
        <w:t xml:space="preserve">月</w:t>
      </w:r>
      <w:r>
        <w:rPr>
          <w:rFonts w:ascii="Noto Serif CJK SC" w:hAnsi="Noto Serif CJK SC" w:eastAsia="Noto Serif CJK SC" w:cs="Noto Serif CJK SC"/>
          <w:lang w:val="en-US" w:eastAsia="zh-CN"/>
          <w:sz w:val="20"/>
          <w:szCs w:val="20"/>
        </w:rPr>
        <w:t xml:space="preserve"> 2 </w:t>
      </w:r>
      <w:r>
        <w:rPr>
          <w:rFonts w:hint="eastAsia" w:ascii="Noto Serif CJK SC" w:hAnsi="Noto Serif CJK SC" w:eastAsia="Noto Serif CJK SC" w:cs="Noto Serif CJK SC"/>
          <w:lang w:val="en-US" w:eastAsia="zh-CN"/>
          <w:sz w:val="20"/>
          <w:szCs w:val="20"/>
        </w:rPr>
        <w:t xml:space="preserve">日。截至该日，案件已经完成</w:t>
      </w:r>
      <w:r>
        <w:rPr>
          <w:rFonts w:ascii="Noto Serif CJK SC" w:hAnsi="Noto Serif CJK SC" w:eastAsia="Noto Serif CJK SC" w:cs="Noto Serif CJK SC"/>
          <w:lang w:val="en-US" w:eastAsia="zh-CN"/>
          <w:sz w:val="20"/>
          <w:szCs w:val="20"/>
        </w:rPr>
        <w:t xml:space="preserve"> ADEA </w:t>
      </w:r>
      <w:r>
        <w:rPr>
          <w:rFonts w:hint="eastAsia" w:ascii="Noto Serif CJK SC" w:hAnsi="Noto Serif CJK SC" w:eastAsia="Noto Serif CJK SC" w:cs="Noto Serif CJK SC"/>
          <w:lang w:val="en-US" w:eastAsia="zh-CN"/>
          <w:sz w:val="20"/>
          <w:szCs w:val="20"/>
        </w:rPr>
        <w:t xml:space="preserve">集体的暂定认证，证据开示仍在进行，Workday</w:t>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提出的撤销认证动议应于当月晚些时候提交。参见</w:t>
      </w:r>
      <w:r>
        <w:rPr>
          <w:rFonts w:ascii="Noto Serif CJK SC" w:hAnsi="Noto Serif CJK SC" w:eastAsia="Noto Serif CJK SC" w:cs="Noto Serif CJK SC"/>
          <w:lang w:val="en-US" w:eastAsia="zh-CN"/>
          <w:sz w:val="20"/>
          <w:szCs w:val="20"/>
        </w:rPr>
        <w:t xml:space="preserve"> Order Denying Certification of an Interlocutory Appeal at 2,</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Mobley v. Workday,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No. 3:23-cv-00770-RFL (N.D. Cal. July 2, 2026), ECF No. 376.</w:t>
      </w:r>
    </w:p>
  </w:footnote>
  <w:footnote w:id="159">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w:t>
      </w:r>
      <w:r>
        <w:rPr>
          <w:rFonts w:ascii="Noto Serif CJK SC" w:hAnsi="Noto Serif CJK SC" w:eastAsia="Noto Serif CJK SC" w:cs="Noto Serif CJK SC"/>
          <w:lang w:val="en-US" w:eastAsia="zh-CN"/>
          <w:sz w:val="20"/>
          <w:szCs w:val="20"/>
        </w:rPr>
        <w:t xml:space="preserve">, 785 F. Supp. 3d at 1165–69, 1174–84; Garcia Dismissal, ECF No. 244, at 1; Garcia Charging-Lien Order, ECF No. 273, at 1.</w:t>
      </w:r>
    </w:p>
  </w:footnote>
  <w:footnote w:id="160">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First Amended Complaint ¶¶ 24–25, 50–72,</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 v. Character Techs., Inc.</w:t>
      </w:r>
      <w:r>
        <w:rPr>
          <w:rFonts w:ascii="Noto Serif CJK SC" w:hAnsi="Noto Serif CJK SC" w:eastAsia="Noto Serif CJK SC" w:cs="Noto Serif CJK SC"/>
          <w:lang w:val="en-US" w:eastAsia="zh-CN"/>
          <w:sz w:val="20"/>
          <w:szCs w:val="20"/>
        </w:rPr>
        <w:t xml:space="preserve">, No. 6:24-cv-01903-ACC-EJK (M.D. Fla. Nov. 9, 2024), ECF No. 11;</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w:t>
      </w:r>
      <w:r>
        <w:rPr>
          <w:rFonts w:ascii="Noto Serif CJK SC" w:hAnsi="Noto Serif CJK SC" w:eastAsia="Noto Serif CJK SC" w:cs="Noto Serif CJK SC"/>
          <w:lang w:val="en-US" w:eastAsia="zh-CN"/>
          <w:sz w:val="20"/>
          <w:szCs w:val="20"/>
        </w:rPr>
        <w:t xml:space="preserve">, 785 F. Supp. 3d at 1165–66, 1183–84.</w:t>
      </w:r>
    </w:p>
  </w:footnote>
  <w:footnote w:id="16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Julian De Freitas et al., Lessons from an App Update at Replika AI: Identity Discontinuity in Human–AI Relationships, at 11–25 (Harv. Bus. Sch. Working Paper No. 25-018, 2025),</w:t>
      </w:r>
      <w:r>
        <w:rPr>
          <w:rFonts w:ascii="Noto Serif CJK SC" w:hAnsi="Noto Serif CJK SC" w:eastAsia="Noto Serif CJK SC" w:cs="Noto Serif CJK SC"/>
          <w:lang w:val="en-US" w:eastAsia="zh-CN"/>
          <w:sz w:val="20"/>
          <w:szCs w:val="20"/>
        </w:rPr>
        <w:t xml:space="preserve"> </w:t>
      </w:r>
      <w:hyperlink r:id="rId163">
        <w:r>
          <w:rPr>
            <w:rFonts w:ascii="Noto Serif CJK SC" w:hAnsi="Noto Serif CJK SC" w:eastAsia="Noto Serif CJK SC" w:cs="Noto Serif CJK SC"/>
            <w:rStyle w:val="Hyperlink"/>
            <w:lang w:val="en-US" w:eastAsia="zh-CN"/>
            <w:sz w:val="20"/>
            <w:szCs w:val="20"/>
          </w:rPr>
          <w:t xml:space="preserve">https://www.hbs.edu/ris/Publication%20Files/25-018_d256c104-e5ba-4911-b72c-874c5492166e.pdf</w:t>
        </w:r>
      </w:hyperlink>
      <w:r>
        <w:rPr>
          <w:rFonts w:ascii="Noto Serif CJK SC" w:hAnsi="Noto Serif CJK SC" w:eastAsia="Noto Serif CJK SC" w:cs="Noto Serif CJK SC"/>
          <w:lang w:val="en-US" w:eastAsia="zh-CN"/>
          <w:sz w:val="20"/>
          <w:szCs w:val="20"/>
        </w:rPr>
        <w:t xml:space="preserve">; Jaime Banks,</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Deletion, Departure, Death: Experiences of AI Companion Loss</w:t>
      </w:r>
      <w:r>
        <w:rPr>
          <w:rFonts w:ascii="Noto Serif CJK SC" w:hAnsi="Noto Serif CJK SC" w:eastAsia="Noto Serif CJK SC" w:cs="Noto Serif CJK SC"/>
          <w:lang w:val="en-US" w:eastAsia="zh-CN"/>
          <w:sz w:val="20"/>
          <w:szCs w:val="20"/>
        </w:rPr>
        <w:t xml:space="preserve">, 41</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J. Soc. &amp; Pers. Relationships</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3547, 3547–49, 3555–69 (2024); Linnea Laestadius et al.,</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Too Human and Not Human Enough: A Grounded Theory Analysis of Mental Health Harms from Emotional Dependence on the Social Chatbot Replika</w:t>
      </w:r>
      <w:r>
        <w:rPr>
          <w:rFonts w:ascii="Noto Serif CJK SC" w:hAnsi="Noto Serif CJK SC" w:eastAsia="Noto Serif CJK SC" w:cs="Noto Serif CJK SC"/>
          <w:lang w:val="en-US" w:eastAsia="zh-CN"/>
          <w:sz w:val="20"/>
          <w:szCs w:val="20"/>
        </w:rPr>
        <w:t xml:space="preserve">, 26</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New Media &amp;</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Soc’y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5923, 5926–38 (2024); Renwen Zhang et al.,</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The Dark Side of AI Companionship: A Taxonomy of Harmful Algorithmic Behaviors in Human–AI Relationships</w:t>
      </w:r>
      <w:r>
        <w:rPr>
          <w:rFonts w:ascii="Noto Serif CJK SC" w:hAnsi="Noto Serif CJK SC" w:eastAsia="Noto Serif CJK SC" w:cs="Noto Serif CJK SC"/>
          <w:lang w:val="en-US" w:eastAsia="zh-CN"/>
          <w:sz w:val="20"/>
          <w:szCs w:val="20"/>
        </w:rPr>
        <w:t xml:space="preserve">, in</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CHI ’25 Proc.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1, 5–19, 22–23 (2025).</w:t>
      </w:r>
    </w:p>
  </w:footnote>
  <w:footnote w:id="164">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Hannah Rose Kirk et al., Neural Steering Vectors Reveal Dose and Exposure-Dependent Impacts of Human–AI Relationships, at 2–3, 5–8, 10–11, arXiv:2512.01991v2 (Feb. 18, </w:t>
      </w:r>
      <w:r>
        <w:rPr>
          <w:rFonts w:hint="eastAsia" w:ascii="Noto Serif CJK SC" w:hAnsi="Noto Serif CJK SC" w:eastAsia="Noto Serif CJK SC" w:cs="Noto Serif CJK SC"/>
          <w:lang w:val="en-US" w:eastAsia="zh-CN"/>
          <w:sz w:val="20"/>
          <w:szCs w:val="20"/>
        </w:rPr>
        <w:t xml:space="preserve">2026)。这篇</w:t>
      </w:r>
      <w:r>
        <w:rPr>
          <w:rFonts w:ascii="Noto Serif CJK SC" w:hAnsi="Noto Serif CJK SC" w:eastAsia="Noto Serif CJK SC" w:cs="Noto Serif CJK SC"/>
          <w:lang w:val="en-US" w:eastAsia="zh-CN"/>
          <w:sz w:val="20"/>
          <w:szCs w:val="20"/>
        </w:rPr>
        <w:t xml:space="preserve"> 2026 </w:t>
      </w:r>
      <w:r>
        <w:rPr>
          <w:rFonts w:hint="eastAsia" w:ascii="Noto Serif CJK SC" w:hAnsi="Noto Serif CJK SC" w:eastAsia="Noto Serif CJK SC" w:cs="Noto Serif CJK SC"/>
          <w:lang w:val="en-US" w:eastAsia="zh-CN"/>
          <w:sz w:val="20"/>
          <w:szCs w:val="20"/>
        </w:rPr>
        <w:t xml:space="preserve">年预印本支持有关其实验接触条件的因果命题；它并不估计商业人群发生率、历史可预见性、临床损害或</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w:t>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案中的侵权因果关系。</w:t>
      </w:r>
    </w:p>
  </w:footnote>
  <w:footnote w:id="166">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w:t>
      </w:r>
      <w:r>
        <w:rPr>
          <w:rFonts w:ascii="Noto Serif CJK SC" w:hAnsi="Noto Serif CJK SC" w:eastAsia="Noto Serif CJK SC" w:cs="Noto Serif CJK SC"/>
          <w:lang w:val="en-US" w:eastAsia="zh-CN"/>
          <w:sz w:val="20"/>
          <w:szCs w:val="20"/>
        </w:rPr>
        <w:t xml:space="preserve">, 785 F. Supp. 3d at 1167–69.</w:t>
      </w:r>
    </w:p>
  </w:footnote>
  <w:footnote w:id="167">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Evid. 407;</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w:t>
      </w:r>
      <w:r>
        <w:rPr>
          <w:rFonts w:ascii="Noto Serif CJK SC" w:hAnsi="Noto Serif CJK SC" w:eastAsia="Noto Serif CJK SC" w:cs="Noto Serif CJK SC"/>
          <w:lang w:val="en-US" w:eastAsia="zh-CN"/>
          <w:sz w:val="20"/>
          <w:szCs w:val="20"/>
        </w:rPr>
        <w:t xml:space="preserve">, 785 F. Supp. 3d at 1169.</w:t>
      </w:r>
    </w:p>
  </w:footnote>
  <w:footnote w:id="170">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Mobley</w:t>
      </w:r>
      <w:r>
        <w:rPr>
          <w:rFonts w:ascii="Noto Serif CJK SC" w:hAnsi="Noto Serif CJK SC" w:eastAsia="Noto Serif CJK SC" w:cs="Noto Serif CJK SC"/>
          <w:lang w:val="en-US" w:eastAsia="zh-CN"/>
          <w:sz w:val="20"/>
          <w:szCs w:val="20"/>
        </w:rPr>
        <w:t xml:space="preserve">, 740 F. Supp. 3d at 806–08, </w:t>
      </w:r>
      <w:r>
        <w:rPr>
          <w:rFonts w:hint="eastAsia" w:ascii="Noto Serif CJK SC" w:hAnsi="Noto Serif CJK SC" w:eastAsia="Noto Serif CJK SC" w:cs="Noto Serif CJK SC"/>
          <w:lang w:val="en-US" w:eastAsia="zh-CN"/>
          <w:sz w:val="20"/>
          <w:szCs w:val="20"/>
        </w:rPr>
        <w:t xml:space="preserve">815–16。该命令部分准许、部分驳回了驳回诉讼动议；它没有认定系统存在歧视性运行，也没有对最终代理关系作出认定。</w:t>
      </w:r>
    </w:p>
  </w:footnote>
  <w:footnote w:id="171">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Order Granting Preliminary Collective Certification at 2, 4, 10–13, 18–20,</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Mobley v. Workday,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No. 3:23-cv-00770-RFL (N.D. Cal. May 16, 2025), ECF No. </w:t>
      </w:r>
      <w:r>
        <w:rPr>
          <w:rFonts w:hint="eastAsia" w:ascii="Noto Serif CJK SC" w:hAnsi="Noto Serif CJK SC" w:eastAsia="Noto Serif CJK SC" w:cs="Noto Serif CJK SC"/>
          <w:lang w:val="en-US" w:eastAsia="zh-CN"/>
          <w:sz w:val="20"/>
          <w:szCs w:val="20"/>
        </w:rPr>
        <w:t xml:space="preserve">128。初步认证授权发出通知，并保留</w:t>
      </w:r>
      <w:r>
        <w:rPr>
          <w:rFonts w:ascii="Noto Serif CJK SC" w:hAnsi="Noto Serif CJK SC" w:eastAsia="Noto Serif CJK SC" w:cs="Noto Serif CJK SC"/>
          <w:lang w:val="en-US" w:eastAsia="zh-CN"/>
          <w:sz w:val="20"/>
          <w:szCs w:val="20"/>
        </w:rPr>
        <w:t xml:space="preserve"> Workday </w:t>
      </w:r>
      <w:r>
        <w:rPr>
          <w:rFonts w:hint="eastAsia" w:ascii="Noto Serif CJK SC" w:hAnsi="Noto Serif CJK SC" w:eastAsia="Noto Serif CJK SC" w:cs="Noto Serif CJK SC"/>
          <w:lang w:val="en-US" w:eastAsia="zh-CN"/>
          <w:sz w:val="20"/>
          <w:szCs w:val="20"/>
        </w:rPr>
        <w:t xml:space="preserve">请求撤销认证的权利；它不是实体裁判，也不是最终集体裁定。</w:t>
      </w:r>
    </w:p>
  </w:footnote>
  <w:footnote w:id="173">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Discovery Order at 1–3, 8–10,</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Mobley v. Workday,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No. 3:23-cv-00770-RFL (N.D. Cal. May 29, 2026), ECF No. </w:t>
      </w:r>
      <w:r>
        <w:rPr>
          <w:rFonts w:hint="eastAsia" w:ascii="Noto Serif CJK SC" w:hAnsi="Noto Serif CJK SC" w:eastAsia="Noto Serif CJK SC" w:cs="Noto Serif CJK SC"/>
          <w:lang w:val="en-US" w:eastAsia="zh-CN"/>
          <w:sz w:val="20"/>
          <w:szCs w:val="20"/>
        </w:rPr>
        <w:t xml:space="preserve">340。该裁定仅涉及法院面前的协议与案卷；它并未对</w:t>
      </w:r>
      <w:r>
        <w:rPr>
          <w:rFonts w:ascii="Noto Serif CJK SC" w:hAnsi="Noto Serif CJK SC" w:eastAsia="Noto Serif CJK SC" w:cs="Noto Serif CJK SC"/>
          <w:lang w:val="en-US" w:eastAsia="zh-CN"/>
          <w:sz w:val="20"/>
          <w:szCs w:val="20"/>
        </w:rPr>
        <w:t xml:space="preserve"> Workday </w:t>
      </w:r>
      <w:r>
        <w:rPr>
          <w:rFonts w:hint="eastAsia" w:ascii="Noto Serif CJK SC" w:hAnsi="Noto Serif CJK SC" w:eastAsia="Noto Serif CJK SC" w:cs="Noto Serif CJK SC"/>
          <w:lang w:val="en-US" w:eastAsia="zh-CN"/>
          <w:sz w:val="20"/>
          <w:szCs w:val="20"/>
        </w:rPr>
        <w:t xml:space="preserve">托管的每一项记录作出分类。</w:t>
      </w:r>
    </w:p>
  </w:footnote>
  <w:footnote w:id="175">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Id. at 3, 7–8, </w:t>
      </w:r>
      <w:r>
        <w:rPr>
          <w:rFonts w:hint="eastAsia" w:ascii="Noto Serif CJK SC" w:hAnsi="Noto Serif CJK SC" w:eastAsia="Noto Serif CJK SC" w:cs="Noto Serif CJK SC"/>
          <w:lang w:val="en-US" w:eastAsia="zh-CN"/>
          <w:sz w:val="20"/>
          <w:szCs w:val="20"/>
        </w:rPr>
        <w:t xml:space="preserve">10–11。该命令保护的是所指明的律师主导测试；它并未把每一项评估或基础业务事实都归类为特权材料。</w:t>
      </w:r>
    </w:p>
  </w:footnote>
  <w:footnote w:id="176">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Upjohn Co. v. United States,</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449 U.S. 383, 395–96 (1981); Fed. R. Civ. P. 26(b)(3), 26(b)(5)(A).</w:t>
      </w:r>
    </w:p>
  </w:footnote>
  <w:footnote w:id="178">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Order Concerning HiredScore Features and Customer Identification at 1–2,</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Mobley v. Workday,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No. 3:23-cv-00770-RFL (N.D. Cal. July 29, 2025), ECF No. 158.</w:t>
      </w:r>
    </w:p>
  </w:footnote>
  <w:footnote w:id="180">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Hous. Fed’n of Tchrs., Loc. 2415 v. Hous. Indep. Sch. Dist.,</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251 F. Supp. 3d 1168, 1172–73, 1177–78 (S.D. Tex. 2017).</w:t>
      </w:r>
    </w:p>
  </w:footnote>
  <w:footnote w:id="181">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Id. at 1179–80, 1185.</w:t>
      </w:r>
    </w:p>
  </w:footnote>
  <w:footnote w:id="18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Id. at 1180–83.</w:t>
      </w:r>
    </w:p>
  </w:footnote>
  <w:footnote w:id="186">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Civ. P. 34(a)(1).</w:t>
      </w:r>
    </w:p>
  </w:footnote>
  <w:footnote w:id="187">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Restatement (Third) of Torts: Liability for Physical and Emotional Harm</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 16(a) (Am. L. Inst. 2010);</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smallCaps/>
          <w:lang w:val="en-US" w:eastAsia="zh-CN"/>
          <w:sz w:val="20"/>
          <w:szCs w:val="20"/>
        </w:rPr>
        <w:t xml:space="preserve">Restatement (Third) of Torts: Products Liability</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 4(b) (Am. L. Inst. 1998). </w:t>
      </w:r>
      <w:r>
        <w:rPr>
          <w:rFonts w:hint="eastAsia" w:ascii="Noto Serif CJK SC" w:hAnsi="Noto Serif CJK SC" w:eastAsia="Noto Serif CJK SC" w:cs="Noto Serif CJK SC"/>
          <w:lang w:val="en-US" w:eastAsia="zh-CN"/>
          <w:sz w:val="20"/>
          <w:szCs w:val="20"/>
        </w:rPr>
        <w:t xml:space="preserve">各司法辖区可以赋予制定法合规行为不同的法律效果。</w:t>
      </w:r>
    </w:p>
  </w:footnote>
  <w:footnote w:id="189">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Maxwell, supra note</w:t>
      </w:r>
      <w:r>
        <w:rPr>
          <w:rFonts w:ascii="Noto Serif CJK SC" w:hAnsi="Noto Serif CJK SC" w:eastAsia="Noto Serif CJK SC" w:cs="Noto Serif CJK SC"/>
          <w:lang w:val="en-US" w:eastAsia="zh-CN"/>
          <w:sz w:val="20"/>
          <w:szCs w:val="20"/>
        </w:rPr>
        <w:t xml:space="preserve"> </w:t>
      </w:r>
      <w:hyperlink w:anchor="x1-7008xD">
        <w:r>
          <w:rPr>
            <w:rFonts w:ascii="Noto Serif CJK SC" w:hAnsi="Noto Serif CJK SC" w:eastAsia="Noto Serif CJK SC" w:cs="Noto Serif CJK SC"/>
            <w:rStyle w:val="Hyperlink"/>
            <w:lang w:val="en-US" w:eastAsia="zh-CN"/>
            <w:sz w:val="20"/>
            <w:szCs w:val="20"/>
          </w:rPr>
          <w:t xml:space="preserve">16</w:t>
        </w:r>
      </w:hyperlink>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(摘要)（将采购档案视为治理记录）。部署责任入口增加了一项不得放弃、面向受影响者的答复义务，以及针对具体事件的执行路径。</w:t>
      </w:r>
    </w:p>
  </w:footnote>
  <w:footnote w:id="19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14 C.F.R. §§ 5.1–5.17, 5.21–5.25, 5.53–5.57, 5.71–5.75, 5.95–5.97 (2025).</w:t>
      </w:r>
    </w:p>
  </w:footnote>
  <w:footnote w:id="193">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Federal Aviation Administration, Aviation Safety Reporting Program, Advisory Circular 00-46F, at ¶¶ 2, 6.2, 8.1–8.3, 12.3 (Apr. 2, 2021),</w:t>
      </w:r>
      <w:r>
        <w:rPr>
          <w:rFonts w:ascii="Noto Serif CJK SC" w:hAnsi="Noto Serif CJK SC" w:eastAsia="Noto Serif CJK SC" w:cs="Noto Serif CJK SC"/>
          <w:lang w:val="en-US" w:eastAsia="zh-CN"/>
          <w:sz w:val="20"/>
          <w:szCs w:val="20"/>
        </w:rPr>
        <w:t xml:space="preserve"> </w:t>
      </w:r>
      <w:hyperlink r:id="rId194">
        <w:r>
          <w:rPr>
            <w:rFonts w:ascii="Noto Serif CJK SC" w:hAnsi="Noto Serif CJK SC" w:eastAsia="Noto Serif CJK SC" w:cs="Noto Serif CJK SC"/>
            <w:rStyle w:val="Hyperlink"/>
            <w:lang w:val="en-US" w:eastAsia="zh-CN"/>
            <w:sz w:val="20"/>
            <w:szCs w:val="20"/>
          </w:rPr>
          <w:t xml:space="preserve">https://www.faa.gov/documentLibrary/media/Advisory_Circular/AC_00-46F.pdf</w:t>
        </w:r>
      </w:hyperlink>
      <w:r>
        <w:rPr>
          <w:rFonts w:ascii="Noto Serif CJK SC" w:hAnsi="Noto Serif CJK SC" w:eastAsia="Noto Serif CJK SC" w:cs="Noto Serif CJK SC"/>
          <w:lang w:val="en-US" w:eastAsia="zh-CN"/>
          <w:sz w:val="20"/>
          <w:szCs w:val="20"/>
        </w:rPr>
        <w:t xml:space="preserve">.</w:t>
      </w:r>
    </w:p>
  </w:footnote>
  <w:footnote w:id="196">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Federal Trade Commission, Model Order to File a Special Report Regarding AI Companion Chatbots, File No. P254500, at Definitions &amp; Instructions; specs. 3, 11–17 (Sept. 10, 2025),</w:t>
      </w:r>
      <w:r>
        <w:rPr>
          <w:rFonts w:ascii="Noto Serif CJK SC" w:hAnsi="Noto Serif CJK SC" w:eastAsia="Noto Serif CJK SC" w:cs="Noto Serif CJK SC"/>
          <w:lang w:val="en-US" w:eastAsia="zh-CN"/>
          <w:sz w:val="20"/>
          <w:szCs w:val="20"/>
        </w:rPr>
        <w:t xml:space="preserve"> </w:t>
      </w:r>
      <w:hyperlink r:id="rId197">
        <w:r>
          <w:rPr>
            <w:rFonts w:ascii="Noto Serif CJK SC" w:hAnsi="Noto Serif CJK SC" w:eastAsia="Noto Serif CJK SC" w:cs="Noto Serif CJK SC"/>
            <w:rStyle w:val="Hyperlink"/>
            <w:lang w:val="en-US" w:eastAsia="zh-CN"/>
            <w:sz w:val="20"/>
            <w:szCs w:val="20"/>
          </w:rPr>
          <w:t xml:space="preserve">https://www.ftc.gov/system/files/ftc_gov/pdf/AICompanionChatbot6(b)Order.pdf</w:t>
        </w:r>
      </w:hyperlink>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该命令旨在收集信息，并不认定任何接收命令的主体违反法律。</w:t>
      </w:r>
    </w:p>
  </w:footnote>
  <w:footnote w:id="198">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National Institute of Standards and Technology, Artificial Intelligence Risk Management Framework (AI RMF 1.0), NIST AI 100-1, at GOVERN 1.7, 2.1, 2.3; MAP 3.5; MEASURE 2.5; MANAGE 4.1 (Jan. 2023),</w:t>
      </w:r>
      <w:r>
        <w:rPr>
          <w:rFonts w:ascii="Noto Serif CJK SC" w:hAnsi="Noto Serif CJK SC" w:eastAsia="Noto Serif CJK SC" w:cs="Noto Serif CJK SC"/>
          <w:lang w:val="en-US" w:eastAsia="zh-CN"/>
          <w:sz w:val="20"/>
          <w:szCs w:val="20"/>
        </w:rPr>
        <w:t xml:space="preserve"> </w:t>
      </w:r>
      <w:hyperlink r:id="rId199">
        <w:r>
          <w:rPr>
            <w:rFonts w:ascii="Noto Serif CJK SC" w:hAnsi="Noto Serif CJK SC" w:eastAsia="Noto Serif CJK SC" w:cs="Noto Serif CJK SC"/>
            <w:rStyle w:val="Hyperlink"/>
            <w:lang w:val="en-US" w:eastAsia="zh-CN"/>
            <w:sz w:val="20"/>
            <w:szCs w:val="20"/>
          </w:rPr>
          <w:t xml:space="preserve">https://nvlpubs.nist.gov/nistpubs/ai/NIST.AI.100-1.pdf</w:t>
        </w:r>
      </w:hyperlink>
      <w:r>
        <w:rPr>
          <w:rFonts w:ascii="Noto Serif CJK SC" w:hAnsi="Noto Serif CJK SC" w:eastAsia="Noto Serif CJK SC" w:cs="Noto Serif CJK SC"/>
          <w:lang w:val="en-US" w:eastAsia="zh-CN"/>
          <w:sz w:val="20"/>
          <w:szCs w:val="20"/>
        </w:rPr>
        <w:t xml:space="preserve">.</w:t>
      </w:r>
    </w:p>
  </w:footnote>
  <w:footnote w:id="201">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Fair Credit Reporting Act, 15 U.S.C. § 1681b(b)(3)(A) (2024).</w:t>
      </w:r>
    </w:p>
  </w:footnote>
  <w:footnote w:id="20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Fair Credit Reporting Act, 15 U.S.C. § 1681m(a)(1), (3)–(4) (2024).</w:t>
      </w:r>
    </w:p>
  </w:footnote>
  <w:footnote w:id="203">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Fair Credit Reporting Act, 15 U.S.C. §§ 1681g(a)(1)–(3), 1681h(a), 1681j(b), 1681i(a)(1)–(2), (a)(5), 1681s-2(b)(1) (2024).</w:t>
      </w:r>
    </w:p>
  </w:footnote>
  <w:footnote w:id="204">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Fair Credit Reporting Act, 15 U.S.C. § 1681m(h)(8) (2024);</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Perry v. First Nat’l Bank,</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459 F.3d 816, 822–23 (7th Cir. 2006).</w:t>
      </w:r>
    </w:p>
  </w:footnote>
  <w:footnote w:id="207">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Chappidi et al., supra note</w:t>
      </w:r>
      <w:r>
        <w:rPr>
          <w:rFonts w:ascii="Noto Serif CJK SC" w:hAnsi="Noto Serif CJK SC" w:eastAsia="Noto Serif CJK SC" w:cs="Noto Serif CJK SC"/>
          <w:lang w:val="en-US" w:eastAsia="zh-CN"/>
          <w:sz w:val="20"/>
          <w:szCs w:val="20"/>
        </w:rPr>
        <w:t xml:space="preserve"> </w:t>
      </w:r>
      <w:hyperlink w:anchor="x1-7008xD">
        <w:r>
          <w:rPr>
            <w:rFonts w:ascii="Noto Serif CJK SC" w:hAnsi="Noto Serif CJK SC" w:eastAsia="Noto Serif CJK SC" w:cs="Noto Serif CJK SC"/>
            <w:rStyle w:val="Hyperlink"/>
            <w:lang w:val="en-US" w:eastAsia="zh-CN"/>
            <w:sz w:val="20"/>
            <w:szCs w:val="20"/>
          </w:rPr>
          <w:t xml:space="preserve">16</w:t>
        </w:r>
      </w:hyperlink>
      <w:r>
        <w:rPr>
          <w:rFonts w:ascii="Noto Serif CJK SC" w:hAnsi="Noto Serif CJK SC" w:eastAsia="Noto Serif CJK SC" w:cs="Noto Serif CJK SC"/>
          <w:lang w:val="en-US" w:eastAsia="zh-CN"/>
          <w:sz w:val="20"/>
          <w:szCs w:val="20"/>
        </w:rPr>
        <w:t xml:space="preserve">, at 554–56, 559–64.</w:t>
      </w:r>
    </w:p>
  </w:footnote>
  <w:footnote w:id="209">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U.S. Sent’g Guidelines Manual § 8B2.1(b)(2), (b)(2)(C), (b)(5)(C), (b)(6)–(7), (c) (U.S. Sent’g Comm’n 2025).</w:t>
      </w:r>
    </w:p>
  </w:footnote>
  <w:footnote w:id="210">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例如参见</w:t>
      </w:r>
      <w:r>
        <w:rPr>
          <w:rFonts w:ascii="Noto Serif CJK SC" w:hAnsi="Noto Serif CJK SC" w:eastAsia="Noto Serif CJK SC" w:cs="Noto Serif CJK SC"/>
          <w:lang w:val="en-US" w:eastAsia="zh-CN"/>
          <w:sz w:val="20"/>
          <w:szCs w:val="20"/>
        </w:rPr>
        <w:t xml:space="preserve"> Energy Reorganization Act Employee Protection Provision, 42 U.S.C. § 5851(a)(1)–(2), (b)(2)(B), (b)(3)–(4) (2024);</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Whirlpool Corp. v. Marshall,</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445 U.S. 1, 9–13 (1980).</w:t>
      </w:r>
    </w:p>
  </w:footnote>
  <w:footnote w:id="21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 R. Evid. 407.</w:t>
      </w:r>
    </w:p>
  </w:footnote>
  <w:footnote w:id="215">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Henderson, supra note</w:t>
      </w:r>
      <w:r>
        <w:rPr>
          <w:rFonts w:ascii="Noto Serif CJK SC" w:hAnsi="Noto Serif CJK SC" w:eastAsia="Noto Serif CJK SC" w:cs="Noto Serif CJK SC"/>
          <w:lang w:val="en-US" w:eastAsia="zh-CN"/>
          <w:sz w:val="20"/>
          <w:szCs w:val="20"/>
        </w:rPr>
        <w:t xml:space="preserve"> </w:t>
      </w:r>
      <w:hyperlink w:anchor="x1-2007xdoc">
        <w:r>
          <w:rPr>
            <w:rFonts w:ascii="Noto Serif CJK SC" w:hAnsi="Noto Serif CJK SC" w:eastAsia="Noto Serif CJK SC" w:cs="Noto Serif CJK SC"/>
            <w:rStyle w:val="Hyperlink"/>
            <w:lang w:val="en-US" w:eastAsia="zh-CN"/>
            <w:sz w:val="20"/>
            <w:szCs w:val="20"/>
          </w:rPr>
          <w:t xml:space="preserve">2</w:t>
        </w:r>
      </w:hyperlink>
      <w:r>
        <w:rPr>
          <w:rFonts w:ascii="Noto Serif CJK SC" w:hAnsi="Noto Serif CJK SC" w:eastAsia="Noto Serif CJK SC" w:cs="Noto Serif CJK SC"/>
          <w:lang w:val="en-US" w:eastAsia="zh-CN"/>
          <w:sz w:val="20"/>
          <w:szCs w:val="20"/>
        </w:rPr>
        <w:t xml:space="preserve">, at 483, 515–17.</w:t>
      </w:r>
    </w:p>
  </w:footnote>
  <w:footnote w:id="217">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Zauderer v. Off. of Disciplinary Couns. of the Sup. Ct. of Ohio,</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471 U.S. 626, 650–53 (1985);</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Nat’l Inst. of Fam. &amp; Life Advocs. v. Becerra,</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585 U.S. 755, 768–79 (2018).</w:t>
      </w:r>
    </w:p>
  </w:footnote>
  <w:footnote w:id="218">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Ruckelshaus v. Monsanto Co.,</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467 U.S. 986, 1001–14 (1984); Fed. R. Civ. P. 26(c)(1)(G).</w:t>
      </w:r>
    </w:p>
  </w:footnote>
  <w:footnote w:id="219">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比较</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City of L.A. v. Patel,</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576 U.S. 409, 418–23 </w:t>
      </w:r>
      <w:r>
        <w:rPr>
          <w:rFonts w:hint="eastAsia" w:ascii="Noto Serif CJK SC" w:hAnsi="Noto Serif CJK SC" w:eastAsia="Noto Serif CJK SC" w:cs="Noto Serif CJK SC"/>
          <w:lang w:val="en-US" w:eastAsia="zh-CN"/>
          <w:sz w:val="20"/>
          <w:szCs w:val="20"/>
        </w:rPr>
        <w:t xml:space="preserve">(2015)（要求在受到处罚的行政检查之前，提供接受中立事前合规审查的机会）。私人提出的首次答复请求并非</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Patel</w:t>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案所涉的旅馆检查制度；该案提供的是一项保护性设计原则，而非支配本问题的法律标准。</w:t>
      </w:r>
    </w:p>
  </w:footnote>
  <w:footnote w:id="221">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CompuCredit Corp. v. Greenwood,</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565 U.S. 95, 98–104 (2012);</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Kindred Nursing Ctrs. L.P. v. Clark,</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581 U.S. 246, 251–58 (2017);</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Preston v. Ferrer,</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552 U.S. 346, 359–63 (2008).</w:t>
      </w:r>
    </w:p>
  </w:footnote>
  <w:footnote w:id="222">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First Options of Chi., Inc. v. Kaplan,</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514 U.S. 938, 943–47 (1995).</w:t>
      </w:r>
    </w:p>
  </w:footnote>
  <w:footnote w:id="223">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Equal Emp’t Opportunity Comm’n v. Waffle House,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534 U.S. 279, 288–96 (2002).</w:t>
      </w:r>
    </w:p>
  </w:footnote>
  <w:footnote w:id="224">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Federal Arbitration Act, 9 U.S.C. § 7 (2024);</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CVS Health Corp. v. Vividus, LLC,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878 F.3d 703, 706–09 (9th Cir. 2017).</w:t>
      </w:r>
    </w:p>
  </w:footnote>
  <w:footnote w:id="225">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Bristol-Myers Squibb</w:t>
      </w:r>
      <w:r>
        <w:rPr>
          <w:rFonts w:ascii="Noto Serif CJK SC" w:hAnsi="Noto Serif CJK SC" w:eastAsia="Noto Serif CJK SC" w:cs="Noto Serif CJK SC"/>
          <w:lang w:val="en-US" w:eastAsia="zh-CN"/>
          <w:sz w:val="20"/>
          <w:szCs w:val="20"/>
        </w:rPr>
        <w:t xml:space="preserve">, 582 U.S. at 262–68;</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Ford Motor</w:t>
      </w:r>
      <w:r>
        <w:rPr>
          <w:rFonts w:ascii="Noto Serif CJK SC" w:hAnsi="Noto Serif CJK SC" w:eastAsia="Noto Serif CJK SC" w:cs="Noto Serif CJK SC"/>
          <w:lang w:val="en-US" w:eastAsia="zh-CN"/>
          <w:sz w:val="20"/>
          <w:szCs w:val="20"/>
        </w:rPr>
        <w:t xml:space="preserve">, 592 U.S. at 358–72.</w:t>
      </w:r>
    </w:p>
  </w:footnote>
  <w:footnote w:id="226">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Mallory v. Norfolk S. Ry. Co.,</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600 U.S. 122, 134–36 (2023).</w:t>
      </w:r>
    </w:p>
  </w:footnote>
  <w:footnote w:id="227">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Fair Credit Reporting Act, 15 U.S.C. § 1681t(a), (b)(1)(B)–(C), (F) (2024); Fair Credit Reporting Act; Preemption of State Laws, 90 Fed. Reg. 48,710, 48,710–15 (Oct. 28, 2025). </w:t>
      </w:r>
      <w:r>
        <w:rPr>
          <w:rFonts w:hint="eastAsia" w:ascii="Noto Serif CJK SC" w:hAnsi="Noto Serif CJK SC" w:eastAsia="Noto Serif CJK SC" w:cs="Noto Serif CJK SC"/>
          <w:lang w:val="en-US" w:eastAsia="zh-CN"/>
          <w:sz w:val="20"/>
          <w:szCs w:val="20"/>
        </w:rPr>
        <w:t xml:space="preserve">该机关文件属于不具约束力的指引；应以制定法文本为准。</w:t>
      </w:r>
    </w:p>
  </w:footnote>
  <w:footnote w:id="228">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Employee Retirement Income Security Act, 29 U.S.C. § 1144(a) (2024);</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Gobeille v. Liberty Mut. Ins. Co.,</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577 U.S. 312, 320–26 (2016); Medical Device Amendments, 21 U.S.C. § 360k(a) (2024);</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Riegel v. Medtronic, Inc.,</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lang w:val="en-US" w:eastAsia="zh-CN"/>
          <w:sz w:val="20"/>
          <w:szCs w:val="20"/>
        </w:rPr>
        <w:t xml:space="preserve">552 U.S. 312, 321–30 (2008); Health Insurance Portability and Accountability Act, 42 U.S.C. § 1320d-7(a)(2) (2024); HIPAA Privacy Rule State-Law Preemption, 45 C.F.R. §§ 160.202–.203 (2025).</w:t>
      </w:r>
    </w:p>
  </w:footnote>
  <w:footnote w:id="229">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Title VII of the Civil Rights Act of 1964, 42 U.S.C. § 2000e-7 (2024).</w:t>
      </w:r>
    </w:p>
  </w:footnote>
  <w:footnote w:id="231">
    <w:p>
      <w:pPr>
        <w:pStyle w:val="FootnoteText"/>
      </w:pPr>
      <w:r>
        <w:rPr>
          <w:rFonts w:ascii="Noto Serif CJK SC" w:hAnsi="Noto Serif CJK SC" w:eastAsia="Noto Serif CJK SC" w:cs="Noto Serif CJK SC"/>
          <w:rStyle w:val="FootnoteReference"/>
          <w:lang w:val="en-US" w:eastAsia="zh-CN"/>
          <w:sz w:val="20"/>
          <w:szCs w:val="20"/>
        </w:rPr>
        <w:footnoteRef/>
      </w:r>
      <w:r>
        <w:rPr>
          <w:rFonts w:ascii="Noto Serif CJK SC" w:hAnsi="Noto Serif CJK SC" w:eastAsia="Noto Serif CJK SC" w:cs="Noto Serif CJK SC"/>
          <w:lang w:val="en-US" w:eastAsia="zh-CN"/>
          <w:sz w:val="20"/>
          <w:szCs w:val="20"/>
        </w:rPr>
        <w:t xml:space="preserve"> </w:t>
      </w:r>
      <w:r>
        <w:rPr>
          <w:rFonts w:hint="eastAsia" w:ascii="Noto Serif CJK SC" w:hAnsi="Noto Serif CJK SC" w:eastAsia="Noto Serif CJK SC" w:cs="Noto Serif CJK SC"/>
          <w:lang w:val="en-US" w:eastAsia="zh-CN"/>
          <w:sz w:val="20"/>
          <w:szCs w:val="20"/>
        </w:rPr>
        <w:t xml:space="preserve">参见</w:t>
      </w:r>
      <w:r>
        <w:rPr>
          <w:rFonts w:ascii="Noto Serif CJK SC" w:hAnsi="Noto Serif CJK SC" w:eastAsia="Noto Serif CJK SC" w:cs="Noto Serif CJK SC"/>
          <w:lang w:val="en-US" w:eastAsia="zh-CN"/>
          <w:sz w:val="20"/>
          <w:szCs w:val="20"/>
        </w:rPr>
        <w:t xml:space="preserve"> </w:t>
      </w:r>
      <w:r>
        <w:rPr>
          <w:rFonts w:ascii="Noto Serif CJK SC" w:hAnsi="Noto Serif CJK SC" w:eastAsia="Noto Serif CJK SC" w:cs="Noto Serif CJK SC"/>
          <w:i/>
          <w:iCs/>
          <w:lang w:val="en-US" w:eastAsia="zh-CN"/>
          <w:sz w:val="20"/>
          <w:szCs w:val="20"/>
        </w:rPr>
        <w:t xml:space="preserve">Garcia</w:t>
      </w:r>
      <w:r>
        <w:rPr>
          <w:rFonts w:ascii="Noto Serif CJK SC" w:hAnsi="Noto Serif CJK SC" w:eastAsia="Noto Serif CJK SC" w:cs="Noto Serif CJK SC"/>
          <w:lang w:val="en-US" w:eastAsia="zh-CN"/>
          <w:sz w:val="20"/>
          <w:szCs w:val="20"/>
        </w:rPr>
        <w:t xml:space="preserve">, 785 F. Supp. 3d at 1174–80.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erif CJK SC" w:cs="Noto Serif CJK SC" w:eastAsia="Noto Serif CJK SC" w:hAnsi="Noto Serif CJK SC"/>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erif CJK SC" w:cs="Noto Serif CJK SC" w:eastAsia="Noto Serif CJK SC" w:hAnsi="Noto Serif CJK SC"/>
      <w:lang w:eastAsia="zh-CN" w:val="en-US"/>
    </w:rPr>
  </w:style>
  <w:style w:styleId="BodyText" w:type="paragraph">
    <w:name w:val="Body Text"/>
    <w:basedOn w:val="Normal"/>
    <w:link w:val="BodyTextChar"/>
    <w:qFormat/>
    <w:pPr>
      <w:spacing w:after="180" w:before="180"/>
    </w:pPr>
    <w:rPr>
      <w:rFonts w:ascii="Noto Serif CJK SC" w:cs="Noto Serif CJK SC" w:eastAsia="Noto Serif CJK SC" w:hAnsi="Noto Serif CJK SC"/>
      <w:lang w:eastAsia="zh-CN" w:val="en-US"/>
    </w:rPr>
  </w:style>
  <w:style w:customStyle="1" w:styleId="FirstParagraph" w:type="paragraph">
    <w:name w:val="First Paragraph"/>
    <w:basedOn w:val="BodyText"/>
    <w:next w:val="BodyText"/>
    <w:qFormat/>
    <w:rPr>
      <w:rFonts w:ascii="Noto Serif CJK SC" w:cs="Noto Serif CJK SC" w:eastAsia="Noto Serif CJK SC" w:hAnsi="Noto Serif CJK SC"/>
      <w:lang w:eastAsia="zh-CN" w:val="en-US"/>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Noto Sans CJK SC" w:cs="Noto Sans CJK SC" w:eastAsia="Noto Sans CJK SC" w:hAnsi="Noto Sans CJK SC"/>
      <w:sz w:val="56"/>
      <w:szCs w:val="56"/>
      <w:lang w:eastAsia="zh-CN" w:val="en-US"/>
    </w:rPr>
  </w:style>
  <w:style w:customStyle="1" w:styleId="TitleChar" w:type="character">
    <w:name w:val="Title Char"/>
    <w:basedOn w:val="DefaultParagraphFont"/>
    <w:link w:val="Title"/>
    <w:uiPriority w:val="10"/>
    <w:rsid w:val="00A10FD9"/>
    <w:rPr>
      <w:rFonts w:ascii="Noto Sans CJK SC" w:cs="Noto Sans CJK SC" w:eastAsia="Noto Sans CJK SC" w:hAnsi="Noto Sans CJK SC"/>
      <w:sz w:val="56"/>
      <w:szCs w:val="56"/>
      <w:lang w:eastAsia="zh-CN" w:val="en-US"/>
    </w:rPr>
  </w:style>
  <w:style w:styleId="Subtitle" w:type="paragraph">
    <w:name w:val="Subtitle"/>
    <w:basedOn w:val="Title"/>
    <w:next w:val="BodyText"/>
    <w:link w:val="SubtitleChar"/>
    <w:uiPriority w:val="11"/>
    <w:qFormat/>
    <w:rsid w:val="00A10FD9"/>
    <w:pPr>
      <w:numPr>
        <w:ilvl w:val="1"/>
      </w:numPr>
    </w:pPr>
    <w:rPr>
      <w:rFonts w:ascii="Noto Sans CJK SC" w:cs="Noto Sans CJK SC" w:eastAsia="Noto Sans CJK SC" w:hAnsi="Noto Sans CJK SC"/>
      <w:spacing w:val="15"/>
      <w:sz w:val="28"/>
      <w:szCs w:val="28"/>
      <w:lang w:eastAsia="zh-CN" w:val="en-US"/>
    </w:rPr>
  </w:style>
  <w:style w:customStyle="1" w:styleId="SubtitleChar" w:type="character">
    <w:name w:val="Subtitle Char"/>
    <w:basedOn w:val="DefaultParagraphFont"/>
    <w:link w:val="Subtitle"/>
    <w:uiPriority w:val="11"/>
    <w:rsid w:val="00A10FD9"/>
    <w:rPr>
      <w:rFonts w:ascii="Noto Sans CJK SC" w:cs="Noto Sans CJK SC" w:eastAsia="Noto Sans CJK SC" w:hAnsi="Noto Sans CJK SC"/>
      <w:color w:themeColor="text1" w:themeTint="A6" w:val="595959"/>
      <w:spacing w:val="15"/>
      <w:sz w:val="28"/>
      <w:szCs w:val="28"/>
      <w:lang w:eastAsia="zh-CN" w:val="en-US"/>
    </w:rPr>
  </w:style>
  <w:style w:customStyle="1" w:styleId="Author" w:type="paragraph">
    <w:name w:val="Author"/>
    <w:basedOn w:val="Title"/>
    <w:next w:val="BodyText"/>
    <w:qFormat/>
    <w:pPr>
      <w:keepNext/>
      <w:keepLines/>
    </w:pPr>
    <w:rPr>
      <w:rFonts w:ascii="Noto Serif CJK SC" w:cs="Noto Serif CJK SC" w:eastAsia="Noto Serif CJK SC" w:hAnsi="Noto Serif CJK SC"/>
      <w:sz w:val="24"/>
      <w:szCs w:val="24"/>
      <w:lang w:eastAsia="zh-CN" w:val="en-US"/>
    </w:rPr>
  </w:style>
  <w:style w:styleId="Date" w:type="paragraph">
    <w:name w:val="Date"/>
    <w:basedOn w:val="Title"/>
    <w:next w:val="BodyText"/>
    <w:qFormat/>
    <w:pPr>
      <w:keepNext/>
      <w:keepLines/>
    </w:pPr>
    <w:rPr>
      <w:rFonts w:ascii="Noto Serif CJK SC" w:cs="Noto Serif CJK SC" w:eastAsia="Noto Serif CJK SC" w:hAnsi="Noto Serif CJK SC"/>
      <w:sz w:val="24"/>
      <w:szCs w:val="24"/>
      <w:lang w:eastAsia="zh-CN" w:val="en-US"/>
    </w:rPr>
  </w:style>
  <w:style w:customStyle="1" w:styleId="AbstractTitle" w:type="paragraph">
    <w:name w:val="Abstract Title"/>
    <w:basedOn w:val="Normal"/>
    <w:next w:val="Abstract"/>
    <w:qFormat/>
    <w:pPr>
      <w:keepNext/>
      <w:keepLines/>
      <w:spacing w:after="0" w:before="300"/>
      <w:jc w:val="center"/>
    </w:pPr>
    <w:rPr>
      <w:rFonts w:ascii="Noto Serif CJK SC" w:cs="Noto Serif CJK SC" w:eastAsia="Noto Serif CJK SC" w:hAnsi="Noto Serif CJK SC"/>
      <w:b/>
      <w:sz w:val="20"/>
      <w:szCs w:val="20"/>
      <w:lang w:eastAsia="zh-CN" w:val="en-US"/>
    </w:rPr>
  </w:style>
  <w:style w:customStyle="1" w:styleId="Abstract" w:type="paragraph">
    <w:name w:val="Abstract"/>
    <w:basedOn w:val="Normal"/>
    <w:next w:val="BodyText"/>
    <w:qFormat/>
    <w:pPr>
      <w:keepNext/>
      <w:keepLines/>
      <w:spacing w:after="300" w:before="100"/>
    </w:pPr>
    <w:rPr>
      <w:rFonts w:ascii="Noto Serif CJK SC" w:cs="Noto Serif CJK SC" w:eastAsia="Noto Serif CJK SC" w:hAnsi="Noto Serif CJK SC"/>
      <w:sz w:val="20"/>
      <w:szCs w:val="20"/>
      <w:lang w:eastAsia="zh-CN" w:val="en-US"/>
    </w:rPr>
  </w:style>
  <w:style w:styleId="Bibliography" w:type="paragraph">
    <w:name w:val="Bibliography"/>
    <w:basedOn w:val="Normal"/>
    <w:next w:val="Bibliography"/>
    <w:qFormat/>
    <w:pPr/>
    <w:rPr>
      <w:rFonts w:ascii="Noto Serif CJK SC" w:cs="Noto Serif CJK SC" w:eastAsia="Noto Serif CJK SC" w:hAnsi="Noto Serif CJK SC"/>
      <w:lang w:eastAsia="zh-CN" w:val="en-US"/>
    </w:rPr>
  </w:style>
  <w:style w:styleId="Heading1" w:type="paragraph">
    <w:name w:val="heading 1"/>
    <w:basedOn w:val="Normal"/>
    <w:next w:val="BodyText"/>
    <w:link w:val="Heading1Char"/>
    <w:uiPriority w:val="9"/>
    <w:qFormat/>
    <w:rsid w:val="00A10FD9"/>
    <w:pPr>
      <w:keepNext/>
      <w:keepLines/>
      <w:spacing w:after="80" w:before="360"/>
      <w:outlineLvl w:val="0"/>
    </w:pPr>
    <w:rPr>
      <w:rFonts w:ascii="Noto Sans CJK SC" w:cs="Noto Sans CJK SC" w:eastAsia="Noto Sans CJK SC" w:hAnsi="Noto Sans CJK SC"/>
      <w:color w:themeColor="accent1" w:themeShade="BF" w:val="0F4761"/>
      <w:sz w:val="40"/>
      <w:szCs w:val="40"/>
      <w:lang w:eastAsia="zh-CN" w:val="en-U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Noto Sans CJK SC" w:cs="Noto Sans CJK SC" w:eastAsia="Noto Sans CJK SC" w:hAnsi="Noto Sans CJK SC"/>
      <w:color w:themeColor="accent1" w:themeShade="BF" w:val="0F4761"/>
      <w:sz w:val="32"/>
      <w:szCs w:val="32"/>
      <w:lang w:eastAsia="zh-CN" w:val="en-U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Noto Sans CJK SC" w:cs="Noto Sans CJK SC" w:eastAsia="Noto Sans CJK SC" w:hAnsi="Noto Sans CJK SC"/>
      <w:color w:themeColor="accent1" w:themeShade="BF" w:val="0F4761"/>
      <w:sz w:val="28"/>
      <w:szCs w:val="28"/>
      <w:lang w:eastAsia="zh-CN" w:val="en-U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Noto Sans CJK SC" w:cs="Noto Sans CJK SC" w:eastAsia="Noto Sans CJK SC" w:hAnsi="Noto Sans CJK SC"/>
      <w:i/>
      <w:iCs/>
      <w:color w:themeColor="accent1" w:themeShade="BF" w:val="0F4761"/>
      <w:lang w:eastAsia="zh-CN" w:val="en-U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Noto Sans CJK SC" w:cs="Noto Sans CJK SC" w:eastAsia="Noto Sans CJK SC" w:hAnsi="Noto Sans CJK SC"/>
      <w:color w:themeColor="accent1" w:themeShade="BF" w:val="0F4761"/>
      <w:lang w:eastAsia="zh-CN" w:val="en-U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Noto Sans CJK SC" w:cs="Noto Sans CJK SC" w:eastAsia="Noto Sans CJK SC" w:hAnsi="Noto Sans CJK SC"/>
      <w:i/>
      <w:iCs/>
      <w:color w:themeColor="text1" w:themeTint="A6" w:val="595959"/>
      <w:lang w:eastAsia="zh-CN" w:val="en-U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Noto Sans CJK SC" w:cs="Noto Sans CJK SC" w:eastAsia="Noto Sans CJK SC" w:hAnsi="Noto Sans CJK SC"/>
      <w:color w:themeColor="text1" w:themeTint="A6" w:val="595959"/>
      <w:lang w:eastAsia="zh-CN" w:val="en-U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Noto Sans CJK SC" w:cs="Noto Sans CJK SC" w:eastAsia="Noto Sans CJK SC" w:hAnsi="Noto Sans CJK SC"/>
      <w:i/>
      <w:iCs/>
      <w:color w:themeColor="text1" w:themeTint="D8" w:val="272727"/>
      <w:lang w:eastAsia="zh-CN" w:val="en-U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Noto Sans CJK SC" w:cs="Noto Sans CJK SC" w:eastAsia="Noto Sans CJK SC" w:hAnsi="Noto Sans CJK SC"/>
      <w:color w:themeColor="text1" w:themeTint="D8" w:val="272727"/>
      <w:lang w:eastAsia="zh-CN" w:val="en-US"/>
    </w:rPr>
  </w:style>
  <w:style w:customStyle="1" w:styleId="Heading1Char" w:type="character">
    <w:name w:val="Heading 1 Char"/>
    <w:basedOn w:val="DefaultParagraphFont"/>
    <w:link w:val="Heading1"/>
    <w:uiPriority w:val="9"/>
    <w:rsid w:val="00A10FD9"/>
    <w:rPr>
      <w:rFonts w:ascii="Noto Sans CJK SC" w:cs="Noto Sans CJK SC" w:eastAsia="Noto Sans CJK SC" w:hAnsi="Noto Sans CJK SC"/>
      <w:color w:themeColor="accent1" w:themeShade="BF" w:val="0F4761"/>
      <w:sz w:val="40"/>
      <w:szCs w:val="40"/>
      <w:lang w:eastAsia="zh-CN" w:val="en-US"/>
    </w:rPr>
  </w:style>
  <w:style w:customStyle="1" w:styleId="Heading2Char" w:type="character">
    <w:name w:val="Heading 2 Char"/>
    <w:basedOn w:val="DefaultParagraphFont"/>
    <w:link w:val="Heading2"/>
    <w:uiPriority w:val="9"/>
    <w:semiHidden/>
    <w:rsid w:val="00A10FD9"/>
    <w:rPr>
      <w:rFonts w:ascii="Noto Sans CJK SC" w:cs="Noto Sans CJK SC" w:eastAsia="Noto Sans CJK SC" w:hAnsi="Noto Sans CJK SC"/>
      <w:color w:themeColor="accent1" w:themeShade="BF" w:val="0F4761"/>
      <w:sz w:val="32"/>
      <w:szCs w:val="32"/>
      <w:lang w:eastAsia="zh-CN" w:val="en-US"/>
    </w:rPr>
  </w:style>
  <w:style w:customStyle="1" w:styleId="Heading3Char" w:type="character">
    <w:name w:val="Heading 3 Char"/>
    <w:basedOn w:val="DefaultParagraphFont"/>
    <w:link w:val="Heading3"/>
    <w:uiPriority w:val="9"/>
    <w:semiHidden/>
    <w:rsid w:val="00A10FD9"/>
    <w:rPr>
      <w:rFonts w:ascii="Noto Sans CJK SC" w:cs="Noto Sans CJK SC" w:eastAsia="Noto Sans CJK SC" w:hAnsi="Noto Sans CJK SC"/>
      <w:color w:themeColor="accent1" w:themeShade="BF" w:val="0F4761"/>
      <w:sz w:val="28"/>
      <w:szCs w:val="28"/>
      <w:lang w:eastAsia="zh-CN" w:val="en-US"/>
    </w:rPr>
  </w:style>
  <w:style w:customStyle="1" w:styleId="Heading4Char" w:type="character">
    <w:name w:val="Heading 4 Char"/>
    <w:basedOn w:val="DefaultParagraphFont"/>
    <w:link w:val="Heading4"/>
    <w:uiPriority w:val="9"/>
    <w:semiHidden/>
    <w:rsid w:val="00A10FD9"/>
    <w:rPr>
      <w:rFonts w:ascii="Noto Sans CJK SC" w:cs="Noto Sans CJK SC" w:eastAsia="Noto Sans CJK SC" w:hAnsi="Noto Sans CJK SC"/>
      <w:i/>
      <w:iCs/>
      <w:color w:themeColor="accent1" w:themeShade="BF" w:val="0F4761"/>
      <w:lang w:eastAsia="zh-CN" w:val="en-US"/>
    </w:rPr>
  </w:style>
  <w:style w:customStyle="1" w:styleId="Heading5Char" w:type="character">
    <w:name w:val="Heading 5 Char"/>
    <w:basedOn w:val="DefaultParagraphFont"/>
    <w:link w:val="Heading5"/>
    <w:uiPriority w:val="9"/>
    <w:semiHidden/>
    <w:rsid w:val="00A10FD9"/>
    <w:rPr>
      <w:rFonts w:ascii="Noto Sans CJK SC" w:cs="Noto Sans CJK SC" w:eastAsia="Noto Sans CJK SC" w:hAnsi="Noto Sans CJK SC"/>
      <w:color w:themeColor="accent1" w:themeShade="BF" w:val="0F4761"/>
      <w:lang w:eastAsia="zh-CN" w:val="en-US"/>
    </w:rPr>
  </w:style>
  <w:style w:customStyle="1" w:styleId="Heading6Char" w:type="character">
    <w:name w:val="Heading 6 Char"/>
    <w:basedOn w:val="DefaultParagraphFont"/>
    <w:link w:val="Heading6"/>
    <w:uiPriority w:val="9"/>
    <w:semiHidden/>
    <w:rsid w:val="00A10FD9"/>
    <w:rPr>
      <w:rFonts w:ascii="Noto Sans CJK SC" w:cs="Noto Sans CJK SC" w:eastAsia="Noto Sans CJK SC" w:hAnsi="Noto Sans CJK SC"/>
      <w:i/>
      <w:iCs/>
      <w:color w:themeColor="text1" w:themeTint="A6" w:val="595959"/>
      <w:lang w:eastAsia="zh-CN" w:val="en-US"/>
    </w:rPr>
  </w:style>
  <w:style w:customStyle="1" w:styleId="Heading7Char" w:type="character">
    <w:name w:val="Heading 7 Char"/>
    <w:basedOn w:val="DefaultParagraphFont"/>
    <w:link w:val="Heading7"/>
    <w:uiPriority w:val="9"/>
    <w:semiHidden/>
    <w:rsid w:val="00A10FD9"/>
    <w:rPr>
      <w:rFonts w:ascii="Noto Sans CJK SC" w:cs="Noto Sans CJK SC" w:eastAsia="Noto Sans CJK SC" w:hAnsi="Noto Sans CJK SC"/>
      <w:color w:themeColor="text1" w:themeTint="A6" w:val="595959"/>
      <w:lang w:eastAsia="zh-CN" w:val="en-US"/>
    </w:rPr>
  </w:style>
  <w:style w:customStyle="1" w:styleId="Heading8Char" w:type="character">
    <w:name w:val="Heading 8 Char"/>
    <w:basedOn w:val="DefaultParagraphFont"/>
    <w:link w:val="Heading8"/>
    <w:uiPriority w:val="9"/>
    <w:semiHidden/>
    <w:rsid w:val="00A10FD9"/>
    <w:rPr>
      <w:rFonts w:ascii="Noto Sans CJK SC" w:cs="Noto Sans CJK SC" w:eastAsia="Noto Sans CJK SC" w:hAnsi="Noto Sans CJK SC"/>
      <w:i/>
      <w:iCs/>
      <w:color w:themeColor="text1" w:themeTint="D8" w:val="272727"/>
      <w:lang w:eastAsia="zh-CN" w:val="en-US"/>
    </w:rPr>
  </w:style>
  <w:style w:customStyle="1" w:styleId="Heading9Char" w:type="character">
    <w:name w:val="Heading 9 Char"/>
    <w:basedOn w:val="DefaultParagraphFont"/>
    <w:link w:val="Heading9"/>
    <w:uiPriority w:val="9"/>
    <w:semiHidden/>
    <w:rsid w:val="00A10FD9"/>
    <w:rPr>
      <w:rFonts w:ascii="Noto Sans CJK SC" w:cs="Noto Sans CJK SC" w:eastAsia="Noto Sans CJK SC" w:hAnsi="Noto Sans CJK SC"/>
      <w:color w:themeColor="text1" w:themeTint="D8" w:val="272727"/>
      <w:lang w:eastAsia="zh-CN" w:val="en-US"/>
    </w:rPr>
  </w:style>
  <w:style w:styleId="BlockText" w:type="paragraph">
    <w:name w:val="Block Text"/>
    <w:basedOn w:val="BodyText"/>
    <w:next w:val="BodyText"/>
    <w:uiPriority w:val="9"/>
    <w:unhideWhenUsed/>
    <w:qFormat/>
    <w:pPr>
      <w:spacing w:after="100" w:before="100"/>
      <w:ind w:firstLine="0" w:left="480" w:right="480"/>
    </w:pPr>
    <w:rPr>
      <w:rFonts w:ascii="Noto Serif CJK SC" w:cs="Noto Serif CJK SC" w:eastAsia="Noto Serif CJK SC" w:hAnsi="Noto Serif CJK SC"/>
      <w:lang w:eastAsia="zh-CN" w:val="en-US"/>
    </w:rPr>
  </w:style>
  <w:style w:styleId="FootnoteText" w:type="paragraph">
    <w:name w:val="Footnote Text"/>
    <w:basedOn w:val="Normal"/>
    <w:next w:val="FootnoteText"/>
    <w:uiPriority w:val="9"/>
    <w:unhideWhenUsed/>
    <w:qFormat/>
    <w:rPr>
      <w:rFonts w:ascii="Noto Serif CJK SC" w:cs="Noto Serif CJK SC" w:eastAsia="Noto Serif CJK SC" w:hAnsi="Noto Serif CJK SC"/>
      <w:sz w:val="20"/>
      <w:szCs w:val="20"/>
      <w:lang w:eastAsia="zh-CN" w:val="en-US"/>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rPr>
      <w:rFonts w:ascii="Noto Serif CJK SC" w:cs="Noto Serif CJK SC" w:eastAsia="Noto Serif CJK SC" w:hAnsi="Noto Serif CJK SC"/>
      <w:lang w:eastAsia="zh-CN" w:val="en-US"/>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Noto Serif CJK SC" w:cs="Noto Serif CJK SC" w:eastAsia="Noto Serif CJK SC" w:hAnsi="Noto Serif CJK SC"/>
      <w:b/>
      <w:lang w:eastAsia="zh-CN" w:val="en-US"/>
    </w:rPr>
  </w:style>
  <w:style w:customStyle="1" w:styleId="Definition" w:type="paragraph">
    <w:name w:val="Definition"/>
    <w:basedOn w:val="Normal"/>
    <w:rPr>
      <w:rFonts w:ascii="Noto Serif CJK SC" w:cs="Noto Serif CJK SC" w:eastAsia="Noto Serif CJK SC" w:hAnsi="Noto Serif CJK SC"/>
      <w:sz w:val="21"/>
      <w:szCs w:val="21"/>
      <w:lang w:eastAsia="zh-CN" w:val="en-US"/>
    </w:rPr>
    <w:pPr>
      <w:spacing w:after="80" w:line="240" w:lineRule="auto"/>
    </w:pPr>
  </w:style>
  <w:style w:styleId="Caption" w:type="paragraph">
    <w:name w:val="Caption"/>
    <w:basedOn w:val="Normal"/>
    <w:link w:val="BodyTextChar"/>
    <w:pPr>
      <w:spacing w:after="120" w:before="0"/>
    </w:pPr>
    <w:rPr>
      <w:rFonts w:ascii="Noto Serif CJK SC" w:cs="Noto Serif CJK SC" w:eastAsia="Noto Serif CJK SC" w:hAnsi="Noto Serif CJK SC"/>
      <w:i/>
      <w:lang w:eastAsia="zh-CN" w:val="en-US"/>
    </w:rPr>
  </w:style>
  <w:style w:customStyle="1" w:styleId="TableCaption" w:type="paragraph">
    <w:name w:val="Table Caption"/>
    <w:basedOn w:val="Caption"/>
    <w:pPr>
      <w:keepNext/>
    </w:pPr>
    <w:rPr>
      <w:rFonts w:ascii="Noto Serif CJK SC" w:cs="Noto Serif CJK SC" w:eastAsia="Noto Serif CJK SC" w:hAnsi="Noto Serif CJK SC"/>
      <w:lang w:eastAsia="zh-CN" w:val="en-US"/>
    </w:rPr>
  </w:style>
  <w:style w:customStyle="1" w:styleId="ImageCaption" w:type="paragraph">
    <w:name w:val="Image Caption"/>
    <w:basedOn w:val="Caption"/>
    <w:rPr>
      <w:rFonts w:ascii="Noto Serif CJK SC" w:cs="Noto Serif CJK SC" w:eastAsia="Noto Serif CJK SC" w:hAnsi="Noto Serif CJK SC"/>
      <w:lang w:eastAsia="zh-CN" w:val="en-US"/>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Noto Serif CJK SC" w:cs="Noto Serif CJK SC" w:eastAsia="Noto Serif CJK SC" w:hAnsi="Noto Serif CJK SC"/>
      <w:lang w:eastAsia="zh-CN" w:val="en-US"/>
    </w:rPr>
  </w:style>
  <w:style w:customStyle="1" w:styleId="VerbatimChar" w:type="character">
    <w:name w:val="Verbatim Char"/>
    <w:basedOn w:val="BodyTextChar"/>
    <w:rPr>
      <w:rFonts w:ascii="Noto Serif CJK SC" w:cs="Noto Serif CJK SC" w:eastAsia="Noto Serif CJK SC" w:hAnsi="Noto Serif CJK SC"/>
      <w:sz w:val="22"/>
      <w:lang w:eastAsia="zh-CN" w:val="en-US"/>
    </w:rPr>
  </w:style>
  <w:style w:customStyle="1" w:styleId="SectionNumber" w:type="character">
    <w:name w:val="Section Number"/>
    <w:basedOn w:val="BodyTextChar"/>
  </w:style>
  <w:style w:styleId="FootnoteReference" w:type="character">
    <w:name w:val="Footnote Reference"/>
    <w:basedOn w:val="BodyTextChar"/>
    <w:rPr>
      <w:rFonts w:ascii="Noto Serif CJK SC" w:cs="Noto Serif CJK SC" w:eastAsia="Noto Serif CJK SC" w:hAnsi="Noto Serif CJK SC"/>
      <w:vertAlign w:val="superscript"/>
      <w:lang w:eastAsia="zh-CN" w:val="en-US"/>
    </w:rPr>
  </w:style>
  <w:style w:styleId="Hyperlink" w:type="character">
    <w:name w:val="Hyperlink"/>
    <w:basedOn w:val="BodyTextChar"/>
    <w:rPr>
      <w:rFonts w:ascii="Noto Serif CJK SC" w:cs="Noto Serif CJK SC" w:eastAsia="Noto Serif CJK SC" w:hAnsi="Noto Serif CJK SC"/>
      <w:color w:themeColor="accent1" w:val="4F81BD"/>
      <w:lang w:eastAsia="zh-CN" w:val="en-US"/>
    </w:rPr>
  </w:style>
  <w:style w:styleId="TOCHeading" w:type="paragraph">
    <w:name w:val="TOC Heading"/>
    <w:basedOn w:val="Heading1"/>
    <w:next w:val="BodyText"/>
    <w:uiPriority w:val="39"/>
    <w:unhideWhenUsed/>
    <w:qFormat/>
    <w:pPr>
      <w:spacing w:before="240" w:line="259" w:lineRule="auto"/>
      <w:outlineLvl w:val="9"/>
    </w:pPr>
    <w:rPr>
      <w:rFonts w:ascii="Noto Serif CJK SC" w:cs="Noto Serif CJK SC" w:eastAsia="Noto Serif CJK SC" w:hAnsi="Noto Serif CJK SC"/>
      <w:b w:val="0"/>
      <w:bCs w:val="0"/>
      <w:color w:themeColor="accent1" w:themeShade="BF" w:val="365F91"/>
      <w:lang w:eastAsia="zh-CN" w:val="en-US"/>
    </w:rPr>
  </w:style>
  <w:style w:customStyle="1" w:styleId="SourceCode" w:type="paragraph">
    <w:name w:val="Source Code"/>
    <w:basedOn w:val="Normal"/>
    <w:link w:val="VerbatimChar"/>
    <w:pPr>
      <w:wordWrap w:val="off"/>
    </w:pPr>
  </w:style>
  <w:style w:customStyle="1" w:styleId="KeywordTok" w:type="character">
    <w:name w:val="KeywordTok"/>
    <w:basedOn w:val="VerbatimChar"/>
    <w:rPr>
      <w:rFonts w:ascii="Noto Serif CJK SC" w:cs="Noto Serif CJK SC" w:eastAsia="Noto Serif CJK SC" w:hAnsi="Noto Serif CJK SC"/>
      <w:b/>
      <w:color w:val="007020"/>
      <w:lang w:eastAsia="zh-CN" w:val="en-US"/>
    </w:rPr>
  </w:style>
  <w:style w:customStyle="1" w:styleId="DataTypeTok" w:type="character">
    <w:name w:val="DataTypeTok"/>
    <w:basedOn w:val="VerbatimChar"/>
    <w:rPr>
      <w:rFonts w:ascii="Noto Serif CJK SC" w:cs="Noto Serif CJK SC" w:eastAsia="Noto Serif CJK SC" w:hAnsi="Noto Serif CJK SC"/>
      <w:color w:val="902000"/>
      <w:lang w:eastAsia="zh-CN" w:val="en-US"/>
    </w:rPr>
  </w:style>
  <w:style w:customStyle="1" w:styleId="DecValTok" w:type="character">
    <w:name w:val="DecValTok"/>
    <w:basedOn w:val="VerbatimChar"/>
    <w:rPr>
      <w:rFonts w:ascii="Noto Serif CJK SC" w:cs="Noto Serif CJK SC" w:eastAsia="Noto Serif CJK SC" w:hAnsi="Noto Serif CJK SC"/>
      <w:color w:val="40a070"/>
      <w:lang w:eastAsia="zh-CN" w:val="en-US"/>
    </w:rPr>
  </w:style>
  <w:style w:customStyle="1" w:styleId="BaseNTok" w:type="character">
    <w:name w:val="BaseNTok"/>
    <w:basedOn w:val="VerbatimChar"/>
    <w:rPr>
      <w:rFonts w:ascii="Noto Serif CJK SC" w:cs="Noto Serif CJK SC" w:eastAsia="Noto Serif CJK SC" w:hAnsi="Noto Serif CJK SC"/>
      <w:color w:val="40a070"/>
      <w:lang w:eastAsia="zh-CN" w:val="en-US"/>
    </w:rPr>
  </w:style>
  <w:style w:customStyle="1" w:styleId="FloatTok" w:type="character">
    <w:name w:val="FloatTok"/>
    <w:basedOn w:val="VerbatimChar"/>
    <w:rPr>
      <w:rFonts w:ascii="Noto Serif CJK SC" w:cs="Noto Serif CJK SC" w:eastAsia="Noto Serif CJK SC" w:hAnsi="Noto Serif CJK SC"/>
      <w:color w:val="40a070"/>
      <w:lang w:eastAsia="zh-CN" w:val="en-US"/>
    </w:rPr>
  </w:style>
  <w:style w:customStyle="1" w:styleId="ConstantTok" w:type="character">
    <w:name w:val="ConstantTok"/>
    <w:basedOn w:val="VerbatimChar"/>
    <w:rPr>
      <w:rFonts w:ascii="Noto Serif CJK SC" w:cs="Noto Serif CJK SC" w:eastAsia="Noto Serif CJK SC" w:hAnsi="Noto Serif CJK SC"/>
      <w:color w:val="880000"/>
      <w:lang w:eastAsia="zh-CN" w:val="en-US"/>
    </w:rPr>
  </w:style>
  <w:style w:customStyle="1" w:styleId="CharTok" w:type="character">
    <w:name w:val="CharTok"/>
    <w:basedOn w:val="VerbatimChar"/>
    <w:rPr>
      <w:rFonts w:ascii="Noto Serif CJK SC" w:cs="Noto Serif CJK SC" w:eastAsia="Noto Serif CJK SC" w:hAnsi="Noto Serif CJK SC"/>
      <w:color w:val="4070a0"/>
      <w:lang w:eastAsia="zh-CN" w:val="en-US"/>
    </w:rPr>
  </w:style>
  <w:style w:customStyle="1" w:styleId="SpecialCharTok" w:type="character">
    <w:name w:val="SpecialCharTok"/>
    <w:basedOn w:val="VerbatimChar"/>
    <w:rPr>
      <w:rFonts w:ascii="Noto Serif CJK SC" w:cs="Noto Serif CJK SC" w:eastAsia="Noto Serif CJK SC" w:hAnsi="Noto Serif CJK SC"/>
      <w:color w:val="4070a0"/>
      <w:lang w:eastAsia="zh-CN" w:val="en-US"/>
    </w:rPr>
  </w:style>
  <w:style w:customStyle="1" w:styleId="StringTok" w:type="character">
    <w:name w:val="StringTok"/>
    <w:basedOn w:val="VerbatimChar"/>
    <w:rPr>
      <w:rFonts w:ascii="Noto Serif CJK SC" w:cs="Noto Serif CJK SC" w:eastAsia="Noto Serif CJK SC" w:hAnsi="Noto Serif CJK SC"/>
      <w:color w:val="4070a0"/>
      <w:lang w:eastAsia="zh-CN" w:val="en-US"/>
    </w:rPr>
  </w:style>
  <w:style w:customStyle="1" w:styleId="VerbatimStringTok" w:type="character">
    <w:name w:val="VerbatimStringTok"/>
    <w:basedOn w:val="VerbatimChar"/>
    <w:rPr>
      <w:rFonts w:ascii="Noto Serif CJK SC" w:cs="Noto Serif CJK SC" w:eastAsia="Noto Serif CJK SC" w:hAnsi="Noto Serif CJK SC"/>
      <w:color w:val="4070a0"/>
      <w:lang w:eastAsia="zh-CN" w:val="en-US"/>
    </w:rPr>
  </w:style>
  <w:style w:customStyle="1" w:styleId="SpecialStringTok" w:type="character">
    <w:name w:val="SpecialStringTok"/>
    <w:basedOn w:val="VerbatimChar"/>
    <w:rPr>
      <w:rFonts w:ascii="Noto Serif CJK SC" w:cs="Noto Serif CJK SC" w:eastAsia="Noto Serif CJK SC" w:hAnsi="Noto Serif CJK SC"/>
      <w:color w:val="bb6688"/>
      <w:lang w:eastAsia="zh-CN" w:val="en-US"/>
    </w:rPr>
  </w:style>
  <w:style w:customStyle="1" w:styleId="ImportTok" w:type="character">
    <w:name w:val="ImportTok"/>
    <w:basedOn w:val="VerbatimChar"/>
    <w:rPr>
      <w:rFonts w:ascii="Noto Serif CJK SC" w:cs="Noto Serif CJK SC" w:eastAsia="Noto Serif CJK SC" w:hAnsi="Noto Serif CJK SC"/>
      <w:b/>
      <w:color w:val="008000"/>
      <w:lang w:eastAsia="zh-CN" w:val="en-US"/>
    </w:rPr>
  </w:style>
  <w:style w:customStyle="1" w:styleId="CommentTok" w:type="character">
    <w:name w:val="CommentTok"/>
    <w:basedOn w:val="VerbatimChar"/>
    <w:rPr>
      <w:rFonts w:ascii="Noto Serif CJK SC" w:cs="Noto Serif CJK SC" w:eastAsia="Noto Serif CJK SC" w:hAnsi="Noto Serif CJK SC"/>
      <w:i/>
      <w:color w:val="60a0b0"/>
      <w:lang w:eastAsia="zh-CN" w:val="en-US"/>
    </w:rPr>
  </w:style>
  <w:style w:customStyle="1" w:styleId="DocumentationTok" w:type="character">
    <w:name w:val="DocumentationTok"/>
    <w:basedOn w:val="VerbatimChar"/>
    <w:rPr>
      <w:rFonts w:ascii="Noto Serif CJK SC" w:cs="Noto Serif CJK SC" w:eastAsia="Noto Serif CJK SC" w:hAnsi="Noto Serif CJK SC"/>
      <w:i/>
      <w:color w:val="ba2121"/>
      <w:lang w:eastAsia="zh-CN" w:val="en-US"/>
    </w:rPr>
  </w:style>
  <w:style w:customStyle="1" w:styleId="AnnotationTok" w:type="character">
    <w:name w:val="AnnotationTok"/>
    <w:basedOn w:val="VerbatimChar"/>
    <w:rPr>
      <w:rFonts w:ascii="Noto Serif CJK SC" w:cs="Noto Serif CJK SC" w:eastAsia="Noto Serif CJK SC" w:hAnsi="Noto Serif CJK SC"/>
      <w:b/>
      <w:i/>
      <w:color w:val="60a0b0"/>
      <w:lang w:eastAsia="zh-CN" w:val="en-US"/>
    </w:rPr>
  </w:style>
  <w:style w:customStyle="1" w:styleId="CommentVarTok" w:type="character">
    <w:name w:val="CommentVarTok"/>
    <w:basedOn w:val="VerbatimChar"/>
    <w:rPr>
      <w:rFonts w:ascii="Noto Serif CJK SC" w:cs="Noto Serif CJK SC" w:eastAsia="Noto Serif CJK SC" w:hAnsi="Noto Serif CJK SC"/>
      <w:b/>
      <w:i/>
      <w:color w:val="60a0b0"/>
      <w:lang w:eastAsia="zh-CN" w:val="en-US"/>
    </w:rPr>
  </w:style>
  <w:style w:customStyle="1" w:styleId="OtherTok" w:type="character">
    <w:name w:val="OtherTok"/>
    <w:basedOn w:val="VerbatimChar"/>
    <w:rPr>
      <w:rFonts w:ascii="Noto Serif CJK SC" w:cs="Noto Serif CJK SC" w:eastAsia="Noto Serif CJK SC" w:hAnsi="Noto Serif CJK SC"/>
      <w:color w:val="007020"/>
      <w:lang w:eastAsia="zh-CN" w:val="en-US"/>
    </w:rPr>
  </w:style>
  <w:style w:customStyle="1" w:styleId="FunctionTok" w:type="character">
    <w:name w:val="FunctionTok"/>
    <w:basedOn w:val="VerbatimChar"/>
    <w:rPr>
      <w:rFonts w:ascii="Noto Serif CJK SC" w:cs="Noto Serif CJK SC" w:eastAsia="Noto Serif CJK SC" w:hAnsi="Noto Serif CJK SC"/>
      <w:color w:val="06287e"/>
      <w:lang w:eastAsia="zh-CN" w:val="en-US"/>
    </w:rPr>
  </w:style>
  <w:style w:customStyle="1" w:styleId="VariableTok" w:type="character">
    <w:name w:val="VariableTok"/>
    <w:basedOn w:val="VerbatimChar"/>
    <w:rPr>
      <w:rFonts w:ascii="Noto Serif CJK SC" w:cs="Noto Serif CJK SC" w:eastAsia="Noto Serif CJK SC" w:hAnsi="Noto Serif CJK SC"/>
      <w:color w:val="19177c"/>
      <w:lang w:eastAsia="zh-CN" w:val="en-US"/>
    </w:rPr>
  </w:style>
  <w:style w:customStyle="1" w:styleId="ControlFlowTok" w:type="character">
    <w:name w:val="ControlFlowTok"/>
    <w:basedOn w:val="VerbatimChar"/>
    <w:rPr>
      <w:rFonts w:ascii="Noto Serif CJK SC" w:cs="Noto Serif CJK SC" w:eastAsia="Noto Serif CJK SC" w:hAnsi="Noto Serif CJK SC"/>
      <w:b/>
      <w:color w:val="007020"/>
      <w:lang w:eastAsia="zh-CN" w:val="en-US"/>
    </w:rPr>
  </w:style>
  <w:style w:customStyle="1" w:styleId="OperatorTok" w:type="character">
    <w:name w:val="OperatorTok"/>
    <w:basedOn w:val="VerbatimChar"/>
    <w:rPr>
      <w:rFonts w:ascii="Noto Serif CJK SC" w:cs="Noto Serif CJK SC" w:eastAsia="Noto Serif CJK SC" w:hAnsi="Noto Serif CJK SC"/>
      <w:color w:val="666666"/>
      <w:lang w:eastAsia="zh-CN" w:val="en-US"/>
    </w:rPr>
  </w:style>
  <w:style w:customStyle="1" w:styleId="BuiltInTok" w:type="character">
    <w:name w:val="BuiltInTok"/>
    <w:basedOn w:val="VerbatimChar"/>
    <w:rPr>
      <w:rFonts w:ascii="Noto Serif CJK SC" w:cs="Noto Serif CJK SC" w:eastAsia="Noto Serif CJK SC" w:hAnsi="Noto Serif CJK SC"/>
      <w:color w:val="008000"/>
      <w:lang w:eastAsia="zh-CN" w:val="en-US"/>
    </w:rPr>
  </w:style>
  <w:style w:customStyle="1" w:styleId="ExtensionTok" w:type="character">
    <w:name w:val="ExtensionTok"/>
    <w:basedOn w:val="VerbatimChar"/>
    <w:rPr>
      <w:rFonts w:ascii="Noto Serif CJK SC" w:cs="Noto Serif CJK SC" w:eastAsia="Noto Serif CJK SC" w:hAnsi="Noto Serif CJK SC"/>
      <w:lang w:eastAsia="zh-CN" w:val="en-US"/>
    </w:rPr>
  </w:style>
  <w:style w:customStyle="1" w:styleId="PreprocessorTok" w:type="character">
    <w:name w:val="PreprocessorTok"/>
    <w:basedOn w:val="VerbatimChar"/>
    <w:rPr>
      <w:rFonts w:ascii="Noto Serif CJK SC" w:cs="Noto Serif CJK SC" w:eastAsia="Noto Serif CJK SC" w:hAnsi="Noto Serif CJK SC"/>
      <w:color w:val="bc7a00"/>
      <w:lang w:eastAsia="zh-CN" w:val="en-US"/>
    </w:rPr>
  </w:style>
  <w:style w:customStyle="1" w:styleId="AttributeTok" w:type="character">
    <w:name w:val="AttributeTok"/>
    <w:basedOn w:val="VerbatimChar"/>
    <w:rPr>
      <w:rFonts w:ascii="Noto Serif CJK SC" w:cs="Noto Serif CJK SC" w:eastAsia="Noto Serif CJK SC" w:hAnsi="Noto Serif CJK SC"/>
      <w:color w:val="7d9029"/>
      <w:lang w:eastAsia="zh-CN" w:val="en-US"/>
    </w:rPr>
  </w:style>
  <w:style w:customStyle="1" w:styleId="RegionMarkerTok" w:type="character">
    <w:name w:val="RegionMarkerTok"/>
    <w:basedOn w:val="VerbatimChar"/>
    <w:rPr>
      <w:rFonts w:ascii="Noto Serif CJK SC" w:cs="Noto Serif CJK SC" w:eastAsia="Noto Serif CJK SC" w:hAnsi="Noto Serif CJK SC"/>
      <w:lang w:eastAsia="zh-CN" w:val="en-US"/>
    </w:rPr>
  </w:style>
  <w:style w:customStyle="1" w:styleId="InformationTok" w:type="character">
    <w:name w:val="InformationTok"/>
    <w:basedOn w:val="VerbatimChar"/>
    <w:rPr>
      <w:rFonts w:ascii="Noto Serif CJK SC" w:cs="Noto Serif CJK SC" w:eastAsia="Noto Serif CJK SC" w:hAnsi="Noto Serif CJK SC"/>
      <w:b/>
      <w:i/>
      <w:color w:val="60a0b0"/>
      <w:lang w:eastAsia="zh-CN" w:val="en-US"/>
    </w:rPr>
  </w:style>
  <w:style w:customStyle="1" w:styleId="WarningTok" w:type="character">
    <w:name w:val="WarningTok"/>
    <w:basedOn w:val="VerbatimChar"/>
    <w:rPr>
      <w:rFonts w:ascii="Noto Serif CJK SC" w:cs="Noto Serif CJK SC" w:eastAsia="Noto Serif CJK SC" w:hAnsi="Noto Serif CJK SC"/>
      <w:b/>
      <w:i/>
      <w:color w:val="60a0b0"/>
      <w:lang w:eastAsia="zh-CN" w:val="en-US"/>
    </w:rPr>
  </w:style>
  <w:style w:customStyle="1" w:styleId="AlertTok" w:type="character">
    <w:name w:val="AlertTok"/>
    <w:basedOn w:val="VerbatimChar"/>
    <w:rPr>
      <w:rFonts w:ascii="Noto Serif CJK SC" w:cs="Noto Serif CJK SC" w:eastAsia="Noto Serif CJK SC" w:hAnsi="Noto Serif CJK SC"/>
      <w:b/>
      <w:color w:val="ff0000"/>
      <w:lang w:eastAsia="zh-CN" w:val="en-US"/>
    </w:rPr>
  </w:style>
  <w:style w:customStyle="1" w:styleId="ErrorTok" w:type="character">
    <w:name w:val="ErrorTok"/>
    <w:basedOn w:val="VerbatimChar"/>
    <w:rPr>
      <w:rFonts w:ascii="Noto Serif CJK SC" w:cs="Noto Serif CJK SC" w:eastAsia="Noto Serif CJK SC" w:hAnsi="Noto Serif CJK SC"/>
      <w:b/>
      <w:color w:val="ff0000"/>
      <w:lang w:eastAsia="zh-CN" w:val="en-US"/>
    </w:rPr>
  </w:style>
  <w:style w:customStyle="1" w:styleId="NormalTok" w:type="character">
    <w:name w:val="NormalTok"/>
    <w:basedOn w:val="VerbatimChar"/>
    <w:rPr>
      <w:rFonts w:ascii="Noto Serif CJK SC" w:cs="Noto Serif CJK SC" w:eastAsia="Noto Serif CJK SC" w:hAnsi="Noto Serif CJK SC"/>
      <w:lang w:eastAsia="zh-CN" w:val="en-US"/>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95" Target="numbering.xml" /><Relationship Type="http://schemas.openxmlformats.org/officeDocument/2006/relationships/styles" Id="rId94" Target="styles.xml" /><Relationship Type="http://schemas.openxmlformats.org/officeDocument/2006/relationships/settings" Id="rId93" Target="settings.xml" /><Relationship Type="http://schemas.openxmlformats.org/officeDocument/2006/relationships/webSettings" Id="rId92" Target="webSettings.xml" /><Relationship Type="http://schemas.openxmlformats.org/officeDocument/2006/relationships/fontTable" Id="rId91" Target="fontTable.xml" /><Relationship Type="http://schemas.openxmlformats.org/officeDocument/2006/relationships/theme" Id="rId90" Target="theme/theme1.xml" /><Relationship Type="http://schemas.openxmlformats.org/officeDocument/2006/relationships/footnotes" Id="rId89" Target="footnotes.xml" /><Relationship Type="http://schemas.openxmlformats.org/officeDocument/2006/relationships/comments" Id="rId88" Target="comments.xml" /><Relationship Type="http://schemas.openxmlformats.org/officeDocument/2006/relationships/image" Id="rId130" Target="media/rId130.png" /><Relationship Type="http://schemas.openxmlformats.org/officeDocument/2006/relationships/hyperlink" Id="rId101" Target="https://arxiv.org/abs/2607.23888" TargetMode="External" /><Relationship Type="http://schemas.openxmlformats.org/officeDocument/2006/relationships/hyperlink" Id="rId129" Target="https://doi.org/10.1145/3544548.3581407" TargetMode="External" /><Relationship Type="http://schemas.openxmlformats.org/officeDocument/2006/relationships/hyperlink" Id="rId103" Target="https://doi.org/10.1145/3805689.3806532" TargetMode="External" /><Relationship Type="http://schemas.openxmlformats.org/officeDocument/2006/relationships/hyperlink" Id="rId105" Target="https://doi.org/10.1145/3805689.3812219" TargetMode="External" /><Relationship Type="http://schemas.openxmlformats.org/officeDocument/2006/relationships/hyperlink" Id="rId199" Target="https://nvlpubs.nist.gov/nistpubs/ai/NIST.AI.100-1.pdf" TargetMode="External" /><Relationship Type="http://schemas.openxmlformats.org/officeDocument/2006/relationships/hyperlink" Id="rId128" Target="https://psas.scripts.mit.edu/home/get_file.php?name=STPA_handbook.pdf" TargetMode="External" /><Relationship Type="http://schemas.openxmlformats.org/officeDocument/2006/relationships/hyperlink" Id="rId124" Target="https://ssrn.com/abstract=7097518" TargetMode="External" /><Relationship Type="http://schemas.openxmlformats.org/officeDocument/2006/relationships/hyperlink" Id="rId194" Target="https://www.faa.gov/documentLibrary/media/Advisory_Circular/AC_00-46F.pdf" TargetMode="External" /><Relationship Type="http://schemas.openxmlformats.org/officeDocument/2006/relationships/hyperlink" Id="rId197" Target="https://www.ftc.gov/system/files/ftc_gov/pdf/AICompanionChatbot6(b)Order.pdf" TargetMode="External" /><Relationship Type="http://schemas.openxmlformats.org/officeDocument/2006/relationships/hyperlink" Id="rId163" Target="https://www.hbs.edu/ris/Publication%20Files/25-018_d256c104-e5ba-4911-b72c-874c5492166e.pdf" TargetMode="External" /></Relationships>
</file>

<file path=word/_rels/footnotes.xml.rels><?xml version="1.0" encoding="UTF-8"?><Relationships xmlns="http://schemas.openxmlformats.org/package/2006/relationships"><Relationship Type="http://schemas.openxmlformats.org/officeDocument/2006/relationships/hyperlink" Id="rId101" Target="https://arxiv.org/abs/2607.23888" TargetMode="External" /><Relationship Type="http://schemas.openxmlformats.org/officeDocument/2006/relationships/hyperlink" Id="rId129" Target="https://doi.org/10.1145/3544548.3581407" TargetMode="External" /><Relationship Type="http://schemas.openxmlformats.org/officeDocument/2006/relationships/hyperlink" Id="rId103" Target="https://doi.org/10.1145/3805689.3806532" TargetMode="External" /><Relationship Type="http://schemas.openxmlformats.org/officeDocument/2006/relationships/hyperlink" Id="rId105" Target="https://doi.org/10.1145/3805689.3812219" TargetMode="External" /><Relationship Type="http://schemas.openxmlformats.org/officeDocument/2006/relationships/hyperlink" Id="rId199" Target="https://nvlpubs.nist.gov/nistpubs/ai/NIST.AI.100-1.pdf" TargetMode="External" /><Relationship Type="http://schemas.openxmlformats.org/officeDocument/2006/relationships/hyperlink" Id="rId128" Target="https://psas.scripts.mit.edu/home/get_file.php?name=STPA_handbook.pdf" TargetMode="External" /><Relationship Type="http://schemas.openxmlformats.org/officeDocument/2006/relationships/hyperlink" Id="rId124" Target="https://ssrn.com/abstract=7097518" TargetMode="External" /><Relationship Type="http://schemas.openxmlformats.org/officeDocument/2006/relationships/hyperlink" Id="rId194" Target="https://www.faa.gov/documentLibrary/media/Advisory_Circular/AC_00-46F.pdf" TargetMode="External" /><Relationship Type="http://schemas.openxmlformats.org/officeDocument/2006/relationships/hyperlink" Id="rId197" Target="https://www.ftc.gov/system/files/ftc_gov/pdf/AICompanionChatbot6(b)Order.pdf" TargetMode="External" /><Relationship Type="http://schemas.openxmlformats.org/officeDocument/2006/relationships/hyperlink" Id="rId163" Target="https://www.hbs.edu/ris/Publication%20Files/25-018_d256c104-e5ba-4911-b72c-874c5492166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Before the Merits: A Deployment Front Door for High-Impact AI Litigation</dc:title>
  <dc:creator/>
  <cp:keywords/>
  <dcterms:created xsi:type="dcterms:W3CDTF">2026-08-29T07:36:20Z</dcterms:created>
  <dcterms:modified xsi:type="dcterms:W3CDTF">2026-08-29T07:36:20Z</dcterms:modified>
  <dc:language>zh-CN</dc:language>
</cp:coreProperties>
</file>

<file path=docProps/custom.xml><?xml version="1.0" encoding="utf-8"?>
<Properties xmlns="http://schemas.openxmlformats.org/officeDocument/2006/custom-properties" xmlns:vt="http://schemas.openxmlformats.org/officeDocument/2006/docPropsVTypes"/>
</file>