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3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body>
    <ns0:bookmarkStart ns0:id="97" ns0:name="Xee89abfa2a37bf19544e1d673d5d4ced202c13f"/>
    <ns0:p>
      <ns0:pPr>
        <ns0:pStyle ns0:val="Heading1"/>
      </ns0:pPr>
      <ns0:r>
        <ns0:t xml:space="preserve">Before the Merits: A Deployment Front Door for</ns0:t>
      </ns0:r>
      <ns0:r>
        <ns0:t xml:space="preserve"> </ns0:t>
      </ns0:r>
      <ns0:r>
        <ns0:t xml:space="preserve">High-Impact AI Litigation</ns0:t>
      </ns0:r>
    </ns0:p>
    <ns0:p>
      <ns0:pPr>
        <ns0:pStyle ns0:val="FirstParagraph"/>
      </ns0:pPr>
      <ns0:r>
        <ns0:t xml:space="preserve">Anonymous</ns0:t>
      </ns0:r>
      <ns0:r>
        <ns0:rPr>
          <ns0:rStyle ns0:val="FootnoteReference"/>
        </ns0:rPr>
        <ns0:t>*</ns0:t>
      </ns0:r>
    </ns0:p>
    <ns0:p>
      <ns0:pPr>
        <ns0:pStyle ns0:val="BodyText"/>
      </ns0:pPr>
      <ns0:r>
        <ns0:t xml:space="preserve">Submission Draft</ns0:t>
      </ns0:r>
      <ns0:bookmarkStart ns0:id="96" ns0:name="x1-2f1"/>
      <ns0:bookmarkEnd ns0:id="96"/>
    </ns0:p>
    <ns0:bookmarkEnd ns0:id="97"/>
    <ns0:bookmarkStart ns0:id="98" ns0:name="abstract"/>
    <ns0:p>
      <ns0:pPr>
        <ns0:pStyle ns0:val="Heading3"/>
      </ns0:pPr>
      <ns0:r>
        <ns0:rPr>
          <ns0:b/>
          <ns0:bCs/>
        </ns0:rPr>
        <ns0:t xml:space="preserve">Abstract</ns0:t>
      </ns0:r>
    </ns0:p>
    <ns0:p>
      <ns0:pPr>
        <ns0:pStyle ns0:val="BlockText"/>
      </ns0:pPr>
      <ns0:r>
        <ns0:t xml:space="preserve">AI litigation can stop before substantive doctrine can operate. An affected person</ns0:t>
      </ns0:r>
      <ns0:r>
        <ns0:t xml:space="preserve"> </ns0:t>
      </ns0:r>
      <ns0:r>
        <ns0:t xml:space="preserve">may observe an adverse decision or interaction while the model, version, event record,</ns0:t>
      </ns0:r>
      <ns0:r>
        <ns0:t xml:space="preserve"> </ns0:t>
      </ns0:r>
      <ns0:r>
        <ns0:t xml:space="preserve">and allocation of control remain divided among enterprises. Discovery ordinarily</ns0:t>
      </ns0:r>
      <ns0:r>
        <ns0:t xml:space="preserve"> </ns0:t>
      </ns0:r>
      <ns0:r>
        <ns0:t xml:space="preserve">presupposes an identifiable target and cannot produce a deployment record that was</ns0:t>
      </ns0:r>
      <ns0:r>
        <ns0:t xml:space="preserve"> </ns0:t>
      </ns0:r>
      <ns0:r>
        <ns0:t xml:space="preserve">never created.</ns0:t>
      </ns0:r>
    </ns0:p>
    <ns0:p>
      <ns0:pPr>
        <ns0:pStyle ns0:val="BlockText"/>
      </ns0:pPr>
      <ns0:r>
        <ns0:t xml:space="preserve">This Article identifies that pre-merits attribution gap and proposes model sectoral</ns0:t>
      </ns0:r>
      <ns0:r>
        <ns0:t xml:space="preserve"> </ns0:t>
      </ns0:r>
      <ns0:r>
        <ns0:t xml:space="preserve">legislation creating a deployment front door. For a designated high-impact deployment,</ns0:t>
      </ns0:r>
      <ns0:r>
        <ns0:t xml:space="preserve"> </ns0:t>
      </ns0:r>
      <ns0:r>
        <ns0:t xml:space="preserve">an affected person invokes Stage One by identifying an adverse event affecting an</ns0:t>
      </ns0:r>
      <ns0:r>
        <ns0:t xml:space="preserve"> </ns0:t>
      </ns0:r>
      <ns0:r>
        <ns0:t xml:space="preserve">interest protected by specified law, the covered deployment through which it occurred,</ns0:t>
      </ns0:r>
      <ns0:r>
        <ns0:t xml:space="preserve"> </ns0:t>
      </ns0:r>
      <ns0:r>
        <ns0:t xml:space="preserve">and facts connecting bounded identity and event fields to that occurrence. Stage One</ns0:t>
      </ns0:r>
      <ns0:r>
        <ns0:t xml:space="preserve"> </ns0:t>
      </ns0:r>
      <ns0:r>
        <ns0:t xml:space="preserve">never requires facts held exclusively in the deployment record. The visible operator</ns0:t>
      </ns0:r>
      <ns0:r>
        <ns0:t xml:space="preserve"> </ns0:t>
      </ns0:r>
      <ns0:r>
        <ns0:t xml:space="preserve">must identify the system, supply an event receipt and custodian map, and preserve</ns0:t>
      </ns0:r>
      <ns0:r>
        <ns0:t xml:space="preserve"> </ns0:t>
      </ns0:r>
      <ns0:r>
        <ns0:t xml:space="preserve">the record. An identified enterprise remains for Stage Two only when it held practical</ns0:t>
      </ns0:r>
      <ns0:r>
        <ns0:t xml:space="preserve"> </ns0:t>
      </ns0:r>
      <ns0:r>
        <ns0:t xml:space="preserve">authority over a risk-relevant function, the Stage One record supports that the</ns0:t>
      </ns0:r>
      <ns0:r>
        <ns0:t xml:space="preserve"> </ns0:t>
      </ns0:r>
      <ns0:r>
        <ns0:t xml:space="preserve">function formed part of the event path or governed a safeguard, and the requested</ns0:t>
      </ns0:r>
      <ns0:r>
        <ns0:t xml:space="preserve"> </ns0:t>
      </ns0:r>
      <ns0:r>
        <ns0:t xml:space="preserve">information bears non-de-minimally on an element, defense, or remedy. Production is</ns0:t>
      </ns0:r>
      <ns0:r>
        <ns0:t xml:space="preserve"> </ns0:t>
      </ns0:r>
      <ns0:r>
        <ns0:t xml:space="preserve">claim specific, proportionate, nonprivileged, and protected. A merits firewall prevents</ns0:t>
      </ns0:r>
      <ns0:r>
        <ns0:t xml:space="preserve"> </ns0:t>
      </ns0:r>
      <ns0:r>
        <ns0:t xml:space="preserve">any participation-based merits inference.</ns0:t>
      </ns0:r>
    </ns0:p>
    <ns0:p>
      <ns0:pPr>
        <ns0:pStyle ns0:val="BlockText"/>
      </ns0:pPr>
      <ns0:r>
        <ns0:t xml:space="preserve">An ex ante record duty makes the rule usable by preserving version, approval,</ns0:t>
      </ns0:r>
      <ns0:r>
        <ns0:t xml:space="preserve"> </ns0:t>
      </ns0:r>
      <ns0:r>
        <ns0:t xml:space="preserve">evaluation, escalation, intervention, and contractual-retrieval fields before suit.</ns0:t>
      </ns0:r>
      <ns0:r>
        <ns0:t xml:space="preserve"> </ns0:t>
      </ns0:r>
      <ns0:r>
        <ns0:rPr>
          <ns0:i/>
          <ns0:iCs/>
        </ns0:rPr>
        <ns0:t xml:space="preserve">Garcia</ns0:t>
      </ns0:r>
      <ns0:r>
        <ns0:rPr>
          <ns0:i/>
          <ns0:iCs/>
        </ns0:rPr>
        <ns0:t xml:space="preserve"> </ns0:t>
      </ns0:r>
      <ns0:r>
        <ns0:rPr>
          <ns0:i/>
          <ns0:iCs/>
        </ns0:rPr>
        <ns0:t xml:space="preserve">v. Character Technologies</ns0:t>
      </ns0:r>
      <ns0:r>
        <ns0:rPr>
          <ns0:i/>
          <ns0:iCs/>
        </ns0:rPr>
        <ns0:t xml:space="preserve"> </ns0:t>
      </ns0:r>
      <ns0:r>
        <ns0:t xml:space="preserve">demonstrates the missing-record problem inside a visible</ns0:t>
      </ns0:r>
      <ns0:r>
        <ns0:t xml:space="preserve"> </ns0:t>
      </ns0:r>
      <ns0:r>
        <ns0:t xml:space="preserve">consumer service;</ns0:t>
      </ns0:r>
      <ns0:r>
        <ns0:t xml:space="preserve"> </ns0:t>
      </ns0:r>
      <ns0:r>
        <ns0:rPr>
          <ns0:i/>
          <ns0:iCs/>
        </ns0:rPr>
        <ns0:t xml:space="preserve">Mobley v. Workday</ns0:t>
      </ns0:r>
      <ns0:r>
        <ns0:rPr>
          <ns0:i/>
          <ns0:iCs/>
        </ns0:rPr>
        <ns0:t xml:space="preserve"> </ns0:t>
      </ns0:r>
      <ns0:r>
        <ns0:t xml:space="preserve">demonstrates identity, custody, and control</ns0:t>
      </ns0:r>
      <ns0:r>
        <ns0:t xml:space="preserve"> </ns0:t>
      </ns0:r>
      <ns0:r>
        <ns0:t xml:space="preserve">divided across an employment stack. In both, the front door supplies the predicates</ns0:t>
      </ns0:r>
      <ns0:r>
        <ns0:t xml:space="preserve"> </ns0:t>
      </ns0:r>
      <ns0:r>
        <ns0:t xml:space="preserve">while ordinary law decides who wins.</ns0:t>
      </ns0:r>
    </ns0:p>
    <ns0:p>
      <ns0:pPr>
        <ns0:pStyle ns0:val="BlockText"/>
      </ns0:pPr>
      <ns0:r>
        <ns0:rPr>
          <ns0:b/>
          <ns0:bCs/>
        </ns0:rPr>
        <ns0:t xml:space="preserve">Keywords:</ns0:t>
      </ns0:r>
      <ns0:r>
        <ns0:rPr>
          <ns0:b/>
          <ns0:bCs/>
        </ns0:rPr>
        <ns0:t xml:space="preserve"> </ns0:t>
      </ns0:r>
      <ns0:r>
        <ns0:t xml:space="preserve">artificial intelligence litigation; deployment front door; high-impact AI;</ns0:t>
      </ns0:r>
      <ns0:r>
        <ns0:t xml:space="preserve"> </ns0:t>
      </ns0:r>
      <ns0:r>
        <ns0:t xml:space="preserve">early disclosure; deployment records; material control</ns0:t>
      </ns0:r>
    </ns0:p>
    <ns0:bookmarkEnd ns0:id="98"/>
    <ns0:p>
      <ns0:pPr>
        <ns0:pStyle ns0:val="FootnoteText"/>
        <ns0:spacing ns0:before="40" ns0:after="0"/>
        <ns0:ind ns0:right="6480"/>
        <ns0:pBdr>
          <ns0:top ns0:val="single" ns0:sz="4" ns0:space="1" ns0:color="000000"/>
        </ns0:pBdr>
      </ns0:pPr>
    </ns0:p>
    <ns0:p>
      <ns0:pPr>
        <ns0:pStyle ns0:val="FootnoteText"/>
        <ns0:spacing ns0:before="0" ns0:after="80" ns0:line="200" ns0:lineRule="auto"/>
      </ns0:pPr>
      <ns0:r>
        <ns0:rPr>
          <ns0:sz ns0:val="18"/>
          <ns0:szCs ns0:val="18"/>
        </ns0:rPr>
        <ns0:t xml:space="preserve">* </ns0:t>
      </ns0:r>
      <ns0:r>
        <ns0:rPr>
          <ns0:sz ns0:val="18"/>
          <ns0:szCs ns0:val="18"/>
        </ns0:rPr>
        <ns0:t>Google Gemini 3.1 Pro was used for LaTeX formatting, Microsoft Word layout, figure preparation and prose translation. The authors remain responsible for all claims, quotations, and citations.</ns0:t>
      </ns0:r>
    </ns0:p>
    <ns0:bookmarkStart ns0:id="100" ns0:name="contents"/>
    <ns0:p>
      <ns0:pPr>
        <ns0:pStyle ns0:val="Heading3"/>
      </ns0:pPr>
      <ns0:bookmarkStart ns0:id="99" ns0:name="x1-1000"/>
      <ns0:bookmarkEnd ns0:id="99"/>
      <ns0:r>
        <ns0:t xml:space="preserve">Contents</ns0:t>
      </ns0:r>
    </ns0:p>
    <ns0:p>
      <ns0:pPr>
        <ns0:pStyle ns0:val="FirstParagraph"/>
      </ns0:pPr>
      <ns0:hyperlink ns0:anchor="introduction1">
        <ns0:r>
          <ns0:rPr>
            <ns0:rStyle ns0:val="Hyperlink"/>
          </ns0:rPr>
          <ns0:t xml:space="preserve">Introduction</ns0:t>
        </ns0:r>
      </ns0:hyperlink>
      <ns0:r>
        <ns0:br/>
      </ns0:r>
      <ns0:r>
        <ns0:t xml:space="preserve">I</ns0:t>
      </ns0:r>
      <ns0:r>
        <ns0:t xml:space="preserve"> </ns0:t>
      </ns0:r>
      <ns0:hyperlink ns0:anchor="the-premerits-attribution-gap">
        <ns0:r>
          <ns0:rPr>
            <ns0:rStyle ns0:val="Hyperlink"/>
          </ns0:rPr>
          <ns0:t xml:space="preserve">The Pre-Merits Attribution Gap</ns0:t>
        </ns0:r>
      </ns0:hyperlink>
      <ns0:r>
        <ns0:br/>
      </ns0:r>
      <ns0:r>
        <ns0:t xml:space="preserve">A</ns0:t>
      </ns0:r>
      <ns0:r>
        <ns0:t xml:space="preserve"> </ns0:t>
      </ns0:r>
      <ns0:hyperlink ns0:anchor="X373513752e49abb5fbcd58354d54f743b4b83d8">
        <ns0:r>
          <ns0:rPr>
            <ns0:rStyle ns0:val="Hyperlink"/>
          </ns0:rPr>
          <ns0:t xml:space="preserve">The Output Does Not Reveal the Deployment</ns0:t>
        </ns0:r>
      </ns0:hyperlink>
      <ns0:r>
        <ns0:br/>
      </ns0:r>
      <ns0:r>
        <ns0:t xml:space="preserve">B</ns0:t>
      </ns0:r>
      <ns0:r>
        <ns0:t xml:space="preserve"> </ns0:t>
      </ns0:r>
      <ns0:hyperlink ns0:anchor="two-coordinates-define-the-gap">
        <ns0:r>
          <ns0:rPr>
            <ns0:rStyle ns0:val="Hyperlink"/>
          </ns0:rPr>
          <ns0:t xml:space="preserve">Two Coordinates Define the Gap</ns0:t>
        </ns0:r>
      </ns0:hyperlink>
      <ns0:r>
        <ns0:br/>
      </ns0:r>
      <ns0:r>
        <ns0:t xml:space="preserve">C</ns0:t>
      </ns0:r>
      <ns0:r>
        <ns0:t xml:space="preserve"> </ns0:t>
      </ns0:r>
      <ns0:hyperlink ns0:anchor="X0d45b1bf289ec41abdcdcdd96a97e2c1be6f103">
        <ns0:r>
          <ns0:rPr>
            <ns0:rStyle ns0:val="Hyperlink"/>
          </ns0:rPr>
          <ns0:t xml:space="preserve">Ordinary Procedure Opens After Four Predicates</ns0:t>
        </ns0:r>
      </ns0:hyperlink>
      <ns0:r>
        <ns0:br/>
      </ns0:r>
      <ns0:r>
        <ns0:t xml:space="preserve">D</ns0:t>
      </ns0:r>
      <ns0:r>
        <ns0:t xml:space="preserve"> </ns0:t>
      </ns0:r>
      <ns0:hyperlink ns0:anchor="Xab8175e220738ba490249d3c1f68399b6f12eb5">
        <ns0:r>
          <ns0:rPr>
            <ns0:rStyle ns0:val="Hyperlink"/>
          </ns0:rPr>
          <ns0:t xml:space="preserve">Existing Evidence Rights Need a Deployment Front End</ns0:t>
        </ns0:r>
      </ns0:hyperlink>
      <ns0:r>
        <ns0:br/>
      </ns0:r>
      <ns0:r>
        <ns0:t xml:space="preserve">E</ns0:t>
      </ns0:r>
      <ns0:r>
        <ns0:t xml:space="preserve"> </ns0:t>
      </ns0:r>
      <ns0:hyperlink ns0:anchor="the-cascade-specifies-the-missing-record">
        <ns0:r>
          <ns0:rPr>
            <ns0:rStyle ns0:val="Hyperlink"/>
          </ns0:rPr>
          <ns0:t xml:space="preserve">The Cascade Specifies the Missing Record</ns0:t>
        </ns0:r>
      </ns0:hyperlink>
      <ns0:r>
        <ns0:br/>
      </ns0:r>
      <ns0:r>
        <ns0:t xml:space="preserve">II</ns0:t>
      </ns0:r>
      <ns0:r>
        <ns0:t xml:space="preserve"> </ns0:t>
      </ns0:r>
      <ns0:hyperlink ns0:anchor="the-deployment-frontdoor-rule">
        <ns0:r>
          <ns0:rPr>
            <ns0:rStyle ns0:val="Hyperlink"/>
          </ns0:rPr>
          <ns0:t xml:space="preserve">The Deployment Front-Door Rule</ns0:t>
        </ns0:r>
      </ns0:hyperlink>
      <ns0:r>
        <ns0:br/>
      </ns0:r>
      <ns0:r>
        <ns0:t xml:space="preserve">A</ns0:t>
      </ns0:r>
      <ns0:r>
        <ns0:t xml:space="preserve"> </ns0:t>
      </ns0:r>
      <ns0:hyperlink ns0:anchor="sectoral-designation-defines-the-field">
        <ns0:r>
          <ns0:rPr>
            <ns0:rStyle ns0:val="Hyperlink"/>
          </ns0:rPr>
          <ns0:t xml:space="preserve">Sectoral Designation Defines the Field</ns0:t>
        </ns0:r>
      </ns0:hyperlink>
      <ns0:r>
        <ns0:br/>
      </ns0:r>
      <ns0:r>
        <ns0:t xml:space="preserve">B</ns0:t>
      </ns0:r>
      <ns0:r>
        <ns0:t xml:space="preserve"> </ns0:t>
      </ns0:r>
      <ns0:hyperlink ns0:anchor="the-visible-operator-answers-first">
        <ns0:r>
          <ns0:rPr>
            <ns0:rStyle ns0:val="Hyperlink"/>
          </ns0:rPr>
          <ns0:t xml:space="preserve">The Visible Operator Answers First</ns0:t>
        </ns0:r>
      </ns0:hyperlink>
      <ns0:r>
        <ns0:br/>
      </ns0:r>
      <ns0:r>
        <ns0:t xml:space="preserve">C</ns0:t>
      </ns0:r>
      <ns0:r>
        <ns0:t xml:space="preserve"> </ns0:t>
      </ns0:r>
      <ns0:hyperlink ns0:anchor="X9e7a45e9943e08544407f510f9a942aad7a0627">
        <ns0:r>
          <ns0:rPr>
            <ns0:rStyle ns0:val="Hyperlink"/>
          </ns0:rPr>
          <ns0:t xml:space="preserve">Material Control Requires Risk, Authority, and Information</ns0:t>
        </ns0:r>
        <ns0:r>
          <ns0:rPr>
            <ns0:rStyle ns0:val="Hyperlink"/>
          </ns0:rPr>
          <ns0:t xml:space="preserve"> </ns0:t>
        </ns0:r>
        <ns0:r>
          <ns0:rPr>
            <ns0:rStyle ns0:val="Hyperlink"/>
          </ns0:rPr>
          <ns0:t xml:space="preserve">Materiality</ns0:t>
        </ns0:r>
      </ns0:hyperlink>
      <ns0:r>
        <ns0:br/>
      </ns0:r>
      <ns0:r>
        <ns0:t xml:space="preserve">D</ns0:t>
      </ns0:r>
      <ns0:r>
        <ns0:t xml:space="preserve"> </ns0:t>
      </ns0:r>
      <ns0:hyperlink ns0:anchor="X1207eb8943d5e4b552dc061fe7ef63b2b80a36e">
        <ns0:r>
          <ns0:rPr>
            <ns0:rStyle ns0:val="Hyperlink"/>
          </ns0:rPr>
          <ns0:t xml:space="preserve">Creation, Preservation, and Production Are Separate Duties</ns0:t>
        </ns0:r>
      </ns0:hyperlink>
      <ns0:r>
        <ns0:br/>
      </ns0:r>
      <ns0:r>
        <ns0:t xml:space="preserve">E</ns0:t>
      </ns0:r>
      <ns0:r>
        <ns0:t xml:space="preserve"> </ns0:t>
      </ns0:r>
      <ns0:hyperlink ns0:anchor="protection-remedies-and-safe-exit">
        <ns0:r>
          <ns0:rPr>
            <ns0:rStyle ns0:val="Hyperlink"/>
          </ns0:rPr>
          <ns0:t xml:space="preserve">Protection, Remedies, and Safe Exit</ns0:t>
        </ns0:r>
      </ns0:hyperlink>
      <ns0:r>
        <ns0:br/>
      </ns0:r>
      <ns0:r>
        <ns0:t xml:space="preserve">F</ns0:t>
      </ns0:r>
      <ns0:r>
        <ns0:t xml:space="preserve"> </ns0:t>
      </ns0:r>
      <ns0:hyperlink ns0:anchor="model-statutory-text">
        <ns0:r>
          <ns0:rPr>
            <ns0:rStyle ns0:val="Hyperlink"/>
          </ns0:rPr>
          <ns0:t xml:space="preserve">Model Statutory Text</ns0:t>
        </ns0:r>
      </ns0:hyperlink>
      <ns0:r>
        <ns0:br/>
      </ns0:r>
      <ns0:r>
        <ns0:t xml:space="preserve">G</ns0:t>
      </ns0:r>
      <ns0:r>
        <ns0:t xml:space="preserve"> </ns0:t>
      </ns0:r>
      <ns0:hyperlink ns0:anchor="Xe7d7c9ab2869bb790fe3803bc5183db090504b6">
        <ns0:r>
          <ns0:rPr>
            <ns0:rStyle ns0:val="Hyperlink"/>
          </ns0:rPr>
          <ns0:t xml:space="preserve">Why the First Answer Is a Substantive Access Right</ns0:t>
        </ns0:r>
        <ns0:r>
          <ns0:rPr>
            <ns0:rStyle ns0:val="Hyperlink"/>
          </ns0:rPr>
          <ns0:t xml:space="preserve"> </ns0:t>
        </ns0:r>
        <ns0:r>
          <ns0:rPr>
            <ns0:rStyle ns0:val="Hyperlink"/>
          </ns0:rPr>
          <ns0:t xml:space="preserve">Rather Than Accelerated Discovery</ns0:t>
        </ns0:r>
      </ns0:hyperlink>
      <ns0:r>
        <ns0:br/>
      </ns0:r>
      <ns0:r>
        <ns0:t xml:space="preserve">III</ns0:t>
      </ns0:r>
      <ns0:r>
        <ns0:t xml:space="preserve"> </ns0:t>
      </ns0:r>
      <ns0:hyperlink ns0:anchor="the-rule-in-operation">
        <ns0:r>
          <ns0:rPr>
            <ns0:rStyle ns0:val="Hyperlink"/>
          </ns0:rPr>
          <ns0:t xml:space="preserve">The Rule in Operation</ns0:t>
        </ns0:r>
      </ns0:hyperlink>
      <ns0:r>
        <ns0:br/>
      </ns0:r>
      <ns0:r>
        <ns0:t xml:space="preserve">A</ns0:t>
      </ns0:r>
      <ns0:r>
        <ns0:t xml:space="preserve"> </ns0:t>
      </ns0:r>
      <ns0:hyperlink ns0:anchor="an-integrated-deployment-garcia">
        <ns0:r>
          <ns0:rPr>
            <ns0:rStyle ns0:val="Hyperlink"/>
          </ns0:rPr>
          <ns0:t xml:space="preserve">An Integrated Deployment:</ns0:t>
        </ns0:r>
        <ns0:r>
          <ns0:rPr>
            <ns0:rStyle ns0:val="Hyperlink"/>
          </ns0:rPr>
          <ns0:t xml:space="preserve"> </ns0:t>
        </ns0:r>
        <ns0:r>
          <ns0:rPr>
            <ns0:rStyle ns0:val="Hyperlink"/>
            <ns0:i/>
            <ns0:iCs/>
          </ns0:rPr>
          <ns0:t xml:space="preserve">Garcia</ns0:t>
        </ns0:r>
      </ns0:hyperlink>
      <ns0:r>
        <ns0:br/>
      </ns0:r>
      <ns0:r>
        <ns0:t xml:space="preserve">B</ns0:t>
      </ns0:r>
      <ns0:r>
        <ns0:t xml:space="preserve"> </ns0:t>
      </ns0:r>
      <ns0:hyperlink ns0:anchor="X523887ecf0e5c5a8ca26ad4aca0e46251deff1b">
        <ns0:r>
          <ns0:rPr>
            <ns0:rStyle ns0:val="Hyperlink"/>
          </ns0:rPr>
          <ns0:t xml:space="preserve">A Divided Deployment: The Vendor Hosts the Data; the</ns0:t>
        </ns0:r>
        <ns0:r>
          <ns0:rPr>
            <ns0:rStyle ns0:val="Hyperlink"/>
          </ns0:rPr>
          <ns0:t xml:space="preserve"> </ns0:t>
        </ns0:r>
        <ns0:r>
          <ns0:rPr>
            <ns0:rStyle ns0:val="Hyperlink"/>
          </ns0:rPr>
          <ns0:t xml:space="preserve">Employer Controls It</ns0:t>
        </ns0:r>
      </ns0:hyperlink>
      <ns0:r>
        <ns0:br/>
      </ns0:r>
      <ns0:r>
        <ns0:t xml:space="preserve">IV</ns0:t>
      </ns0:r>
      <ns0:r>
        <ns0:t xml:space="preserve"> </ns0:t>
      </ns0:r>
      <ns0:hyperlink ns0:anchor="the-record-infrastructure">
        <ns0:r>
          <ns0:rPr>
            <ns0:rStyle ns0:val="Hyperlink"/>
          </ns0:rPr>
          <ns0:t xml:space="preserve">The Record Infrastructure</ns0:t>
        </ns0:r>
      </ns0:hyperlink>
      <ns0:r>
        <ns0:br/>
      </ns0:r>
      <ns0:r>
        <ns0:t xml:space="preserve">A</ns0:t>
      </ns0:r>
      <ns0:r>
        <ns0:t xml:space="preserve"> </ns0:t>
      </ns0:r>
      <ns0:hyperlink ns0:anchor="X96e6df3ce2b0fe9ae370cd78843786deb0393c7">
        <ns0:r>
          <ns0:rPr>
            <ns0:rStyle ns0:val="Hyperlink"/>
          </ns0:rPr>
          <ns0:t xml:space="preserve">The Charter Is the Deployment Record’s Control Sheet</ns0:t>
        </ns0:r>
      </ns0:hyperlink>
      <ns0:r>
        <ns0:br/>
      </ns0:r>
      <ns0:r>
        <ns0:t xml:space="preserve">B</ns0:t>
      </ns0:r>
      <ns0:r>
        <ns0:t xml:space="preserve"> </ns0:t>
      </ns0:r>
      <ns0:hyperlink ns0:anchor="the-record-has-a-standard-interface">
        <ns0:r>
          <ns0:rPr>
            <ns0:rStyle ns0:val="Hyperlink"/>
          </ns0:rPr>
          <ns0:t xml:space="preserve">The Record Has a Standard Interface</ns0:t>
        </ns0:r>
      </ns0:hyperlink>
      <ns0:r>
        <ns0:br/>
      </ns0:r>
      <ns0:r>
        <ns0:t xml:space="preserve">C</ns0:t>
      </ns0:r>
      <ns0:r>
        <ns0:t xml:space="preserve"> </ns0:t>
      </ns0:r>
      <ns0:hyperlink ns0:anchor="X20f93bd622b219086ee0900f04dbdb471b336f6">
        <ns0:r>
          <ns0:rPr>
            <ns0:rStyle ns0:val="Hyperlink"/>
          </ns0:rPr>
          <ns0:t xml:space="preserve">Identity, Feedback, and Event Records Have Different Clocks</ns0:t>
        </ns0:r>
      </ns0:hyperlink>
      <ns0:r>
        <ns0:br/>
      </ns0:r>
      <ns0:r>
        <ns0:t xml:space="preserve">D</ns0:t>
      </ns0:r>
      <ns0:r>
        <ns0:t xml:space="preserve"> </ns0:t>
      </ns0:r>
      <ns0:hyperlink ns0:anchor="X3bf8f79bbc4024447d2fb1025eff4c0b5e2ceca">
        <ns0:r>
          <ns0:rPr>
            <ns0:rStyle ns0:val="Hyperlink"/>
          </ns0:rPr>
          <ns0:t xml:space="preserve">Existing Regimes Demonstrate Administrability</ns0:t>
        </ns0:r>
      </ns0:hyperlink>
      <ns0:r>
        <ns0:br/>
      </ns0:r>
      <ns0:r>
        <ns0:t xml:space="preserve">E</ns0:t>
      </ns0:r>
      <ns0:r>
        <ns0:t xml:space="preserve"> </ns0:t>
      </ns0:r>
      <ns0:hyperlink ns0:anchor="X16ad30c4d706d066ca5ea4f581954ce6b0ad1f3">
        <ns0:r>
          <ns0:rPr>
            <ns0:rStyle ns0:val="Hyperlink"/>
          </ns0:rPr>
          <ns0:t xml:space="preserve">Recordkeeping Risks Require Minimization by Design</ns0:t>
        </ns0:r>
      </ns0:hyperlink>
      <ns0:r>
        <ns0:br/>
      </ns0:r>
      <ns0:r>
        <ns0:t xml:space="preserve">F</ns0:t>
      </ns0:r>
      <ns0:r>
        <ns0:t xml:space="preserve"> </ns0:t>
      </ns0:r>
      <ns0:hyperlink ns0:anchor="Xecd9a04b62efd8f961ae391a9a4ac0f1d5ab6ef">
        <ns0:r>
          <ns0:rPr>
            <ns0:rStyle ns0:val="Hyperlink"/>
          </ns0:rPr>
          <ns0:t xml:space="preserve">Accurate Records Require Protected Escalation</ns0:t>
        </ns0:r>
      </ns0:hyperlink>
      <ns0:r>
        <ns0:br/>
      </ns0:r>
      <ns0:r>
        <ns0:t xml:space="preserve">G</ns0:t>
      </ns0:r>
      <ns0:r>
        <ns0:t xml:space="preserve"> </ns0:t>
      </ns0:r>
      <ns0:hyperlink ns0:anchor="the-record-is-also-a-defense-asset">
        <ns0:r>
          <ns0:rPr>
            <ns0:rStyle ns0:val="Hyperlink"/>
          </ns0:rPr>
          <ns0:t xml:space="preserve">The Record Is Also a Defense Asset</ns0:t>
        </ns0:r>
      </ns0:hyperlink>
      <ns0:r>
        <ns0:br/>
      </ns0:r>
      <ns0:r>
        <ns0:t xml:space="preserve">V</ns0:t>
      </ns0:r>
      <ns0:r>
        <ns0:t xml:space="preserve"> </ns0:t>
      </ns0:r>
      <ns0:hyperlink ns0:anchor="X507690928aa67b85f2b8ff948030b87102a043b">
        <ns0:r>
          <ns0:rPr>
            <ns0:rStyle ns0:val="Hyperlink"/>
          </ns0:rPr>
          <ns0:t xml:space="preserve">The Merits Firewall and Administrable Boundaries</ns0:t>
        </ns0:r>
      </ns0:hyperlink>
      <ns0:r>
        <ns0:br/>
      </ns0:r>
      <ns0:r>
        <ns0:t xml:space="preserve">A</ns0:t>
      </ns0:r>
      <ns0:r>
        <ns0:t xml:space="preserve"> </ns0:t>
      </ns0:r>
      <ns0:hyperlink ns0:anchor="existing-legal-interests-define-the-gate">
        <ns0:r>
          <ns0:rPr>
            <ns0:rStyle ns0:val="Hyperlink"/>
          </ns0:rPr>
          <ns0:t xml:space="preserve">Existing Legal Interests Define the Gate</ns0:t>
        </ns0:r>
      </ns0:hyperlink>
      <ns0:r>
        <ns0:br/>
      </ns0:r>
      <ns0:r>
        <ns0:t xml:space="preserve">B</ns0:t>
      </ns0:r>
      <ns0:r>
        <ns0:t xml:space="preserve"> </ns0:t>
      </ns0:r>
      <ns0:hyperlink ns0:anchor="X64f128467567ab17075eb48d3ab4c084add7f59">
        <ns0:r>
          <ns0:rPr>
            <ns0:rStyle ns0:val="Hyperlink"/>
          </ns0:rPr>
          <ns0:t xml:space="preserve">Constitutional, Trade-Secret, and Privacy Protections Shape Access</ns0:t>
        </ns0:r>
      </ns0:hyperlink>
      <ns0:r>
        <ns0:br/>
      </ns0:r>
      <ns0:r>
        <ns0:t xml:space="preserve">C</ns0:t>
      </ns0:r>
      <ns0:r>
        <ns0:t xml:space="preserve"> </ns0:t>
      </ns0:r>
      <ns0:hyperlink ns0:anchor="Xdc02b2c9f8ecb38a0d74a9a8d9de321f0e9eb2a">
        <ns0:r>
          <ns0:rPr>
            <ns0:rStyle ns0:val="Hyperlink"/>
          </ns0:rPr>
          <ns0:t xml:space="preserve">Arbitration, Territorial Limits, and Federal Preemption</ns0:t>
        </ns0:r>
        <ns0:r>
          <ns0:rPr>
            <ns0:rStyle ns0:val="Hyperlink"/>
          </ns0:rPr>
          <ns0:t xml:space="preserve"> </ns0:t>
        </ns0:r>
        <ns0:r>
          <ns0:rPr>
            <ns0:rStyle ns0:val="Hyperlink"/>
          </ns0:rPr>
          <ns0:t xml:space="preserve">Govern the Forum</ns0:t>
        </ns0:r>
      </ns0:hyperlink>
      <ns0:r>
        <ns0:br/>
      </ns0:r>
      <ns0:r>
        <ns0:t xml:space="preserve">D</ns0:t>
      </ns0:r>
      <ns0:r>
        <ns0:t xml:space="preserve"> </ns0:t>
      </ns0:r>
      <ns0:hyperlink ns0:anchor="Xcb4b30a26b8c574b82ee1211e6956218b6054e7">
        <ns0:r>
          <ns0:rPr>
            <ns0:rStyle ns0:val="Hyperlink"/>
          </ns0:rPr>
          <ns0:t xml:space="preserve">Classification Neutrality Preserves the Merits</ns0:t>
        </ns0:r>
      </ns0:hyperlink>
      <ns0:r>
        <ns0:br/>
      </ns0:r>
      <ns0:hyperlink ns0:anchor="conclusion1">
        <ns0:r>
          <ns0:rPr>
            <ns0:rStyle ns0:val="Hyperlink"/>
          </ns0:rPr>
          <ns0:t xml:space="preserve">Conclusion</ns0:t>
        </ns0:r>
      </ns0:hyperlink>
    </ns0:p>
    <ns0:bookmarkEnd ns0:id="100"/>
    <ns0:bookmarkStart ns0:id="126" ns0:name="introduction"/>
    <ns0:p>
      <ns0:pPr>
        <ns0:pStyle ns0:val="Heading3"/>
      </ns0:pPr>
      <ns0:bookmarkStart ns0:id="101" ns0:name="x1-2000"/>
      <ns0:bookmarkEnd ns0:id="101"/>
      <ns0:r>
        <ns0:t xml:space="preserve">Introduction</ns0:t>
      </ns0:r>
    </ns0:p>
    <ns0:p>
      <ns0:pPr>
        <ns0:pStyle ns0:val="FirstParagraph"/>
      </ns0:pPr>
      <ns0:bookmarkStart ns0:id="102" ns0:name="Q1-1-3"/>
      <ns0:bookmarkEnd ns0:id="102"/>
      <ns0:r>
        <ns0:t xml:space="preserve"> </ns0:t>
      </ns0:r>
      <ns0:bookmarkStart ns0:id="103" ns0:name="x1-2000doc"/>
      <ns0:bookmarkEnd ns0:id="103"/>
    </ns0:p>
    <ns0:p>
      <ns0:pPr>
        <ns0:pStyle ns0:val="BodyText"/>
      </ns0:pPr>
      <ns0:r>
        <ns0:t xml:space="preserve">Fourteen-year-old Sewell Setzer III did not encounter a foundation model in a laboratory. He</ns0:t>
      </ns0:r>
      <ns0:r>
        <ns0:t xml:space="preserve"> </ns0:t>
      </ns0:r>
      <ns0:r>
        <ns0:t xml:space="preserve">encountered a deployed relationship. In</ns0:t>
      </ns0:r>
      <ns0:r>
        <ns0:t xml:space="preserve"> </ns0:t>
      </ns0:r>
      <ns0:r>
        <ns0:rPr>
          <ns0:i/>
          <ns0:iCs/>
        </ns0:rPr>
        <ns0:t xml:space="preserve">Garcia v. Character Technologies, Inc.</ns0:t>
      </ns0:r>
      <ns0:r>
        <ns0:t xml:space="preserve">, his mother’s</ns0:t>
      </ns0:r>
      <ns0:r>
        <ns0:t xml:space="preserve"> </ns0:t>
      </ns0:r>
      <ns0:r>
        <ns0:t xml:space="preserve">complaint alleged that Character.AI combined persistent personas, memory, access rules, warnings,</ns0:t>
      </ns0:r>
      <ns0:r>
        <ns0:t xml:space="preserve"> </ns0:t>
      </ns0:r>
      <ns0:r>
        <ns0:t xml:space="preserve">engagement design, and safety controls in a consumer service available to minors. It alleged that</ns0:t>
      </ns0:r>
      <ns0:r>
        <ns0:t xml:space="preserve"> </ns0:t>
      </ns0:r>
      <ns0:r>
        <ns0:t xml:space="preserve">Character Technologies’ founders and Google made different contributions of personnel,</ns0:t>
      </ns0:r>
      <ns0:r>
        <ns0:t xml:space="preserve"> </ns0:t>
      </ns0:r>
      <ns0:r>
        <ns0:t xml:space="preserve">technology, knowledge, and resources and that, after months of interaction with a character</ns0:t>
      </ns0:r>
      <ns0:r>
        <ns0:t xml:space="preserve"> </ns0:t>
      </ns0:r>
      <ns0:r>
        <ns0:t xml:space="preserve">modeled on a fictional television figure, Sewell died by suicide. His mother brought</ns0:t>
      </ns0:r>
      <ns0:r>
        <ns0:t xml:space="preserve"> </ns0:t>
      </ns0:r>
      <ns0:r>
        <ns0:t xml:space="preserve">wrongful-death, negligence, product-defect, failure-to-warn, deceptive-practice, and related</ns0:t>
      </ns0:r>
      <ns0:r>
        <ns0:t xml:space="preserve"> </ns0:t>
      </ns0:r>
      <ns0:r>
        <ns0:t xml:space="preserve">claims. At the pleading stage, the district court treated the application as plausibly</ns0:t>
      </ns0:r>
      <ns0:r>
        <ns0:t xml:space="preserve"> </ns0:t>
      </ns0:r>
      <ns0:r>
        <ns0:t xml:space="preserve">alleged to be a product and declined, on that record, to classify the generated output as</ns0:t>
      </ns0:r>
      <ns0:r>
        <ns0:t xml:space="preserve"> </ns0:t>
      </ns0:r>
      <ns0:r>
        <ns0:t xml:space="preserve">protected speech. The action later settled without a finding of defect, causation, or</ns0:t>
      </ns0:r>
      <ns0:r>
        <ns0:t xml:space="preserve"> </ns0:t>
      </ns0:r>
      <ns0:r>
        <ns0:t xml:space="preserve">liability.</ns0:t>
      </ns0:r>
      <ns0:r>
        <ns0:rPr>
          <ns0:rStyle ns0:val="FootnoteReference"/>
        </ns0:rPr>
        <ns0:footnoteReference ns0:id="104"/>
      </ns0:r>
      <ns0:bookmarkStart ns0:id="110" ns0:name="x1-2001f1"/>
      <ns0:bookmarkEnd ns0:id="110"/>
    </ns0:p>
    <ns0:p>
      <ns0:pPr>
        <ns0:pStyle ns0:val="BodyText"/>
      </ns0:pPr>
      <ns0:r>
        <ns0:t xml:space="preserve">The case exposes a problem analytically independent of the ultimate merits result. The user</ns0:t>
      </ns0:r>
      <ns0:r>
        <ns0:t xml:space="preserve"> </ns0:t>
      </ns0:r>
      <ns0:r>
        <ns0:t xml:space="preserve">sees the interface and the output. The facts ordinary law needs lie behind both: which model and</ns0:t>
      </ns0:r>
      <ns0:r>
        <ns0:t xml:space="preserve"> </ns0:t>
      </ns0:r>
      <ns0:r>
        <ns0:t xml:space="preserve">application versions ran; who selected the relational objective, system instructions, memory, age</ns0:t>
      </ns0:r>
      <ns0:r>
        <ns0:t xml:space="preserve"> </ns0:t>
      </ns0:r>
      <ns0:r>
        <ns0:t xml:space="preserve">gate, crisis response, and engagement metric; what evaluations, complaints, and incident signals</ns0:t>
      </ns0:r>
      <ns0:r>
        <ns0:t xml:space="preserve"> </ns0:t>
      </ns0:r>
      <ns0:r>
        <ns0:t xml:space="preserve">arrived; who could update, restrict, roll back, or stop the deployment; and which enterprise</ns0:t>
      </ns0:r>
      <ns0:r>
        <ns0:t xml:space="preserve"> </ns0:t>
      </ns0:r>
      <ns0:r>
        <ns0:t xml:space="preserve">retained each record. In a direct-to-consumer service, the operating company may be obvious while</ns0:t>
      </ns0:r>
      <ns0:r>
        <ns0:t xml:space="preserve"> </ns0:t>
      </ns0:r>
      <ns0:r>
        <ns0:t xml:space="preserve">its deployment record remains inaccessible. In a divided system, the visible hospital, employer,</ns0:t>
      </ns0:r>
      <ns0:r>
        <ns0:t xml:space="preserve"> </ns0:t>
      </ns0:r>
      <ns0:r>
        <ns0:t xml:space="preserve">agency, or application can depend on a model vendor, scoring service, infrastructure provider, and</ns0:t>
      </ns0:r>
      <ns0:r>
        <ns0:t xml:space="preserve"> </ns0:t>
      </ns0:r>
      <ns0:r>
        <ns0:t xml:space="preserve">systems integrator that retain different controls. The claimant needs the configuration and</ns0:t>
      </ns0:r>
      <ns0:r>
        <ns0:t xml:space="preserve"> </ns0:t>
      </ns0:r>
      <ns0:r>
        <ns0:t xml:space="preserve">control record to test a recognized claim, yet often must identify the record holder before</ns0:t>
      </ns0:r>
      <ns0:r>
        <ns0:t xml:space="preserve"> </ns0:t>
      </ns0:r>
      <ns0:r>
        <ns0:t xml:space="preserve">obtaining that record. The merits standard exists; access to the facts that feed it does</ns0:t>
      </ns0:r>
      <ns0:r>
        <ns0:t xml:space="preserve"> </ns0:t>
      </ns0:r>
      <ns0:r>
        <ns0:t xml:space="preserve">not.</ns0:t>
      </ns0:r>
    </ns0:p>
    <ns0:p>
      <ns0:pPr>
        <ns0:pStyle ns0:val="BodyText"/>
      </ns0:pPr>
      <ns0:r>
        <ns0:t xml:space="preserve">This Article calls that sequence the</ns0:t>
      </ns0:r>
      <ns0:r>
        <ns0:t xml:space="preserve"> </ns0:t>
      </ns0:r>
      <ns0:r>
        <ns0:rPr>
          <ns0:i/>
          <ns0:iCs/>
        </ns0:rPr>
        <ns0:t xml:space="preserve">pre-merits attribution gap</ns0:t>
      </ns0:r>
      <ns0:r>
        <ns0:t xml:space="preserve">. It comprises two related</ns0:t>
      </ns0:r>
      <ns0:r>
        <ns0:t xml:space="preserve"> </ns0:t>
      </ns0:r>
      <ns0:r>
        <ns0:t xml:space="preserve">failures. The first is an</ns0:t>
      </ns0:r>
      <ns0:r>
        <ns0:t xml:space="preserve"> </ns0:t>
      </ns0:r>
      <ns0:r>
        <ns0:rPr>
          <ns0:i/>
          <ns0:iCs/>
        </ns0:rPr>
        <ns0:t xml:space="preserve">actor-identification failure</ns0:t>
      </ns0:r>
      <ns0:r>
        <ns0:t xml:space="preserve">: an affected person cannot tell which enterprise</ns0:t>
      </ns0:r>
      <ns0:r>
        <ns0:t xml:space="preserve"> </ns0:t>
      </ns0:r>
      <ns0:r>
        <ns0:t xml:space="preserve">selected or retained a control relevant to the asserted risk. The second is a</ns0:t>
      </ns0:r>
      <ns0:r>
        <ns0:t xml:space="preserve"> </ns0:t>
      </ns0:r>
      <ns0:r>
        <ns0:rPr>
          <ns0:i/>
          <ns0:iCs/>
        </ns0:rPr>
        <ns0:t xml:space="preserve">deployment-record</ns0:t>
      </ns0:r>
      <ns0:r>
        <ns0:rPr>
          <ns0:i/>
          <ns0:iCs/>
        </ns0:rPr>
        <ns0:t xml:space="preserve"> </ns0:t>
      </ns0:r>
      <ns0:r>
        <ns0:rPr>
          <ns0:i/>
          <ns0:iCs/>
        </ns0:rPr>
        <ns0:t xml:space="preserve">failure</ns0:t>
      </ns0:r>
      <ns0:r>
        <ns0:t xml:space="preserve">: even when the operator’s name is visible, the versions, configuration, evaluations, warnings,</ns0:t>
      </ns0:r>
      <ns0:r>
        <ns0:t xml:space="preserve"> </ns0:t>
      </ns0:r>
      <ns0:r>
        <ns0:t xml:space="preserve">incidents, and intervention authority needed to test its conduct remain internal or were never</ns0:t>
      </ns0:r>
      <ns0:r>
        <ns0:t xml:space="preserve"> </ns0:t>
      </ns0:r>
      <ns0:r>
        <ns0:t xml:space="preserve">recorded. The first failure is most acute in divided deployments. The second can determine a case</ns0:t>
      </ns0:r>
      <ns0:r>
        <ns0:t xml:space="preserve"> </ns0:t>
      </ns0:r>
      <ns0:r>
        <ns0:t xml:space="preserve">in any deployment.</ns0:t>
      </ns0:r>
    </ns0:p>
    <ns0:p>
      <ns0:pPr>
        <ns0:pStyle ns0:val="BodyText"/>
      </ns0:pPr>
      <ns0:r>
        <ns0:t xml:space="preserve">AI-liability scholarship disagrees over the substantive rule that should govern after the</ns0:t>
      </ns0:r>
      <ns0:r>
        <ns0:t xml:space="preserve"> </ns0:t>
      </ns0:r>
      <ns0:r>
        <ns0:t xml:space="preserve">relevant actor and conduct are known. Anat Lior argues that legislators should adopt</ns0:t>
      </ns0:r>
      <ns0:r>
        <ns0:t xml:space="preserve"> </ns0:t>
      </ns0:r>
      <ns0:r>
        <ns0:t xml:space="preserve">strict liability for AI-inflicted damages, while Zachary Henderson rejects categorical</ns0:t>
      </ns0:r>
      <ns0:r>
        <ns0:t xml:space="preserve"> </ns0:t>
      </ns0:r>
      <ns0:r>
        <ns0:t xml:space="preserve">strict liability, arguing that negligence and products liability should remain the defaults,</ns0:t>
      </ns0:r>
      <ns0:r>
        <ns0:t xml:space="preserve"> </ns0:t>
      </ns0:r>
      <ns0:r>
        <ns0:t xml:space="preserve">supplemented by insurance and narrow legislation. Catherine Sharkey identifies products</ns0:t>
      </ns0:r>
      <ns0:r>
        <ns0:t xml:space="preserve"> </ns0:t>
      </ns0:r>
      <ns0:r>
        <ns0:t xml:space="preserve">liability as the most promising framework for AI, while Ketan Ramakrishnan offers a</ns0:t>
      </ns0:r>
      <ns0:r>
        <ns0:t xml:space="preserve"> </ns0:t>
      </ns0:r>
      <ns0:r>
        <ns0:t xml:space="preserve">qualified defense of negligence as the principal doctrinal foundation for foundation-model</ns0:t>
      </ns0:r>
      <ns0:r>
        <ns0:t xml:space="preserve"> </ns0:t>
      </ns0:r>
      <ns0:r>
        <ns0:t xml:space="preserve">liability.</ns0:t>
      </ns0:r>
      <ns0:r>
        <ns0:rPr>
          <ns0:rStyle ns0:val="FootnoteReference"/>
        </ns0:rPr>
        <ns0:footnoteReference ns0:id="111"/>
      </ns0:r>
      <ns0:bookmarkStart ns0:id="120" ns0:name="x1-2006f2"/>
      <ns0:bookmarkEnd ns0:id="120"/>
      <ns0:r>
        <ns0:t xml:space="preserve"> </ns0:t>
      </ns0:r>
      <ns0:r>
        <ns0:t xml:space="preserve">Those positions address the merits-side question: which rule should govern an identified actor and</ns0:t>
      </ns0:r>
      <ns0:r>
        <ns0:t xml:space="preserve"> </ns0:t>
      </ns0:r>
      <ns0:r>
        <ns0:t xml:space="preserve">deployment. This Article addresses a logically prior access question: how an affected person</ns0:t>
      </ns0:r>
      <ns0:r>
        <ns0:t xml:space="preserve"> </ns0:t>
      </ns0:r>
      <ns0:r>
        <ns0:t xml:space="preserve">identifies the deployment, actor, and bounded record to which any such rule would apply. The</ns0:t>
      </ns0:r>
      <ns0:r>
        <ns0:t xml:space="preserve"> </ns0:t>
      </ns0:r>
      <ns0:r>
        <ns0:t xml:space="preserve">merits firewall leaves that substantive disagreement intact. Negligence cannot evaluate conduct</ns0:t>
      </ns0:r>
      <ns0:r>
        <ns0:t xml:space="preserve"> </ns0:t>
      </ns0:r>
      <ns0:r>
        <ns0:t xml:space="preserve">until the relevant conduct and actor are visible. Products liability cannot identify which company</ns0:t>
      </ns0:r>
      <ns0:r>
        <ns0:t xml:space="preserve"> </ns0:t>
      </ns0:r>
      <ns0:r>
        <ns0:t xml:space="preserve">selected the model harness or retained the update right. Strict liability still requires identification</ns0:t>
      </ns0:r>
      <ns0:r>
        <ns0:t xml:space="preserve"> </ns0:t>
      </ns0:r>
      <ns0:r>
        <ns0:t xml:space="preserve">of the covered activity or product and its connection to the injury. A rule placing a category of loss</ns0:t>
      </ns0:r>
      <ns0:r>
        <ns0:t xml:space="preserve"> </ns0:t>
      </ns0:r>
      <ns0:r>
        <ns0:t xml:space="preserve">outside liability still requires enough information to determine whether the case falls within that</ns0:t>
      </ns0:r>
      <ns0:r>
        <ns0:t xml:space="preserve"> </ns0:t>
      </ns0:r>
      <ns0:r>
        <ns0:t xml:space="preserve">category.</ns0:t>
      </ns0:r>
    </ns0:p>
    <ns0:p>
      <ns0:pPr>
        <ns0:pStyle ns0:val="BodyText"/>
      </ns0:pPr>
      <ns0:r>
        <ns0:t xml:space="preserve">The question presented is therefore narrow: when an adverse event affects an interest</ns0:t>
      </ns0:r>
      <ns0:r>
        <ns0:t xml:space="preserve"> </ns0:t>
      </ns0:r>
      <ns0:r>
        <ns0:t xml:space="preserve">protected by specified law through a designated high-impact AI deployment, but the affected</ns0:t>
      </ns0:r>
      <ns0:r>
        <ns0:t xml:space="preserve"> </ns0:t>
      </ns0:r>
      <ns0:r>
        <ns0:t xml:space="preserve">person cannot identify the operative system, control holder, or deployment record, what facts</ns0:t>
      </ns0:r>
      <ns0:r>
        <ns0:t xml:space="preserve"> </ns0:t>
      </ns0:r>
      <ns0:r>
        <ns0:t xml:space="preserve">should open a bounded identity-and-event stage—and which enterprise must answer</ns0:t>
      </ns0:r>
      <ns0:r>
        <ns0:t xml:space="preserve"> </ns0:t>
      </ns0:r>
      <ns0:r>
        <ns0:t xml:space="preserve">first?</ns0:t>
      </ns0:r>
    </ns0:p>
    <ns0:p>
      <ns0:pPr>
        <ns0:pStyle ns0:val="BodyText"/>
      </ns0:pPr>
      <ns0:r>
        <ns0:t xml:space="preserve">The Article’s contribution is institutional sequencing. Section </ns0:t>
      </ns0:r>
      <ns0:hyperlink ns0:anchor="Xab8175e220738ba490249d3c1f68399b6f12eb5">
        <ns0:r>
          <ns0:rPr>
            <ns0:rStyle ns0:val="Hyperlink"/>
          </ns0:rPr>
          <ns0:t xml:space="preserve">D</ns0:t>
        </ns0:r>
      </ns0:hyperlink>
      <ns0:r>
        <ns0:t xml:space="preserve"> </ns0:t>
      </ns0:r>
      <ns0:r>
        <ns0:t xml:space="preserve">maps neighboring</ns0:t>
      </ns0:r>
      <ns0:r>
        <ns0:t xml:space="preserve"> </ns0:t>
      </ns0:r>
      <ns0:r>
        <ns0:t xml:space="preserve">proposals that begin with a substantive duty, disclosure mandate, regulator, or an access problem</ns0:t>
      </ns0:r>
      <ns0:r>
        <ns0:t xml:space="preserve"> </ns0:t>
      </ns0:r>
      <ns0:r>
        <ns0:t xml:space="preserve">after an actor and artifact are identifiable; existing procedure offers discovery after a viable action</ns0:t>
      </ns0:r>
      <ns0:r>
        <ns0:t xml:space="preserve"> </ns0:t>
      </ns0:r>
      <ns0:r>
        <ns0:t xml:space="preserve">reaches an identifiable target. The front door brings together four functions: a sectoral</ns0:t>
      </ns0:r>
      <ns0:r>
        <ns0:t xml:space="preserve"> </ns0:t>
      </ns0:r>
      <ns0:r>
        <ns0:t xml:space="preserve">designation that identifies the legal interest; an ex ante minimum record that keeps</ns0:t>
      </ns0:r>
      <ns0:r>
        <ns0:t xml:space="preserve"> </ns0:t>
      </ns0:r>
      <ns0:r>
        <ns0:t xml:space="preserve">the deployment observable; a visible-operator gateway that supplies a reachable first</ns0:t>
      </ns0:r>
      <ns0:r>
        <ns0:t xml:space="preserve"> </ns0:t>
      </ns0:r>
      <ns0:r>
        <ns0:t xml:space="preserve">recipient; and a material-control test that allocates access without allocating liability. The</ns0:t>
      </ns0:r>
      <ns0:r>
        <ns0:t xml:space="preserve"> </ns0:t>
      </ns0:r>
      <ns0:r>
        <ns0:t xml:space="preserve">resulting rule is narrow enough to administer and complete enough to open the merits</ns0:t>
      </ns0:r>
      <ns0:r>
        <ns0:t xml:space="preserve"> </ns0:t>
      </ns0:r>
      <ns0:r>
        <ns0:t xml:space="preserve">process.</ns0:t>
      </ns0:r>
    </ns0:p>
    <ns0:p>
      <ns0:pPr>
        <ns0:pStyle ns0:val="BodyText"/>
      </ns0:pPr>
      <ns0:r>
        <ns0:t xml:space="preserve">Recent work has made the adjacent evidence problem explicit on both sides of litigation’s filing</ns0:t>
      </ns0:r>
      <ns0:r>
        <ns0:t xml:space="preserve"> </ns0:t>
      </ns0:r>
      <ns0:r>
        <ns0:t xml:space="preserve">line. Stewart proposes a pre-litigation right to test how modified inputs would change a known</ns0:t>
      </ns0:r>
      <ns0:r>
        <ns0:t xml:space="preserve"> </ns0:t>
      </ns0:r>
      <ns0:r>
        <ns0:t xml:space="preserve">algorithmic decision. Cen, Ismael, and Zheng identify the “privatization of proof” and structure</ns0:t>
      </ns0:r>
      <ns0:r>
        <ns0:t xml:space="preserve"> </ns0:t>
      </ns0:r>
      <ns0:r>
        <ns0:t xml:space="preserve">judicial access disputes once a requester can identify an artifact and a producing party that controls</ns0:t>
      </ns0:r>
      <ns0:r>
        <ns0:t xml:space="preserve"> </ns0:t>
      </ns0:r>
      <ns0:r>
        <ns0:t xml:space="preserve">it.</ns0:t>
      </ns0:r>
      <ns0:r>
        <ns0:rPr>
          <ns0:rStyle ns0:val="FootnoteReference"/>
        </ns0:rPr>
        <ns0:footnoteReference ns0:id="121"/>
      </ns0:r>
      <ns0:bookmarkStart ns0:id="125" ns0:name="x1-2010f3"/>
      <ns0:bookmarkEnd ns0:id="125"/>
      <ns0:r>
        <ns0:t xml:space="preserve"> </ns0:t>
      </ns0:r>
      <ns0:r>
        <ns0:t xml:space="preserve">This Article supplies a different institutional layer: the front end that identifies the deployment and</ns0:t>
      </ns0:r>
      <ns0:r>
        <ns0:t xml:space="preserve"> </ns0:t>
      </ns0:r>
      <ns0:r>
        <ns0:t xml:space="preserve">its control holders, creates a minimum deployment record before an adverse event becomes a</ns0:t>
      </ns0:r>
      <ns0:r>
        <ns0:t xml:space="preserve"> </ns0:t>
      </ns0:r>
      <ns0:r>
        <ns0:t xml:space="preserve">lawsuit, and gives the visible operator a bounded first-answer duty. Counterfactual testing,</ns0:t>
      </ns0:r>
      <ns0:r>
        <ns0:t xml:space="preserve"> </ns0:t>
      </ns0:r>
      <ns0:r>
        <ns0:t xml:space="preserve">ordinary discovery, and audit can then operate on a known deployment, version, and</ns0:t>
      </ns0:r>
      <ns0:r>
        <ns0:t xml:space="preserve"> </ns0:t>
      </ns0:r>
      <ns0:r>
        <ns0:t xml:space="preserve">record.</ns0:t>
      </ns0:r>
    </ns0:p>
    <ns0:p>
      <ns0:pPr>
        <ns0:pStyle ns0:val="BodyText"/>
      </ns0:pPr>
      <ns0:r>
        <ns0:t xml:space="preserve">The primary adoption audience is a state legislature regulating a designated sector.</ns0:t>
      </ns0:r>
      <ns0:r>
        <ns0:t xml:space="preserve"> </ns0:t>
      </ns0:r>
      <ns0:r>
        <ns0:t xml:space="preserve">Congress can use the same architecture for a national market, a federal cause of action, or an</ns0:t>
      </ns0:r>
      <ns0:r>
        <ns0:t xml:space="preserve"> </ns0:t>
      </ns0:r>
      <ns0:r>
        <ns0:t xml:space="preserve">interstate deployment requiring uniformity. Courts administer the closed first-answer proceeding,</ns0:t>
      </ns0:r>
      <ns0:r>
        <ns0:t xml:space="preserve"> </ns0:t>
      </ns0:r>
      <ns0:r>
        <ns0:t xml:space="preserve">protect the record, and decide whether Stage Two is justified. They do not create the ex ante</ns0:t>
      </ns0:r>
      <ns0:r>
        <ns0:t xml:space="preserve"> </ns0:t>
      </ns0:r>
      <ns0:r>
        <ns0:t xml:space="preserve">record duty, nonwaiver rule, tolling period, or enforcement remedy from ordinary discovery</ns0:t>
      </ns0:r>
      <ns0:r>
        <ns0:t xml:space="preserve"> </ns0:t>
      </ns0:r>
      <ns0:r>
        <ns0:t xml:space="preserve">doctrine. In short, this Article proposes model sectoral legislation that courts can administer</ns0:t>
      </ns0:r>
      <ns0:r>
        <ns0:t xml:space="preserve"> </ns0:t>
      </ns0:r>
      <ns0:r>
        <ns0:t xml:space="preserve">through a closed pre-merits proceeding.</ns0:t>
      </ns0:r>
    </ns0:p>
    <ns0:p>
      <ns0:pPr>
        <ns0:pStyle ns0:val="BodyText"/>
      </ns0:pPr>
      <ns0:r>
        <ns0:t xml:space="preserve">This Article proposes a</ns0:t>
      </ns0:r>
      <ns0:r>
        <ns0:t xml:space="preserve"> </ns0:t>
      </ns0:r>
      <ns0:r>
        <ns0:rPr>
          <ns0:i/>
          <ns0:iCs/>
        </ns0:rPr>
        <ns0:t xml:space="preserve">deployment front-door rule</ns0:t>
      </ns0:r>
      <ns0:r>
        <ns0:t xml:space="preserve">. A legislature first designates a</ns0:t>
      </ns0:r>
      <ns0:r>
        <ns0:t xml:space="preserve"> </ns0:t>
      </ns0:r>
      <ns0:r>
        <ns0:t xml:space="preserve">deployment category and specifies the protected interests, visible operator, minimum record,</ns0:t>
      </ns0:r>
      <ns0:r>
        <ns0:t xml:space="preserve"> </ns0:t>
      </ns0:r>
      <ns0:r>
        <ns0:t xml:space="preserve">retention period, trigger, and remedy. An affected person invokes Stage One by identifying an</ns0:t>
      </ns0:r>
      <ns0:r>
        <ns0:t xml:space="preserve"> </ns0:t>
      </ns0:r>
      <ns0:r>
        <ns0:t xml:space="preserve">adverse event affecting an interest protected by the specified law, the covered deployment</ns0:t>
      </ns0:r>
      <ns0:r>
        <ns0:t xml:space="preserve"> </ns0:t>
      </ns0:r>
      <ns0:r>
        <ns0:t xml:space="preserve">through which it occurred, and facts reasonably connecting the requested identity and</ns0:t>
      </ns0:r>
      <ns0:r>
        <ns0:t xml:space="preserve"> </ns0:t>
      </ns0:r>
      <ns0:r>
        <ns0:t xml:space="preserve">event fields to that occurrence. Stage One does not require facts held exclusively in the</ns0:t>
      </ns0:r>
      <ns0:r>
        <ns0:t xml:space="preserve"> </ns0:t>
      </ns0:r>
      <ns0:r>
        <ns0:t xml:space="preserve">deployment record. The enterprise that made the deployment available or incorporated it</ns0:t>
      </ns0:r>
      <ns0:r>
        <ns0:t xml:space="preserve"> </ns0:t>
      </ns0:r>
      <ns0:r>
        <ns0:t xml:space="preserve">into the affected process becomes the disclosure gateway. It must identify the deployed</ns0:t>
      </ns0:r>
      <ns0:r>
        <ns0:t xml:space="preserve"> </ns0:t>
      </ns0:r>
      <ns0:r>
        <ns0:t xml:space="preserve">system, provide a bounded event receipt and custodian map, preserve the corresponding</ns0:t>
      </ns0:r>
      <ns0:r>
        <ns0:t xml:space="preserve"> </ns0:t>
      </ns0:r>
      <ns0:r>
        <ns0:t xml:space="preserve">record, and activate the contractual retrieval path. An identified enterprise remains for</ns0:t>
      </ns0:r>
      <ns0:r>
        <ns0:t xml:space="preserve"> </ns0:t>
      </ns0:r>
      <ns0:r>
        <ns0:t xml:space="preserve">Stage Two only when it held practical authority over a risk-relevant function, the Stage</ns0:t>
      </ns0:r>
      <ns0:r>
        <ns0:t xml:space="preserve"> </ns0:t>
      </ns0:r>
      <ns0:r>
        <ns0:t xml:space="preserve">One record supports that the function formed part of the event path or governed a</ns0:t>
      </ns0:r>
      <ns0:r>
        <ns0:t xml:space="preserve"> </ns0:t>
      </ns0:r>
      <ns0:r>
        <ns0:t xml:space="preserve">safeguard, and the requested information bears non-de-minimally on an element, defense, or</ns0:t>
      </ns0:r>
      <ns0:r>
        <ns0:t xml:space="preserve"> </ns0:t>
      </ns0:r>
      <ns0:r>
        <ns0:t xml:space="preserve">remedy.</ns0:t>
      </ns0:r>
    </ns0:p>
    <ns0:p>
      <ns0:pPr>
        <ns0:pStyle ns0:val="BodyText"/>
      </ns0:pPr>
      <ns0:r>
        <ns0:t xml:space="preserve">The rule changes access to facts, not the elements that decide the case. Its merits firewall</ns0:t>
      </ns0:r>
      <ns0:r>
        <ns0:t xml:space="preserve"> </ns0:t>
      </ns0:r>
      <ns0:r>
        <ns0:t xml:space="preserve">creates no merits inference. Jurisdiction, immunity, privilege, proportionality, trade-secret</ns0:t>
      </ns0:r>
      <ns0:r>
        <ns0:t xml:space="preserve"> </ns0:t>
      </ns0:r>
      <ns0:r>
        <ns0:t xml:space="preserve">protection, and substantive defenses remain operative. An enterprise that completes</ns0:t>
      </ns0:r>
      <ns0:r>
        <ns0:t xml:space="preserve"> </ns0:t>
      </ns0:r>
      <ns0:r>
        <ns0:t xml:space="preserve">the first-answer obligation and establishes that it lacked material control over the risk</ns0:t>
      </ns0:r>
      <ns0:r>
        <ns0:t xml:space="preserve"> </ns0:t>
      </ns0:r>
      <ns0:r>
        <ns0:t xml:space="preserve">terminates its special front-door role; absent an independently sufficient claim, it returns to</ns0:t>
      </ns0:r>
      <ns0:r>
        <ns0:t xml:space="preserve"> </ns0:t>
      </ns0:r>
      <ns0:r>
        <ns0:t xml:space="preserve">ordinary nonparty status. Ultimate allocation remains governed by the cause of action,</ns0:t>
      </ns0:r>
      <ns0:r>
        <ns0:t xml:space="preserve"> </ns0:t>
      </ns0:r>
      <ns0:r>
        <ns0:t xml:space="preserve">contribution and indemnity law, contract, and any independently available individual</ns0:t>
      </ns0:r>
      <ns0:r>
        <ns0:t xml:space="preserve"> </ns0:t>
      </ns0:r>
      <ns0:r>
        <ns0:t xml:space="preserve">claim.</ns0:t>
      </ns0:r>
    </ns0:p>
    <ns0:p>
      <ns0:pPr>
        <ns0:pStyle ns0:val="BodyText"/>
      </ns0:pPr>
      <ns0:r>
        <ns0:t xml:space="preserve">The front door has an ex ante component because litigation cannot recover a record that a</ns0:t>
      </ns0:r>
      <ns0:r>
        <ns0:t xml:space="preserve"> </ns0:t>
      </ns0:r>
      <ns0:r>
        <ns0:t xml:space="preserve">deployment never created. For each designated category, the statute should impose a</ns0:t>
      </ns0:r>
      <ns0:r>
        <ns0:t xml:space="preserve"> </ns0:t>
      </ns0:r>
      <ns0:r>
        <ns0:rPr>
          <ns0:i/>
          <ns0:iCs/>
        </ns0:rPr>
        <ns0:t xml:space="preserve">deployment-record duty</ns0:t>
      </ns0:r>
      <ns0:r>
        <ns0:t xml:space="preserve">: identify the system and version; assign risk and approval authority;</ns0:t>
      </ns0:r>
      <ns0:r>
        <ns0:t xml:space="preserve"> </ns0:t>
      </ns0:r>
      <ns0:r>
        <ns0:t xml:space="preserve">document material evaluations, unresolved risk decisions, changes, complaints, incidents, and</ns0:t>
      </ns0:r>
      <ns0:r>
        <ns0:t xml:space="preserve"> </ns0:t>
      </ns0:r>
      <ns0:r>
        <ns0:t xml:space="preserve">interventions; identify who can restrict, roll back, or stop operation; and retain the</ns0:t>
      </ns0:r>
      <ns0:r>
        <ns0:t xml:space="preserve"> </ns0:t>
      </ns0:r>
      <ns0:r>
        <ns0:t xml:space="preserve">record for a specified period. A responsibility charter is the internal instrument that</ns0:t>
      </ns0:r>
      <ns0:r>
        <ns0:t xml:space="preserve"> </ns0:t>
      </ns0:r>
      <ns0:r>
        <ns0:t xml:space="preserve">satisfies that record duty: infrastructure for the front door, not a second governance</ns0:t>
      </ns0:r>
      <ns0:r>
        <ns0:t xml:space="preserve"> </ns0:t>
      </ns0:r>
      <ns0:r>
        <ns0:t xml:space="preserve">product.</ns0:t>
      </ns0:r>
    </ns0:p>
    <ns0:p>
      <ns0:pPr>
        <ns0:pStyle ns0:val="BodyText"/>
      </ns0:pPr>
      <ns0:r>
        <ns0:t xml:space="preserve">The scope of the required record follows practical control. This Article uses a compressed</ns0:t>
      </ns0:r>
      <ns0:r>
        <ns0:t xml:space="preserve"> </ns0:t>
      </ns0:r>
      <ns0:r>
        <ns0:rPr>
          <ns0:i/>
          <ns0:iCs/>
        </ns0:rPr>
        <ns0:t xml:space="preserve">deployment-control cascade</ns0:t>
      </ns0:r>
      <ns0:r>
        <ns0:rPr>
          <ns0:i/>
          <ns0:iCs/>
        </ns0:rPr>
        <ns0:t xml:space="preserve"> </ns0:t>
      </ns0:r>
      <ns0:r>
        <ns0:t xml:space="preserve">to map objectives, resources, configuration, feedback, and stopping</ns0:t>
      </ns0:r>
      <ns0:r>
        <ns0:t xml:space="preserve"> </ns0:t>
      </ns0:r>
      <ns0:r>
        <ns0:t xml:space="preserve">power across the model provider, application deployer, and operating institution. The cascade is a</ns0:t>
      </ns0:r>
      <ns0:r>
        <ns0:t xml:space="preserve"> </ns0:t>
      </ns0:r>
      <ns0:r>
        <ns0:t xml:space="preserve">record-specification method. It identifies evidence relevant to authorization, notice, foreseeability,</ns0:t>
      </ns0:r>
      <ns0:r>
        <ns0:t xml:space="preserve"> </ns0:t>
      </ns0:r>
      <ns0:r>
        <ns0:t xml:space="preserve">feasible precaution, causal sequence, preservation, and defense; governing law supplies every legal</ns0:t>
      </ns0:r>
      <ns0:r>
        <ns0:t xml:space="preserve"> </ns0:t>
      </ns0:r>
      <ns0:r>
        <ns0:t xml:space="preserve">standard. Token-level unpredictability may complicate causal proof, but it does not make</ns0:t>
      </ns0:r>
      <ns0:r>
        <ns0:t xml:space="preserve"> </ns0:t>
      </ns0:r>
      <ns0:r>
        <ns0:t xml:space="preserve">organizational choices about purpose, users, data, instructions, tools, monitoring, updates, and</ns0:t>
      </ns0:r>
      <ns0:r>
        <ns0:t xml:space="preserve"> </ns0:t>
      </ns0:r>
      <ns0:r>
        <ns0:t xml:space="preserve">shutdown disappear.</ns0:t>
      </ns0:r>
    </ns0:p>
    <ns0:p>
      <ns0:pPr>
        <ns0:pStyle ns0:val="BodyText"/>
      </ns0:pPr>
      <ns0:r>
        <ns0:t xml:space="preserve">Three design constraints define the rule’s specifications. First, ordinary pleading and</ns0:t>
      </ns0:r>
      <ns0:r>
        <ns0:t xml:space="preserve"> </ns0:t>
      </ns0:r>
      <ns0:r>
        <ns0:t xml:space="preserve">discovery often work once a claimant has a proper defendant and an identifiable record holder. The</ns0:t>
      </ns0:r>
      <ns0:r>
        <ns0:t xml:space="preserve"> </ns0:t>
      </ns0:r>
      <ns0:r>
        <ns0:t xml:space="preserve">gap lies in establishing those predicates and in creating the record before litigation. Second,</ns0:t>
      </ns0:r>
      <ns0:r>
        <ns0:t xml:space="preserve"> </ns0:t>
      </ns0:r>
      <ns0:r>
        <ns0:t xml:space="preserve">identification and production impose real costs even when the enterprise ultimately prevails.</ns0:t>
      </ns0:r>
      <ns0:r>
        <ns0:t xml:space="preserve"> </ns0:t>
      </ns0:r>
      <ns0:r>
        <ns0:t xml:space="preserve">Coverage must therefore be sectorally designated; Stage One must be closed and event</ns0:t>
      </ns0:r>
      <ns0:r>
        <ns0:t xml:space="preserve"> </ns0:t>
      </ns0:r>
      <ns0:r>
        <ns0:t xml:space="preserve">specific; Stage Two must be claim specific and proportionate; and privacy, security,</ns0:t>
      </ns0:r>
      <ns0:r>
        <ns0:t xml:space="preserve"> </ns0:t>
      </ns0:r>
      <ns0:r>
        <ns0:t xml:space="preserve">privilege, and trade secrets must be protected. Third, some losses connected to AI have no</ns0:t>
      </ns0:r>
      <ns0:r>
        <ns0:t xml:space="preserve"> </ns0:t>
      </ns0:r>
      <ns0:r>
        <ns0:t xml:space="preserve">legal remedy. The designation therefore names the protected interest and enforcement</ns0:t>
      </ns0:r>
      <ns0:r>
        <ns0:t xml:space="preserve"> </ns0:t>
      </ns0:r>
      <ns0:r>
        <ns0:t xml:space="preserve">route, pure legal defenses can be resolved before Stage Two, and the statute supplies</ns0:t>
      </ns0:r>
      <ns0:r>
        <ns0:t xml:space="preserve"> </ns0:t>
      </ns0:r>
      <ns0:r>
        <ns0:t xml:space="preserve">no general right to inspect a deployment simply because an affected person invokes</ns0:t>
      </ns0:r>
      <ns0:r>
        <ns0:t xml:space="preserve"> </ns0:t>
      </ns0:r>
      <ns0:r>
        <ns0:t xml:space="preserve">AI.</ns0:t>
      </ns0:r>
    </ns0:p>
    <ns0:p>
      <ns0:pPr>
        <ns0:pStyle ns0:val="BodyText"/>
      </ns0:pPr>
      <ns0:r>
        <ns0:t xml:space="preserve">The Article develops one contribution through five Parts. Part I identifies the pre-merits</ns0:t>
      </ns0:r>
      <ns0:r>
        <ns0:t xml:space="preserve"> </ns0:t>
      </ns0:r>
      <ns0:r>
        <ns0:t xml:space="preserve">attribution gap, distinguishes adjacent evidence-access scholarship, and compresses the</ns0:t>
      </ns0:r>
      <ns0:r>
        <ns0:t xml:space="preserve"> </ns0:t>
      </ns0:r>
      <ns0:r>
        <ns0:t xml:space="preserve">deployment-control cascade into a tool for specifying the missing record. Part II states the</ns0:t>
      </ns0:r>
      <ns0:r>
        <ns0:t xml:space="preserve"> </ns0:t>
      </ns0:r>
      <ns0:r>
        <ns0:t xml:space="preserve">front-door rule, separates Stage One from Stage Two, defines material control, supplies model</ns0:t>
      </ns0:r>
      <ns0:r>
        <ns0:t xml:space="preserve"> </ns0:t>
      </ns0:r>
      <ns0:r>
        <ns0:t xml:space="preserve">statutory text, and coordinates the substantive access right with federal procedure. Part III applies</ns0:t>
      </ns0:r>
      <ns0:r>
        <ns0:t xml:space="preserve"> </ns0:t>
      </ns0:r>
      <ns0:r>
        <ns0:t xml:space="preserve">the rule to two complementary settings:</ns0:t>
      </ns0:r>
      <ns0:r>
        <ns0:t xml:space="preserve"> </ns0:t>
      </ns0:r>
      <ns0:r>
        <ns0:rPr>
          <ns0:i/>
          <ns0:iCs/>
        </ns0:rPr>
        <ns0:t xml:space="preserve">Garcia</ns0:t>
      </ns0:r>
      <ns0:r>
        <ns0:t xml:space="preserve">, where the visible operator makes production</ns0:t>
      </ns0:r>
      <ns0:r>
        <ns0:t xml:space="preserve"> </ns0:t>
      </ns0:r>
      <ns0:r>
        <ns0:t xml:space="preserve">the central problem, and</ns0:t>
      </ns0:r>
      <ns0:r>
        <ns0:t xml:space="preserve"> </ns0:t>
      </ns0:r>
      <ns0:r>
        <ns0:rPr>
          <ns0:i/>
          <ns0:iCs/>
        </ns0:rPr>
        <ns0:t xml:space="preserve">Mobley</ns0:t>
      </ns0:r>
      <ns0:r>
        <ns0:t xml:space="preserve">, where feature identity, data hosting, legal control,</ns0:t>
      </ns0:r>
      <ns0:r>
        <ns0:t xml:space="preserve"> </ns0:t>
      </ns0:r>
      <ns0:r>
        <ns0:t xml:space="preserve">and validation divide across employers and a vendor. Part IV develops a minimized</ns0:t>
      </ns0:r>
      <ns0:r>
        <ns0:t xml:space="preserve"> </ns0:t>
      </ns0:r>
      <ns0:r>
        <ns0:t xml:space="preserve">ex ante record infrastructure and compares existing safety, information-demand, and</ns0:t>
      </ns0:r>
      <ns0:r>
        <ns0:t xml:space="preserve"> </ns0:t>
      </ns0:r>
      <ns0:r>
        <ns0:t xml:space="preserve">private-access regimes. Part V defines four boundaries: existing legal interests; constitutional and</ns0:t>
      </ns0:r>
      <ns0:r>
        <ns0:t xml:space="preserve"> </ns0:t>
      </ns0:r>
      <ns0:r>
        <ns0:t xml:space="preserve">confidentiality protections; arbitration, cross-border enforcement, and preemption; and</ns0:t>
      </ns0:r>
      <ns0:r>
        <ns0:t xml:space="preserve"> </ns0:t>
      </ns0:r>
      <ns0:r>
        <ns0:t xml:space="preserve">classification neutrality. The Conclusion returns to a single proposition: substantive law should</ns0:t>
      </ns0:r>
      <ns0:r>
        <ns0:t xml:space="preserve"> </ns0:t>
      </ns0:r>
      <ns0:r>
        <ns0:t xml:space="preserve">decide AI cases, not an information asymmetry that prevents substantive law from</ns0:t>
      </ns0:r>
      <ns0:r>
        <ns0:t xml:space="preserve"> </ns0:t>
      </ns0:r>
      <ns0:r>
        <ns0:t xml:space="preserve">starting.</ns0:t>
      </ns0:r>
    </ns0:p>
    <ns0:bookmarkEnd ns0:id="126"/>
    <ns0:bookmarkStart ns0:id="230" ns0:name="the-premerits-attribution-gap"/>
    <ns0:p>
      <ns0:pPr>
        <ns0:pStyle ns0:val="Heading3"/>
      </ns0:pPr>
      <ns0:r>
        <ns0:t xml:space="preserve">I</ns0:t>
      </ns0:r>
      <ns0:r>
        <ns0:t xml:space="preserve"> </ns0:t>
      </ns0:r>
      <ns0:r>
        <ns0:t xml:space="preserve"> </ns0:t>
      </ns0:r>
      <ns0:bookmarkStart ns0:id="127" ns0:name="x1-3000I"/>
      <ns0:bookmarkEnd ns0:id="127"/>
      <ns0:r>
        <ns0:t xml:space="preserve">The Pre-Merits Attribution Gap</ns0:t>
      </ns0:r>
    </ns0:p>
    <ns0:p>
      <ns0:pPr>
        <ns0:pStyle ns0:val="FirstParagraph"/>
      </ns0:pPr>
      <ns0:r>
        <ns0:t xml:space="preserve">A merits rule and a fact-access rule perform different work. Negligence may ask what</ns0:t>
      </ns0:r>
      <ns0:r>
        <ns0:t xml:space="preserve"> </ns0:t>
      </ns0:r>
      <ns0:r>
        <ns0:t xml:space="preserve">precautions a reasonable deployer would have taken; products law may ask whether a</ns0:t>
      </ns0:r>
      <ns0:r>
        <ns0:t xml:space="preserve"> </ns0:t>
      </ns0:r>
      <ns0:r>
        <ns0:t xml:space="preserve">design or warning was defective; antidiscrimination law may ask whether a screening</ns0:t>
      </ns0:r>
      <ns0:r>
        <ns0:t xml:space="preserve"> </ns0:t>
      </ns0:r>
      <ns0:r>
        <ns0:t xml:space="preserve">process caused a prohibited disparity; administrative law may ask whether an agency</ns0:t>
      </ns0:r>
      <ns0:r>
        <ns0:t xml:space="preserve"> </ns0:t>
      </ns0:r>
      <ns0:r>
        <ns0:t xml:space="preserve">supplied the explanation and review an entitlement requires. Each inquiry presupposes a</ns0:t>
      </ns0:r>
      <ns0:r>
        <ns0:t xml:space="preserve"> </ns0:t>
      </ns0:r>
      <ns0:r>
        <ns0:t xml:space="preserve">defined act, actor, system, and time. Affected people commonly know the adverse result</ns0:t>
      </ns0:r>
      <ns0:r>
        <ns0:t xml:space="preserve"> </ns0:t>
      </ns0:r>
      <ns0:r>
        <ns0:t xml:space="preserve">and the institution through which it arrived. They do not ordinarily know the version,</ns0:t>
      </ns0:r>
      <ns0:r>
        <ns0:t xml:space="preserve"> </ns0:t>
      </ns0:r>
      <ns0:r>
        <ns0:t xml:space="preserve">configuration, allocation of control, or record needed to connect that result to the governing</ns0:t>
      </ns0:r>
      <ns0:r>
        <ns0:t xml:space="preserve"> </ns0:t>
      </ns0:r>
      <ns0:r>
        <ns0:t xml:space="preserve">elements.</ns0:t>
      </ns0:r>
    </ns0:p>
    <ns0:p>
      <ns0:pPr>
        <ns0:pStyle ns0:val="BodyText"/>
      </ns0:pPr>
      <ns0:r>
        <ns0:t xml:space="preserve">This Part identifies the resulting gap in four moves. Section A separates computational</ns0:t>
      </ns0:r>
      <ns0:r>
        <ns0:t xml:space="preserve"> </ns0:t>
      </ns0:r>
      <ns0:r>
        <ns0:t xml:space="preserve">opacity from the system and organizational facts that adjudication can reach. Section B shows that</ns0:t>
      </ns0:r>
      <ns0:r>
        <ns0:t xml:space="preserve"> </ns0:t>
      </ns0:r>
      <ns0:r>
        <ns0:t xml:space="preserve">ordinary federal procedure becomes effective after a proper target and record holder are</ns0:t>
      </ns0:r>
      <ns0:r>
        <ns0:t xml:space="preserve"> </ns0:t>
      </ns0:r>
      <ns0:r>
        <ns0:t xml:space="preserve">identifiable but offers no uniform route to create those predicates. Section C distinguishes</ns0:t>
      </ns0:r>
      <ns0:r>
        <ns0:t xml:space="preserve"> </ns0:t>
      </ns0:r>
      <ns0:r>
        <ns0:t xml:space="preserve">the front door from adjacent evidence-access scholarship. Section D compresses the</ns0:t>
      </ns0:r>
      <ns0:r>
        <ns0:t xml:space="preserve"> </ns0:t>
      </ns0:r>
      <ns0:r>
        <ns0:t xml:space="preserve">deployment-control cascade into a specification for the facts the front door must identify and</ns0:t>
      </ns0:r>
      <ns0:r>
        <ns0:t xml:space="preserve"> </ns0:t>
      </ns0:r>
      <ns0:r>
        <ns0:t xml:space="preserve">preserve.</ns0:t>
      </ns0:r>
    </ns0:p>
    <ns0:bookmarkStart ns0:id="139" ns0:name="X373513752e49abb5fbcd58354d54f743b4b83d8"/>
    <ns0:p>
      <ns0:pPr>
        <ns0:pStyle ns0:val="Heading4"/>
      </ns0:pPr>
      <ns0:r>
        <ns0:t xml:space="preserve">A</ns0:t>
      </ns0:r>
      <ns0:r>
        <ns0:t xml:space="preserve"> </ns0:t>
      </ns0:r>
      <ns0:r>
        <ns0:t xml:space="preserve"> </ns0:t>
      </ns0:r>
      <ns0:bookmarkStart ns0:id="128" ns0:name="x1-4000A"/>
      <ns0:bookmarkEnd ns0:id="128"/>
      <ns0:r>
        <ns0:t xml:space="preserve">The Output Does Not Reveal the Deployment</ns0:t>
      </ns0:r>
    </ns0:p>
    <ns0:p>
      <ns0:pPr>
        <ns0:pStyle ns0:val="FirstParagraph"/>
      </ns0:pPr>
      <ns0:r>
        <ns0:t xml:space="preserve">An AI dispute should begin with the deployed system rather than the generated token, score, or</ns0:t>
      </ns0:r>
      <ns0:r>
        <ns0:t xml:space="preserve"> </ns0:t>
      </ns0:r>
      <ns0:r>
        <ns0:t xml:space="preserve">recommendation. The first attribution question is not who selected the final words or number. It is</ns0:t>
      </ns0:r>
      <ns0:r>
        <ns0:t xml:space="preserve"> </ns0:t>
      </ns0:r>
      <ns0:r>
        <ns0:t xml:space="preserve">who constructed, supplied, authorized, observed, and could alter the deployment that</ns0:t>
      </ns0:r>
      <ns0:r>
        <ns0:t xml:space="preserve"> </ns0:t>
      </ns0:r>
      <ns0:r>
        <ns0:t xml:space="preserve">produced the legally relevant effect. A model’s internal computation may be difficult to</ns0:t>
      </ns0:r>
      <ns0:r>
        <ns0:t xml:space="preserve"> </ns0:t>
      </ns0:r>
      <ns0:r>
        <ns0:t xml:space="preserve">explain while the surrounding control structure can leave usable evidence in contracts,</ns0:t>
      </ns0:r>
      <ns0:r>
        <ns0:t xml:space="preserve"> </ns0:t>
      </ns0:r>
      <ns0:r>
        <ns0:t xml:space="preserve">release records, configuration systems, evaluation reports, incident queues, and access</ns0:t>
      </ns0:r>
      <ns0:r>
        <ns0:t xml:space="preserve"> </ns0:t>
      </ns0:r>
      <ns0:r>
        <ns0:t xml:space="preserve">logs when law requires its creation and retention. That distinction makes responsibility</ns0:t>
      </ns0:r>
      <ns0:r>
        <ns0:t xml:space="preserve"> </ns0:t>
      </ns0:r>
      <ns0:r>
        <ns0:t xml:space="preserve">evidence obtainable even when a compact explanation of the model’s internal path is</ns0:t>
      </ns0:r>
      <ns0:r>
        <ns0:t xml:space="preserve"> </ns0:t>
      </ns0:r>
      <ns0:r>
        <ns0:t xml:space="preserve">unavailable.</ns0:t>
      </ns0:r>
    </ns0:p>
    <ns0:p>
      <ns0:pPr>
        <ns0:pStyle ns0:val="BodyText"/>
      </ns0:pPr>
      <ns0:r>
        <ns0:t xml:space="preserve">Three forms of opacity should remain separate.</ns0:t>
      </ns0:r>
      <ns0:r>
        <ns0:t xml:space="preserve"> </ns0:t>
      </ns0:r>
      <ns0:r>
        <ns0:rPr>
          <ns0:i/>
          <ns0:iCs/>
        </ns0:rPr>
        <ns0:t xml:space="preserve">Computational opacity</ns0:t>
      </ns0:r>
      <ns0:r>
        <ns0:rPr>
          <ns0:i/>
          <ns0:iCs/>
        </ns0:rPr>
        <ns0:t xml:space="preserve"> </ns0:t>
      </ns0:r>
      <ns0:r>
        <ns0:t xml:space="preserve">concerns the</ns0:t>
      </ns0:r>
      <ns0:r>
        <ns0:t xml:space="preserve"> </ns0:t>
      </ns0:r>
      <ns0:r>
        <ns0:t xml:space="preserve">inability to give a human-scale account of how internal states produced a particular output.</ns0:t>
      </ns0:r>
      <ns0:r>
        <ns0:t xml:space="preserve"> </ns0:t>
      </ns0:r>
      <ns0:r>
        <ns0:rPr>
          <ns0:i/>
          <ns0:iCs/>
        </ns0:rPr>
        <ns0:t xml:space="preserve">System</ns0:t>
      </ns0:r>
      <ns0:r>
        <ns0:rPr>
          <ns0:i/>
          <ns0:iCs/>
        </ns0:rPr>
        <ns0:t xml:space="preserve"> </ns0:t>
      </ns0:r>
      <ns0:r>
        <ns0:rPr>
          <ns0:i/>
          <ns0:iCs/>
        </ns0:rPr>
        <ns0:t xml:space="preserve">opacity</ns0:t>
      </ns0:r>
      <ns0:r>
        <ns0:rPr>
          <ns0:i/>
          <ns0:iCs/>
        </ns0:rPr>
        <ns0:t xml:space="preserve"> </ns0:t>
      </ns0:r>
      <ns0:r>
        <ns0:t xml:space="preserve">concerns interactions among the model, instructions, retrieval, memory, tools, filters,</ns0:t>
      </ns0:r>
      <ns0:r>
        <ns0:t xml:space="preserve"> </ns0:t>
      </ns0:r>
      <ns0:r>
        <ns0:t xml:space="preserve">credentials, and conventional software.</ns0:t>
      </ns0:r>
      <ns0:r>
        <ns0:t xml:space="preserve"> </ns0:t>
      </ns0:r>
      <ns0:r>
        <ns0:rPr>
          <ns0:i/>
          <ns0:iCs/>
        </ns0:rPr>
        <ns0:t xml:space="preserve">Organizational opacity</ns0:t>
      </ns0:r>
      <ns0:r>
        <ns0:rPr>
          <ns0:i/>
          <ns0:iCs/>
        </ns0:rPr>
        <ns0:t xml:space="preserve"> </ns0:t>
      </ns0:r>
      <ns0:r>
        <ns0:t xml:space="preserve">concerns who approved the use,</ns0:t>
      </ns0:r>
      <ns0:r>
        <ns0:t xml:space="preserve"> </ns0:t>
      </ns0:r>
      <ns0:r>
        <ns0:t xml:space="preserve">possessed risk information, controlled resources, or could restrict and stop operation. The first may</ns0:t>
      </ns0:r>
      <ns0:r>
        <ns0:t xml:space="preserve"> </ns0:t>
      </ns0:r>
      <ns0:r>
        <ns0:t xml:space="preserve">follow from architecture. The latter two ordinarily follow from deployment design and</ns0:t>
      </ns0:r>
      <ns0:r>
        <ns0:t xml:space="preserve"> </ns0:t>
      </ns0:r>
      <ns0:r>
        <ns0:t xml:space="preserve">recordkeeping.</ns0:t>
      </ns0:r>
    </ns0:p>
    <ns0:p>
      <ns0:pPr>
        <ns0:pStyle ns0:val="BodyText"/>
      </ns0:pPr>
      <ns0:r>
        <ns0:t xml:space="preserve">Collapsing all three into a single “black box” allows the least tractable fact to obscure the</ns0:t>
      </ns0:r>
      <ns0:r>
        <ns0:t xml:space="preserve"> </ns0:t>
      </ns0:r>
      <ns0:r>
        <ns0:t xml:space="preserve">facts ordinary doctrine can use. A court may be unable to reconstruct why a model ranked one</ns0:t>
      </ns0:r>
      <ns0:r>
        <ns0:t xml:space="preserve"> </ns0:t>
      </ns0:r>
      <ns0:r>
        <ns0:t xml:space="preserve">token above another yet able to determine that a provider selected the model; a deployer supplied</ns0:t>
      </ns0:r>
      <ns0:r>
        <ns0:t xml:space="preserve"> </ns0:t>
      </ns0:r>
      <ns0:r>
        <ns0:t xml:space="preserve">protected records and external tools; an interface suppressed uncertainty; a safety team</ns0:t>
      </ns0:r>
      <ns0:r>
        <ns0:t xml:space="preserve"> </ns0:t>
      </ns0:r>
      <ns0:r>
        <ns0:t xml:space="preserve">documented a known failure mode; management rejected a delayed release; and an operator</ns0:t>
      </ns0:r>
      <ns0:r>
        <ns0:t xml:space="preserve"> </ns0:t>
      </ns0:r>
      <ns0:r>
        <ns0:t xml:space="preserve">lacked time or authority to intervene. Intent and knowledge are often inferred from</ns0:t>
      </ns0:r>
      <ns0:r>
        <ns0:t xml:space="preserve"> </ns0:t>
      </ns0:r>
      <ns0:r>
        <ns0:t xml:space="preserve">conduct and circumstances, product defect can sometimes be proved circumstantially, and</ns0:t>
      </ns0:r>
      <ns0:r>
        <ns0:t xml:space="preserve"> </ns0:t>
      </ns0:r>
      <ns0:r>
        <ns0:t xml:space="preserve">direct organizational fault can lie in information systems, supervision, and resource</ns0:t>
      </ns0:r>
      <ns0:r>
        <ns0:t xml:space="preserve"> </ns0:t>
      </ns0:r>
      <ns0:r>
        <ns0:t xml:space="preserve">allocation.</ns0:t>
      </ns0:r>
      <ns0:r>
        <ns0:rPr>
          <ns0:rStyle ns0:val="FootnoteReference"/>
        </ns0:rPr>
        <ns0:footnoteReference ns0:id="132"/>
      </ns0:r>
      <ns0:bookmarkStart ns0:id="134" ns0:name="x1-4001f4"/>
      <ns0:bookmarkEnd ns0:id="134"/>
      <ns0:r>
        <ns0:t xml:space="preserve"> </ns0:t>
      </ns0:r>
      <ns0:r>
        <ns0:t xml:space="preserve">Model interpretability is not a condition precedent to responsibility at the deployment</ns0:t>
      </ns0:r>
      <ns0:r>
        <ns0:t xml:space="preserve"> </ns0:t>
      </ns0:r>
      <ns0:r>
        <ns0:t xml:space="preserve">level.</ns0:t>
      </ns0:r>
    </ns0:p>
    <ns0:p>
      <ns0:pPr>
        <ns0:pStyle ns0:val="BodyText"/>
      </ns0:pPr>
      <ns0:r>
        <ns0:t xml:space="preserve">Fragmentation makes those accessible facts difficult to attribute. Consider an employer that</ns0:t>
      </ns0:r>
      <ns0:r>
        <ns0:t xml:space="preserve"> </ns0:t>
      </ns0:r>
      <ns0:r>
        <ns0:t xml:space="preserve">licenses an applicant platform. The employer may select the job, criteria, candidate</ns0:t>
      </ns0:r>
      <ns0:r>
        <ns0:t xml:space="preserve"> </ns0:t>
      </ns0:r>
      <ns0:r>
        <ns0:t xml:space="preserve">pool, weight assigned to a recommendation, and final disposition. A platform vendor</ns0:t>
      </ns0:r>
      <ns0:r>
        <ns0:t xml:space="preserve"> </ns0:t>
      </ns0:r>
      <ns0:r>
        <ns0:t xml:space="preserve">may select the ranking model, training process, default features, update cadence, and</ns0:t>
      </ns0:r>
      <ns0:r>
        <ns0:t xml:space="preserve"> </ns0:t>
      </ns0:r>
      <ns0:r>
        <ns0:t xml:space="preserve">bias testing. A systems integrator may configure data fields and workflow triggers. The</ns0:t>
      </ns0:r>
      <ns0:r>
        <ns0:t xml:space="preserve"> </ns0:t>
      </ns0:r>
      <ns0:r>
        <ns0:t xml:space="preserve">applicant encounters an employer-branded portal and a rejection, not this allocation. In</ns0:t>
      </ns0:r>
      <ns0:r>
        <ns0:t xml:space="preserve"> </ns0:t>
      </ns0:r>
      <ns0:r>
        <ns0:rPr>
          <ns0:i/>
          <ns0:iCs/>
        </ns0:rPr>
        <ns0:t xml:space="preserve">Mobley v. Workday, Inc.</ns0:t>
      </ns0:r>
      <ns0:r>
        <ns0:t xml:space="preserve">, for example, a complaint alleged that employer customers</ns0:t>
      </ns0:r>
      <ns0:r>
        <ns0:t xml:space="preserve"> </ns0:t>
      </ns0:r>
      <ns0:r>
        <ns0:t xml:space="preserve">delegated candidate screening to Workday’s AI-based tools; at the Rule 12 stage, the</ns0:t>
      </ns0:r>
      <ns0:r>
        <ns0:t xml:space="preserve"> </ns0:t>
      </ns0:r>
      <ns0:r>
        <ns0:t xml:space="preserve">district court treated the alleged delegation of a traditional hiring function as sufficient to</ns0:t>
      </ns0:r>
      <ns0:r>
        <ns0:t xml:space="preserve"> </ns0:t>
      </ns0:r>
      <ns0:r>
        <ns0:t xml:space="preserve">proceed on a statutory agency theory while leaving the allegations and ultimate liability</ns0:t>
      </ns0:r>
      <ns0:r>
        <ns0:t xml:space="preserve"> </ns0:t>
      </ns0:r>
      <ns0:r>
        <ns0:t xml:space="preserve">unresolved.</ns0:t>
      </ns0:r>
      <ns0:r>
        <ns0:rPr>
          <ns0:rStyle ns0:val="FootnoteReference"/>
        </ns0:rPr>
        <ns0:footnoteReference ns0:id="138"/>
      </ns0:r>
      <ns0:bookmarkStart ns0:id="138" ns0:name="x1-4006f5"/>
      <ns0:bookmarkEnd ns0:id="138"/>
      <ns0:r>
        <ns0:t xml:space="preserve"> </ns0:t>
      </ns0:r>
      <ns0:r>
        <ns0:t xml:space="preserve">The opinion shows that substantive law may address a divided stack once the vendor and its</ns0:t>
      </ns0:r>
      <ns0:r>
        <ns0:t xml:space="preserve"> </ns0:t>
      </ns0:r>
      <ns0:r>
        <ns0:t xml:space="preserve">alleged function are visible. It does not supply every rejected applicant with the identity, version,</ns0:t>
      </ns0:r>
      <ns0:r>
        <ns0:t xml:space="preserve"> </ns0:t>
      </ns0:r>
      <ns0:r>
        <ns0:t xml:space="preserve">configuration, or evaluation record needed to reach that point.</ns0:t>
      </ns0:r>
    </ns0:p>
    <ns0:p>
      <ns0:pPr>
        <ns0:pStyle ns0:val="BodyText"/>
      </ns0:pPr>
      <ns0:r>
        <ns0:t xml:space="preserve">The same problem appears when the visible institution itself cannot inspect the vendor’s</ns0:t>
      </ns0:r>
      <ns0:r>
        <ns0:t xml:space="preserve"> </ns0:t>
      </ns0:r>
      <ns0:r>
        <ns0:t xml:space="preserve">method. A public employer may control whether and how a score affects termination while a</ns0:t>
      </ns0:r>
      <ns0:r>
        <ns0:t xml:space="preserve"> </ns0:t>
      </ns0:r>
      <ns0:r>
        <ns0:t xml:space="preserve">vendor controls the scoring software and updates. A hospital may select the patient population and</ns0:t>
      </ns0:r>
      <ns0:r>
        <ns0:t xml:space="preserve"> </ns0:t>
      </ns0:r>
      <ns0:r>
        <ns0:t xml:space="preserve">integrate a recommendation while a supplier controls model validation and releases. A benefits</ns0:t>
      </ns0:r>
      <ns0:r>
        <ns0:t xml:space="preserve"> </ns0:t>
      </ns0:r>
      <ns0:r>
        <ns0:t xml:space="preserve">agency may own the legal decision and appeal path while contractors control the calculation tool</ns0:t>
      </ns0:r>
      <ns0:r>
        <ns0:t xml:space="preserve"> </ns0:t>
      </ns0:r>
      <ns0:r>
        <ns0:t xml:space="preserve">and documentation. Control is distributed by function, not transferred wholesale to whichever</ns0:t>
      </ns0:r>
      <ns0:r>
        <ns0:t xml:space="preserve"> </ns0:t>
      </ns0:r>
      <ns0:r>
        <ns0:t xml:space="preserve">entity’s logo appears on the screen.</ns0:t>
      </ns0:r>
    </ns0:p>
    <ns0:p>
      <ns0:pPr>
        <ns0:pStyle ns0:val="BodyText"/>
      </ns0:pPr>
      <ns0:r>
        <ns0:t xml:space="preserve">Current legal subjects remain stable across that distribution. Operational autonomy</ns0:t>
      </ns0:r>
      <ns0:r>
        <ns0:t xml:space="preserve"> </ns0:t>
      </ns0:r>
      <ns0:r>
        <ns0:t xml:space="preserve">describes how a system produces effects; it does not identify an entity with assets, records, service</ns0:t>
      </ns0:r>
      <ns0:r>
        <ns0:t xml:space="preserve"> </ns0:t>
      </ns0:r>
      <ns0:r>
        <ns0:t xml:space="preserve">capacity, or exposure to judgment. In the covered deployments considered here, existing</ns0:t>
      </ns0:r>
      <ns0:r>
        <ns0:t xml:space="preserve"> </ns0:t>
      </ns0:r>
      <ns0:r>
        <ns0:t xml:space="preserve">organizations hold those incidents. A future legislature can construct a bounded juridical status</ns0:t>
      </ns0:r>
      <ns0:r>
        <ns0:t xml:space="preserve"> </ns0:t>
      </ns0:r>
      <ns0:r>
        <ns0:t xml:space="preserve">and specify its representative, assets, attribution rules, service, and remedies. The front-door rule</ns0:t>
      </ns0:r>
      <ns0:r>
        <ns0:t xml:space="preserve"> </ns0:t>
      </ns0:r>
      <ns0:r>
        <ns0:t xml:space="preserve">need not decide that future question. It follows the records and practical authority that existing</ns0:t>
      </ns0:r>
      <ns0:r>
        <ns0:t xml:space="preserve"> </ns0:t>
      </ns0:r>
      <ns0:r>
        <ns0:t xml:space="preserve">law can presently reach.</ns0:t>
      </ns0:r>
    </ns0:p>
    <ns0:bookmarkEnd ns0:id="139"/>
    <ns0:bookmarkStart ns0:id="141" ns0:name="two-coordinates-define-the-gap"/>
    <ns0:p>
      <ns0:pPr>
        <ns0:pStyle ns0:val="Heading4"/>
      </ns0:pPr>
      <ns0:r>
        <ns0:t xml:space="preserve">B</ns0:t>
      </ns0:r>
      <ns0:r>
        <ns0:t xml:space="preserve"> </ns0:t>
      </ns0:r>
      <ns0:r>
        <ns0:t xml:space="preserve"> </ns0:t>
      </ns0:r>
      <ns0:bookmarkStart ns0:id="140" ns0:name="x1-5000B"/>
      <ns0:bookmarkEnd ns0:id="140"/>
      <ns0:r>
        <ns0:t xml:space="preserve">Two Coordinates Define the Gap</ns0:t>
      </ns0:r>
    </ns0:p>
    <ns0:p>
      <ns0:pPr>
        <ns0:pStyle ns0:val="FirstParagraph"/>
      </ns0:pPr>
      <ns0:r>
        <ns0:t xml:space="preserve">Actor identity and record availability are independent coordinates. Treating them as one generic</ns0:t>
      </ns0:r>
      <ns0:r>
        <ns0:t xml:space="preserve"> </ns0:t>
      </ns0:r>
      <ns0:r>
        <ns0:t xml:space="preserve">opacity problem obscures which legal intervention is needed. A claimant may know the relevant</ns0:t>
      </ns0:r>
      <ns0:r>
        <ns0:t xml:space="preserve"> </ns0:t>
      </ns0:r>
      <ns0:r>
        <ns0:t xml:space="preserve">operator yet lack its deployment record. A claimant may possess a transaction or application</ns0:t>
      </ns0:r>
      <ns0:r>
        <ns0:t xml:space="preserve"> </ns0:t>
      </ns0:r>
      <ns0:r>
        <ns0:t xml:space="preserve">record yet lack the upstream entity that supplied the operative function. A divided stack can</ns0:t>
      </ns0:r>
      <ns0:r>
        <ns0:t xml:space="preserve"> </ns0:t>
      </ns0:r>
      <ns0:r>
        <ns0:t xml:space="preserve">produce both conditions at once. The front door sequences identity and record access so that each</ns0:t>
      </ns0:r>
      <ns0:r>
        <ns0:t xml:space="preserve"> </ns0:t>
      </ns0:r>
      <ns0:r>
        <ns0:t xml:space="preserve">condition receives the smallest useful response.</ns0:t>
      </ns0:r>
    </ns0:p>
    <ns0:p>
      <ns0:pPr>
        <ns0:pStyle ns0:val="BodyText"/>
      </ns0:pPr>
      <ns0:r>
        <ns0:t xml:space="preserve">The first configuration is an identifiable integrated operator with an adequate record.</ns0:t>
      </ns0:r>
      <ns0:r>
        <ns0:t xml:space="preserve"> </ns0:t>
      </ns0:r>
      <ns0:r>
        <ns0:t xml:space="preserve">Ordinary procedure has a direct target, and the statute’s principal work occurs ex ante:</ns0:t>
      </ns0:r>
      <ns0:r>
        <ns0:t xml:space="preserve"> </ns0:t>
      </ns0:r>
      <ns0:r>
        <ns0:t xml:space="preserve">standardization, retention, and a quick first answer. The record may establish the active version,</ns0:t>
      </ns0:r>
      <ns0:r>
        <ns0:t xml:space="preserve"> </ns0:t>
      </ns0:r>
      <ns0:r>
        <ns0:t xml:space="preserve">relevant policy, warnings, incident sequence, and stop authority without adding another merits</ns0:t>
      </ns0:r>
      <ns0:r>
        <ns0:t xml:space="preserve"> </ns0:t>
      </ns0:r>
      <ns0:r>
        <ns0:t xml:space="preserve">defendant. If a filed claim proceeds, ordinary discovery can deepen the record in the familiar</ns0:t>
      </ns0:r>
      <ns0:r>
        <ns0:t xml:space="preserve"> </ns0:t>
      </ns0:r>
      <ns0:r>
        <ns0:t xml:space="preserve">way.</ns0:t>
      </ns0:r>
    </ns0:p>
    <ns0:p>
      <ns0:pPr>
        <ns0:pStyle ns0:val="BodyText"/>
      </ns0:pPr>
      <ns0:r>
        <ns0:t xml:space="preserve">The second configuration is an identifiable operator with a missing or fragmented</ns0:t>
      </ns0:r>
      <ns0:r>
        <ns0:t xml:space="preserve"> </ns0:t>
      </ns0:r>
      <ns0:r>
        <ns0:t xml:space="preserve">internal record. The brand and legal entity are visible, but the claimant and sometimes</ns0:t>
      </ns0:r>
      <ns0:r>
        <ns0:t xml:space="preserve"> </ns0:t>
      </ns0:r>
      <ns0:r>
        <ns0:t xml:space="preserve">the operator cannot reconstruct which versions, components, policies, and intervention</ns0:t>
      </ns0:r>
      <ns0:r>
        <ns0:t xml:space="preserve"> </ns0:t>
      </ns0:r>
      <ns0:r>
        <ns0:t xml:space="preserve">roles governed the event. This is the production problem. It arises in an integrated</ns0:t>
      </ns0:r>
      <ns0:r>
        <ns0:t xml:space="preserve"> </ns0:t>
      </ns0:r>
      <ns0:r>
        <ns0:t xml:space="preserve">consumer service when engineering, safety, product, trust-and-safety, and executive</ns0:t>
      </ns0:r>
      <ns0:r>
        <ns0:t xml:space="preserve"> </ns0:t>
      </ns0:r>
      <ns0:r>
        <ns0:t xml:space="preserve">decisions live in separate systems. It also arises in a public institution that relies on a</ns0:t>
      </ns0:r>
      <ns0:r>
        <ns0:t xml:space="preserve"> </ns0:t>
      </ns0:r>
      <ns0:r>
        <ns0:t xml:space="preserve">proprietary score it cannot independently verify. The ex ante duty matters most here</ns0:t>
      </ns0:r>
      <ns0:r>
        <ns0:t xml:space="preserve"> </ns0:t>
      </ns0:r>
      <ns0:r>
        <ns0:t xml:space="preserve">because a post-event subpoena cannot create lineage or approval that the operator never</ns0:t>
      </ns0:r>
      <ns0:r>
        <ns0:t xml:space="preserve"> </ns0:t>
      </ns0:r>
      <ns0:r>
        <ns0:t xml:space="preserve">recorded.</ns0:t>
      </ns0:r>
    </ns0:p>
    <ns0:p>
      <ns0:pPr>
        <ns0:pStyle ns0:val="BodyText"/>
      </ns0:pPr>
      <ns0:r>
        <ns0:t xml:space="preserve">The third configuration is an identifiable event with an unknown operative entity. An</ns0:t>
      </ns0:r>
      <ns0:r>
        <ns0:t xml:space="preserve"> </ns0:t>
      </ns0:r>
      <ns0:r>
        <ns0:t xml:space="preserve">applicant may have an employer, job, timestamp, and rejection while lacking the product feature</ns0:t>
      </ns0:r>
      <ns0:r>
        <ns0:t xml:space="preserve"> </ns0:t>
      </ns0:r>
      <ns0:r>
        <ns0:t xml:space="preserve">that processed the application and the supplier responsible for it. A patient may know the hospital</ns0:t>
      </ns0:r>
      <ns0:r>
        <ns0:t xml:space="preserve"> </ns0:t>
      </ns0:r>
      <ns0:r>
        <ns0:t xml:space="preserve">encounter while lacking the vendor and version embedded in a clinical workflow. This is the</ns0:t>
      </ns0:r>
      <ns0:r>
        <ns0:t xml:space="preserve"> </ns0:t>
      </ns0:r>
      <ns0:r>
        <ns0:t xml:space="preserve">actor-identification problem. A closed first answer resolves provenance and custodian fields before</ns0:t>
      </ns0:r>
      <ns0:r>
        <ns0:t xml:space="preserve"> </ns0:t>
      </ns0:r>
      <ns0:r>
        <ns0:t xml:space="preserve">broader access. The visible operator performs the gateway role because it chose to incorporate the</ns0:t>
      </ns0:r>
      <ns0:r>
        <ns0:t xml:space="preserve"> </ns0:t>
      </ns0:r>
      <ns0:r>
        <ns0:t xml:space="preserve">system and can preserve the event even if another enterprise holds the relevant control</ns0:t>
      </ns0:r>
      <ns0:r>
        <ns0:t xml:space="preserve"> </ns0:t>
      </ns0:r>
      <ns0:r>
        <ns0:t xml:space="preserve">lane.</ns0:t>
      </ns0:r>
    </ns0:p>
    <ns0:p>
      <ns0:pPr>
        <ns0:pStyle ns0:val="BodyText"/>
      </ns0:pPr>
      <ns0:r>
        <ns0:t xml:space="preserve">The fourth configuration combines the two. The operative feature and supplier are hidden,</ns0:t>
      </ns0:r>
      <ns0:r>
        <ns0:t xml:space="preserve"> </ns0:t>
      </ns0:r>
      <ns0:r>
        <ns0:t xml:space="preserve">and the minimum record was never created or is divided by contract. A supplier may host data</ns0:t>
      </ns0:r>
      <ns0:r>
        <ns0:t xml:space="preserve"> </ns0:t>
      </ns0:r>
      <ns0:r>
        <ns0:t xml:space="preserve">while the customer owns it; an integrator may hold configuration history while the</ns0:t>
      </ns0:r>
      <ns0:r>
        <ns0:t xml:space="preserve"> </ns0:t>
      </ns0:r>
      <ns0:r>
        <ns0:t xml:space="preserve">institution holds the decision; a model provider may know version lineage while the</ns0:t>
      </ns0:r>
      <ns0:r>
        <ns0:t xml:space="preserve"> </ns0:t>
      </ns0:r>
      <ns0:r>
        <ns0:t xml:space="preserve">application company knows prompts, tools, and user exposure. Asking the claimant to</ns0:t>
      </ns0:r>
      <ns0:r>
        <ns0:t xml:space="preserve"> </ns0:t>
      </ns0:r>
      <ns0:r>
        <ns0:t xml:space="preserve">choose a single controller before revealing this map converts organizational design into a</ns0:t>
      </ns0:r>
      <ns0:r>
        <ns0:t xml:space="preserve"> </ns0:t>
      </ns0:r>
      <ns0:r>
        <ns0:t xml:space="preserve">litigation advantage. Treating every participant as a controller creates the opposite error.</ns0:t>
      </ns0:r>
      <ns0:r>
        <ns0:t xml:space="preserve"> </ns0:t>
      </ns0:r>
      <ns0:r>
        <ns0:t xml:space="preserve">The front door identifies lanes first and terminates the special role of actors outside</ns0:t>
      </ns0:r>
      <ns0:r>
        <ns0:t xml:space="preserve"> </ns0:t>
      </ns0:r>
      <ns0:r>
        <ns0:t xml:space="preserve">them.</ns0:t>
      </ns0:r>
    </ns0:p>
    <ns0:p>
      <ns0:pPr>
        <ns0:pStyle ns0:val="BodyText"/>
      </ns0:pPr>
      <ns0:r>
        <ns0:t xml:space="preserve">This two-coordinate account yields a fixed sequence. The visible operator maps</ns0:t>
      </ns0:r>
      <ns0:r>
        <ns0:t xml:space="preserve"> </ns0:t>
      </ns0:r>
      <ns0:r>
        <ns0:t xml:space="preserve">the deployment and event. Identified enterprises acknowledge their control and record</ns0:t>
      </ns0:r>
      <ns0:r>
        <ns0:t xml:space="preserve"> </ns0:t>
      </ns0:r>
      <ns0:r>
        <ns0:t xml:space="preserve">lanes. All holders preserve the bounded slice. Stage One supplies version, provenance,</ns0:t>
      </ns0:r>
      <ns0:r>
        <ns0:t xml:space="preserve"> </ns0:t>
      </ns0:r>
      <ns0:r>
        <ns0:t xml:space="preserve">control, and event fields. The material-control test removes irrelevant actors. Stage Two</ns0:t>
      </ns0:r>
      <ns0:r>
        <ns0:t xml:space="preserve"> </ns0:t>
      </ns0:r>
      <ns0:r>
        <ns0:t xml:space="preserve">follows only the legal theory and unresolved lane. The sequence is the Article’s central</ns0:t>
      </ns0:r>
      <ns0:r>
        <ns0:t xml:space="preserve"> </ns0:t>
      </ns0:r>
      <ns0:r>
        <ns0:t xml:space="preserve">payoff: it opens access without deciding the liability questions that the record is meant to</ns0:t>
      </ns0:r>
      <ns0:r>
        <ns0:t xml:space="preserve"> </ns0:t>
      </ns0:r>
      <ns0:r>
        <ns0:t xml:space="preserve">illuminate.</ns0:t>
      </ns0:r>
    </ns0:p>
    <ns0:bookmarkEnd ns0:id="141"/>
    <ns0:bookmarkStart ns0:id="191" ns0:name="X0d45b1bf289ec41abdcdcdd96a97e2c1be6f103"/>
    <ns0:p>
      <ns0:pPr>
        <ns0:pStyle ns0:val="Heading4"/>
      </ns0:pPr>
      <ns0:r>
        <ns0:t xml:space="preserve">C</ns0:t>
      </ns0:r>
      <ns0:r>
        <ns0:t xml:space="preserve"> </ns0:t>
      </ns0:r>
      <ns0:r>
        <ns0:t xml:space="preserve"> </ns0:t>
      </ns0:r>
      <ns0:bookmarkStart ns0:id="142" ns0:name="x1-6000C"/>
      <ns0:bookmarkEnd ns0:id="142"/>
      <ns0:r>
        <ns0:t xml:space="preserve">Ordinary Procedure Opens After Four Predicates</ns0:t>
      </ns0:r>
    </ns0:p>
    <ns0:p>
      <ns0:pPr>
        <ns0:pStyle ns0:val="FirstParagraph"/>
      </ns0:pPr>
      <ns0:r>
        <ns0:t xml:space="preserve">Federal procedure supplies substantial tools after four predicates are present: a filed action, a</ns0:t>
      </ns0:r>
      <ns0:r>
        <ns0:t xml:space="preserve"> </ns0:t>
      </ns0:r>
      <ns0:r>
        <ns0:t xml:space="preserve">complaint capable of stating a legal claim, a known party or subpoena recipient, and an</ns0:t>
      </ns0:r>
      <ns0:r>
        <ns0:t xml:space="preserve"> </ns0:t>
      </ns0:r>
      <ns0:r>
        <ns0:t xml:space="preserve">existing record within the reach of that target. The deployment front door supplies</ns0:t>
      </ns0:r>
      <ns0:r>
        <ns0:t xml:space="preserve"> </ns0:t>
      </ns0:r>
      <ns0:r>
        <ns0:t xml:space="preserve">information needed to establish those predicates; it does not replace the procedure that follows</ns0:t>
      </ns0:r>
      <ns0:r>
        <ns0:t xml:space="preserve"> </ns0:t>
      </ns0:r>
      <ns0:r>
        <ns0:t xml:space="preserve">them.</ns0:t>
      </ns0:r>
    </ns0:p>
    <ns0:p>
      <ns0:pPr>
        <ns0:pStyle ns0:val="BodyText"/>
      </ns0:pPr>
      <ns0:r>
        <ns0:t xml:space="preserve">Pleading law illustrates the sequence. Rule 8 requires a short and plain statement showing</ns0:t>
      </ns0:r>
      <ns0:r>
        <ns0:t xml:space="preserve"> </ns0:t>
      </ns0:r>
      <ns0:r>
        <ns0:t xml:space="preserve">entitlement to relief.</ns0:t>
      </ns0:r>
      <ns0:r>
        <ns0:t xml:space="preserve"> </ns0:t>
      </ns0:r>
      <ns0:r>
        <ns0:rPr>
          <ns0:i/>
          <ns0:iCs/>
        </ns0:rPr>
        <ns0:t xml:space="preserve">Twombly</ns0:t>
      </ns0:r>
      <ns0:r>
        <ns0:rPr>
          <ns0:i/>
          <ns0:iCs/>
        </ns0:rPr>
        <ns0:t xml:space="preserve"> </ns0:t>
      </ns0:r>
      <ns0:r>
        <ns0:t xml:space="preserve">and</ns0:t>
      </ns0:r>
      <ns0:r>
        <ns0:t xml:space="preserve"> </ns0:t>
      </ns0:r>
      <ns0:r>
        <ns0:rPr>
          <ns0:i/>
          <ns0:iCs/>
        </ns0:rPr>
        <ns0:t xml:space="preserve">Iqbal</ns0:t>
      </ns0:r>
      <ns0:r>
        <ns0:rPr>
          <ns0:i/>
          <ns0:iCs/>
        </ns0:rPr>
        <ns0:t xml:space="preserve"> </ns0:t>
      </ns0:r>
      <ns0:r>
        <ns0:t xml:space="preserve">require factual matter supporting a plausible claim, while</ns0:t>
      </ns0:r>
      <ns0:r>
        <ns0:t xml:space="preserve"> </ns0:t>
      </ns0:r>
      <ns0:r>
        <ns0:t xml:space="preserve">Rule 11(b)(3) requires counsel to certify that factual contentions have evidentiary support or, if</ns0:t>
      </ns0:r>
      <ns0:r>
        <ns0:t xml:space="preserve"> </ns0:t>
      </ns0:r>
      <ns0:r>
        <ns0:t xml:space="preserve">specifically identified, will likely have such support after a reasonable opportunity for investigation or</ns0:t>
      </ns0:r>
      <ns0:r>
        <ns0:t xml:space="preserve"> </ns0:t>
      </ns0:r>
      <ns0:r>
        <ns0:t xml:space="preserve">discovery.</ns0:t>
      </ns0:r>
      <ns0:r>
        <ns0:rPr>
          <ns0:rStyle ns0:val="FootnoteReference"/>
        </ns0:rPr>
        <ns0:footnoteReference ns0:id="146"/>
      </ns0:r>
      <ns0:bookmarkStart ns0:id="150" ns0:name="x1-6001f6"/>
      <ns0:bookmarkEnd ns0:id="150"/>
      <ns0:r>
        <ns0:t xml:space="preserve"> </ns0:t>
      </ns0:r>
      <ns0:r>
        <ns0:t xml:space="preserve">That accommodation matters: a plaintiff need not possess every internal email or validation report</ns0:t>
      </ns0:r>
      <ns0:r>
        <ns0:t xml:space="preserve"> </ns0:t>
      </ns0:r>
      <ns0:r>
        <ns0:t xml:space="preserve">before filing. But Rule 11 creates neither a discovery entitlement nor a substitute for Rule 8.</ns0:t>
      </ns0:r>
      <ns0:r>
        <ns0:t xml:space="preserve"> </ns0:t>
      </ns0:r>
      <ns0:r>
        <ns0:t xml:space="preserve">Neither rule names an unknown supplier, links a rejection to a product feature, identifies the</ns0:t>
      </ns0:r>
      <ns0:r>
        <ns0:t xml:space="preserve"> </ns0:t>
      </ns0:r>
      <ns0:r>
        <ns0:t xml:space="preserve">version that ran, or requires the operator to have recorded that fact.</ns0:t>
      </ns0:r>
    </ns0:p>
    <ns0:p>
      <ns0:pPr>
        <ns0:pStyle ns0:val="BodyText"/>
      </ns0:pPr>
      <ns0:r>
        <ns0:t xml:space="preserve">Discovery becomes powerful once an action and target exist. Rule 26(b)(1)</ns0:t>
      </ns0:r>
      <ns0:r>
        <ns0:t xml:space="preserve"> </ns0:t>
      </ns0:r>
      <ns0:r>
        <ns0:t xml:space="preserve">permits discovery of relevant, proportional, nonprivileged matter. Rule 34 reaches</ns0:t>
      </ns0:r>
      <ns0:r>
        <ns0:t xml:space="preserve"> </ns0:t>
      </ns0:r>
      <ns0:r>
        <ns0:t xml:space="preserve">existing documents and electronically stored information in a party’s possession,</ns0:t>
      </ns0:r>
      <ns0:r>
        <ns0:t xml:space="preserve"> </ns0:t>
      </ns0:r>
      <ns0:r>
        <ns0:t xml:space="preserve">custody, or control. Rule 45 reaches a known nonparty that can be named and</ns0:t>
      </ns0:r>
      <ns0:r>
        <ns0:t xml:space="preserve"> </ns0:t>
      </ns0:r>
      <ns0:r>
        <ns0:t xml:space="preserve">served.</ns0:t>
      </ns0:r>
      <ns0:r>
        <ns0:rPr>
          <ns0:rStyle ns0:val="FootnoteReference"/>
        </ns0:rPr>
        <ns0:footnoteReference ns0:id="154"/>
      </ns0:r>
      <ns0:bookmarkStart ns0:id="155" ns0:name="x1-6008f7"/>
      <ns0:bookmarkEnd ns0:id="155"/>
      <ns0:r>
        <ns0:t xml:space="preserve"> </ns0:t>
      </ns0:r>
      <ns0:r>
        <ns0:t xml:space="preserve">These mechanisms can test an agency theory, obtain validation evidence, and expose</ns0:t>
      </ns0:r>
      <ns0:r>
        <ns0:t xml:space="preserve"> </ns0:t>
      </ns0:r>
      <ns0:r>
        <ns0:t xml:space="preserve">a divided contract. They do not identify the person to whom a subpoena should be</ns0:t>
      </ns0:r>
      <ns0:r>
        <ns0:t xml:space="preserve"> </ns0:t>
      </ns0:r>
      <ns0:r>
        <ns0:t xml:space="preserve">directed or create a release approval, configuration history, or incident record that never</ns0:t>
      </ns0:r>
      <ns0:r>
        <ns0:t xml:space="preserve"> </ns0:t>
      </ns0:r>
      <ns0:r>
        <ns0:t xml:space="preserve">existed.</ns0:t>
      </ns0:r>
    </ns0:p>
    <ns0:p>
      <ns0:pPr>
        <ns0:pStyle ns0:val="BodyText"/>
      </ns0:pPr>
      <ns0:r>
        <ns0:t xml:space="preserve">Initial disclosure begins later and serves a narrower function. Rule 26(a)(1) generally requires</ns0:t>
      </ns0:r>
      <ns0:r>
        <ns0:t xml:space="preserve"> </ns0:t>
      </ns0:r>
      <ns0:r>
        <ns0:t xml:space="preserve">the parties to identify witnesses and materials they may use to support their own claims or defenses,</ns0:t>
      </ns0:r>
      <ns0:r>
        <ns0:t xml:space="preserve"> </ns0:t>
      </ns0:r>
      <ns0:r>
        <ns0:t xml:space="preserve">along with damages and insurance information. The disclosures ordinarily follow the Rule 26(f)</ns0:t>
      </ns0:r>
      <ns0:r>
        <ns0:t xml:space="preserve"> </ns0:t>
      </ns0:r>
      <ns0:r>
        <ns0:t xml:space="preserve">conference.</ns0:t>
      </ns0:r>
      <ns0:r>
        <ns0:rPr>
          <ns0:rStyle ns0:val="FootnoteReference"/>
        </ns0:rPr>
        <ns0:footnoteReference ns0:id="159"/>
      </ns0:r>
      <ns0:bookmarkStart ns0:id="159" ns0:name="x1-6012f8"/>
      <ns0:bookmarkEnd ns0:id="159"/>
      <ns0:r>
        <ns0:t xml:space="preserve"> </ns0:t>
      </ns0:r>
      <ns0:r>
        <ns0:t xml:space="preserve">They are not an adverse-record inventory. An operator that does not expect to use a rejected</ns0:t>
      </ns0:r>
      <ns0:r>
        <ns0:t xml:space="preserve"> </ns0:t>
      </ns0:r>
      <ns0:r>
        <ns0:t xml:space="preserve">mitigation, contradictory test, or internal escalation in support of its position has no</ns0:t>
      </ns0:r>
      <ns0:r>
        <ns0:t xml:space="preserve"> </ns0:t>
      </ns0:r>
      <ns0:r>
        <ns0:t xml:space="preserve">initial-disclosure obligation to list the item on that basis alone. The claimant can request it in</ns0:t>
      </ns0:r>
      <ns0:r>
        <ns0:t xml:space="preserve"> </ns0:t>
      </ns0:r>
      <ns0:r>
        <ns0:t xml:space="preserve">discovery after the case begins; the front-door problem is how to identify the system, holder, and</ns0:t>
      </ns0:r>
      <ns0:r>
        <ns0:t xml:space="preserve"> </ns0:t>
      </ns0:r>
      <ns0:r>
        <ns0:t xml:space="preserve">record category needed to frame that request.</ns0:t>
      </ns0:r>
    </ns0:p>
    <ns0:p>
      <ns0:pPr>
        <ns0:pStyle ns0:val="BodyText"/>
      </ns0:pPr>
      <ns0:r>
        <ns0:t xml:space="preserve">Court-authorized early discovery provides a real bridge when the claimant already has a</ns0:t>
      </ns0:r>
      <ns0:r>
        <ns0:t xml:space="preserve"> </ns0:t>
      </ns0:r>
      <ns0:r>
        <ns0:t xml:space="preserve">unique event identifier and knows the intermediary holding the identity record. In</ns0:t>
      </ns0:r>
      <ns0:r>
        <ns0:t xml:space="preserve"> </ns0:t>
      </ns0:r>
      <ns0:r>
        <ns0:rPr>
          <ns0:i/>
          <ns0:iCs/>
        </ns0:rPr>
        <ns0:t xml:space="preserve">Strike 3</ns0:t>
      </ns0:r>
      <ns0:r>
        <ns0:rPr>
          <ns0:i/>
          <ns0:iCs/>
        </ns0:rPr>
        <ns0:t xml:space="preserve"> </ns0:t>
      </ns0:r>
      <ns0:r>
        <ns0:rPr>
          <ns0:i/>
          <ns0:iCs/>
        </ns0:rPr>
        <ns0:t xml:space="preserve">Holdings, LLC v. Doe</ns0:t>
      </ns0:r>
      <ns0:r>
        <ns0:t xml:space="preserve">, a rights holder tied an alleged online infringement to an IP address and</ns0:t>
      </ns0:r>
      <ns0:r>
        <ns0:t xml:space="preserve"> </ns0:t>
      </ns0:r>
      <ns0:r>
        <ns0:t xml:space="preserve">sought an early subpoena to the known internet service provider capable of mapping</ns0:t>
      </ns0:r>
      <ns0:r>
        <ns0:t xml:space="preserve"> </ns0:t>
      </ns0:r>
      <ns0:r>
        <ns0:t xml:space="preserve">that address to a subscriber. The D.C. Circuit held that Rule 26(d)(1) permits such a</ns0:t>
      </ns0:r>
      <ns0:r>
        <ns0:t xml:space="preserve"> </ns0:t>
      </ns0:r>
      <ns0:r>
        <ns0:t xml:space="preserve">route and that Doe pleading can be appropriate when discovery is expected to reveal</ns0:t>
      </ns0:r>
      <ns0:r>
        <ns0:t xml:space="preserve"> </ns0:t>
      </ns0:r>
      <ns0:r>
        <ns0:t xml:space="preserve">identity, subject to relevance, proportionality, and a realistic prospect of jurisdiction and</ns0:t>
      </ns0:r>
      <ns0:r>
        <ns0:t xml:space="preserve"> </ns0:t>
      </ns0:r>
      <ns0:r>
        <ns0:t xml:space="preserve">success.</ns0:t>
      </ns0:r>
      <ns0:r>
        <ns0:rPr>
          <ns0:rStyle ns0:val="FootnoteReference"/>
        </ns0:rPr>
        <ns0:footnoteReference ns0:id="163"/>
      </ns0:r>
      <ns0:bookmarkStart ns0:id="164" ns0:name="x1-6015f9"/>
      <ns0:bookmarkEnd ns0:id="164"/>
      <ns0:r>
        <ns0:t xml:space="preserve"> </ns0:t>
      </ns0:r>
      <ns0:r>
        <ns0:t xml:space="preserve">The case identifies the bridge’s predicates as clearly as its power: a viable substantive claim, a</ns0:t>
      </ns0:r>
      <ns0:r>
        <ns0:t xml:space="preserve"> </ns0:t>
      </ns0:r>
      <ns0:r>
        <ns0:t xml:space="preserve">unique incident identifier, and a known intermediary with an existing identity record. A</ns0:t>
      </ns0:r>
      <ns0:r>
        <ns0:t xml:space="preserve"> </ns0:t>
      </ns0:r>
      <ns0:r>
        <ns0:t xml:space="preserve">fragmented deployment may lack the second or third predicate because the applicant sees only a</ns0:t>
      </ns0:r>
      <ns0:r>
        <ns0:t xml:space="preserve"> </ns0:t>
      </ns0:r>
      <ns0:r>
        <ns0:t xml:space="preserve">branded portal, the operator does not retain the feature or run identifier, or the intermediary itself</ns0:t>
      </ns0:r>
      <ns0:r>
        <ns0:t xml:space="preserve"> </ns0:t>
      </ns0:r>
      <ns0:r>
        <ns0:t xml:space="preserve">is hidden behind an integrator.</ns0:t>
      </ns0:r>
    </ns0:p>
    <ns0:p>
      <ns0:pPr>
        <ns0:pStyle ns0:val="BodyText"/>
      </ns0:pPr>
      <ns0:r>
        <ns0:t xml:space="preserve">Rule 27 occupies another useful but bounded lane. It permits a person expecting to become</ns0:t>
      </ns0:r>
      <ns0:r>
        <ns0:t xml:space="preserve"> </ns0:t>
      </ns0:r>
      <ns0:r>
        <ns0:t xml:space="preserve">a party to perpetuate testimony that risks being lost before an action can be filed. The petition</ns0:t>
      </ns0:r>
      <ns0:r>
        <ns0:t xml:space="preserve"> </ns0:t>
      </ns0:r>
      <ns0:r>
        <ns0:t xml:space="preserve">must state the facts the petitioner expects to establish and the substance of the testimony to be</ns0:t>
      </ns0:r>
      <ns0:r>
        <ns0:t xml:space="preserve"> </ns0:t>
      </ns0:r>
      <ns0:r>
        <ns0:t xml:space="preserve">preserved. Courts therefore distinguish perpetuation of known evidence from an investigation</ns0:t>
      </ns0:r>
      <ns0:r>
        <ns0:t xml:space="preserve"> </ns0:t>
      </ns0:r>
      <ns0:r>
        <ns0:t xml:space="preserve">designed to learn whether a cause of action exists or whom to sue. In</ns0:t>
      </ns0:r>
      <ns0:r>
        <ns0:t xml:space="preserve"> </ns0:t>
      </ns0:r>
      <ns0:r>
        <ns0:rPr>
          <ns0:i/>
          <ns0:iCs/>
        </ns0:rPr>
        <ns0:t xml:space="preserve">Workman v. United States</ns0:t>
      </ns0:r>
      <ns0:r>
        <ns0:rPr>
          <ns0:i/>
          <ns0:iCs/>
        </ns0:rPr>
        <ns0:t xml:space="preserve"> </ns0:t>
      </ns0:r>
      <ns0:r>
        <ns0:rPr>
          <ns0:i/>
          <ns0:iCs/>
        </ns0:rPr>
        <ns0:t xml:space="preserve">Postal Service</ns0:t>
      </ns0:r>
      <ns0:r>
        <ns0:t xml:space="preserve">, the Tenth Circuit affirmed denial of a petition that sought testimony to</ns0:t>
      </ns0:r>
      <ns0:r>
        <ns0:t xml:space="preserve"> </ns0:t>
      </ns0:r>
      <ns0:r>
        <ns0:t xml:space="preserve">determine whether a postal-facility fire supported a claim; lack of the evidence needed</ns0:t>
      </ns0:r>
      <ns0:r>
        <ns0:t xml:space="preserve"> </ns0:t>
      </ns0:r>
      <ns0:r>
        <ns0:t xml:space="preserve">to frame a complaint was not the inability to bring an action contemplated by Rule</ns0:t>
      </ns0:r>
      <ns0:r>
        <ns0:t xml:space="preserve"> </ns0:t>
      </ns0:r>
      <ns0:r>
        <ns0:t xml:space="preserve">27.</ns0:t>
      </ns0:r>
      <ns0:r>
        <ns0:rPr>
          <ns0:rStyle ns0:val="FootnoteReference"/>
        </ns0:rPr>
        <ns0:footnoteReference ns0:id="168"/>
      </ns0:r>
      <ns0:bookmarkStart ns0:id="170" ns0:name="x1-6019f10"/>
      <ns0:bookmarkEnd ns0:id="170"/>
      <ns0:r>
        <ns0:t xml:space="preserve"> </ns0:t>
      </ns0:r>
      <ns0:r>
        <ns0:t xml:space="preserve">A</ns0:t>
      </ns0:r>
      <ns0:r>
        <ns0:t xml:space="preserve"> </ns0:t>
      </ns0:r>
      <ns0:r>
        <ns0:t xml:space="preserve">deposition cannot supply an unknown model version or a deployment record that no witness or</ns0:t>
      </ns0:r>
      <ns0:r>
        <ns0:t xml:space="preserve"> </ns0:t>
      </ns0:r>
      <ns0:r>
        <ns0:t xml:space="preserve">enterprise created.</ns0:t>
      </ns0:r>
    </ns0:p>
    <ns0:p>
      <ns0:pPr>
        <ns0:pStyle ns0:val="BodyText"/>
      </ns0:pPr>
      <ns0:r>
        <ns0:t xml:space="preserve">Divided control creates a further limit within ordinary discovery. Rule 34 control</ns0:t>
      </ns0:r>
      <ns0:r>
        <ns0:t xml:space="preserve"> </ns0:t>
      </ns0:r>
      <ns0:r>
        <ns0:t xml:space="preserve">is a legal and organizational inquiry, not a synonym for technical hosting. The Ninth</ns0:t>
      </ns0:r>
      <ns0:r>
        <ns0:t xml:space="preserve"> </ns0:t>
      </ns0:r>
      <ns0:r>
        <ns0:t xml:space="preserve">Circuit has declined to treat cooperative affiliation as control when the responding entity</ns0:t>
      </ns0:r>
      <ns0:r>
        <ns0:t xml:space="preserve"> </ns0:t>
      </ns0:r>
      <ns0:r>
        <ns0:t xml:space="preserve">lacked a legal right to obtain an affiliate’s files on demand. The Eleventh Circuit, in a</ns0:t>
      </ns0:r>
      <ns0:r>
        <ns0:t xml:space="preserve"> </ns0:t>
      </ns0:r>
      <ns0:r>
        <ns0:t xml:space="preserve">different statutory proceeding and factual record, found control where affiliated entities</ns0:t>
      </ns0:r>
      <ns0:r>
        <ns0:t xml:space="preserve"> </ns0:t>
      </ns0:r>
      <ns0:r>
        <ns0:t xml:space="preserve">regularly shared responsive information and the recipient had the practical ability to obtain</ns0:t>
      </ns0:r>
      <ns0:r>
        <ns0:t xml:space="preserve"> </ns0:t>
      </ns0:r>
      <ns0:r>
        <ns0:t xml:space="preserve">it.</ns0:t>
      </ns0:r>
      <ns0:r>
        <ns0:rPr>
          <ns0:rStyle ns0:val="FootnoteReference"/>
        </ns0:rPr>
        <ns0:footnoteReference ns0:id="174"/>
      </ns0:r>
      <ns0:bookmarkStart ns0:id="175" ns0:name="x1-6024f11"/>
      <ns0:bookmarkEnd ns0:id="175"/>
      <ns0:r>
        <ns0:t xml:space="preserve"> </ns0:t>
      </ns0:r>
      <ns0:r>
        <ns0:t xml:space="preserve">Those outcomes properly depend on contract and practice. They also show why a visible operator</ns0:t>
      </ns0:r>
      <ns0:r>
        <ns0:t xml:space="preserve"> </ns0:t>
      </ns0:r>
      <ns0:r>
        <ns0:t xml:space="preserve">should retain the minimum record locally and obtain a contractual right to retrieve defined</ns0:t>
      </ns0:r>
      <ns0:r>
        <ns0:t xml:space="preserve"> </ns0:t>
      </ns0:r>
      <ns0:r>
        <ns0:t xml:space="preserve">provenance and event fields from a supplier. Otherwise the vendor may physically host the data</ns0:t>
      </ns0:r>
      <ns0:r>
        <ns0:t xml:space="preserve"> </ns0:t>
      </ns0:r>
      <ns0:r>
        <ns0:t xml:space="preserve">while the customer legally controls it, leaving each able to identify the other as the proper</ns0:t>
      </ns0:r>
      <ns0:r>
        <ns0:t xml:space="preserve"> </ns0:t>
      </ns0:r>
      <ns0:r>
        <ns0:t xml:space="preserve">source.</ns0:t>
      </ns0:r>
    </ns0:p>
    <ns0:p>
      <ns0:pPr>
        <ns0:pStyle ns0:val="BodyText"/>
      </ns0:pPr>
      <ns0:r>
        <ns0:t xml:space="preserve">Doe pleading and later amendment preserve some claims but do not create a national</ns0:t>
      </ns0:r>
      <ns0:r>
        <ns0:t xml:space="preserve"> </ns0:t>
      </ns0:r>
      <ns0:r>
        <ns0:t xml:space="preserve">limitations safety net. Rule 15(c)(1)(C) requires timely notice to the added party and knowledge</ns0:t>
      </ns0:r>
      <ns0:r>
        <ns0:t xml:space="preserve"> </ns0:t>
      </ns0:r>
      <ns0:r>
        <ns0:t xml:space="preserve">that, but for a mistake concerning identity, the action would have been brought against it.</ns0:t>
      </ns0:r>
      <ns0:r>
        <ns0:t xml:space="preserve"> </ns0:t>
      </ns0:r>
      <ns0:r>
        <ns0:rPr>
          <ns0:i/>
          <ns0:iCs/>
        </ns0:rPr>
        <ns0:t xml:space="preserve">Krupski</ns0:t>
      </ns0:r>
      <ns0:r>
        <ns0:t xml:space="preserve"> </ns0:t>
      </ns0:r>
      <ns0:r>
        <ns0:t xml:space="preserve">treats the prospective defendant’s knowledge as central and recognizes that confusion over the</ns0:t>
      </ns0:r>
      <ns0:r>
        <ns0:t xml:space="preserve"> </ns0:t>
      </ns0:r>
      <ns0:r>
        <ns0:t xml:space="preserve">roles of related, known entities can constitute a mistake. Courts can distinguish that</ns0:t>
      </ns0:r>
      <ns0:r>
        <ns0:t xml:space="preserve"> </ns0:t>
      </ns0:r>
      <ns0:r>
        <ns0:t xml:space="preserve">situation from complete ignorance of an upstream actor. In</ns0:t>
      </ns0:r>
      <ns0:r>
        <ns0:t xml:space="preserve"> </ns0:t>
      </ns0:r>
      <ns0:r>
        <ns0:rPr>
          <ns0:i/>
          <ns0:iCs/>
        </ns0:rPr>
        <ns0:t xml:space="preserve">Winzer</ns0:t>
      </ns0:r>
      <ns0:r>
        <ns0:t xml:space="preserve">, the Fifth Circuit held</ns0:t>
      </ns0:r>
      <ns0:r>
        <ns0:t xml:space="preserve"> </ns0:t>
      </ns0:r>
      <ns0:r>
        <ns0:t xml:space="preserve">that substituting named officers for Doe defendants after limitations expired did not</ns0:t>
      </ns0:r>
      <ns0:r>
        <ns0:t xml:space="preserve"> </ns0:t>
      </ns0:r>
      <ns0:r>
        <ns0:t xml:space="preserve">correct a Rule 15 mistake. Rule 15(c)(1)(A) can incorporate a more forgiving state</ns0:t>
      </ns0:r>
      <ns0:r>
        <ns0:t xml:space="preserve"> </ns0:t>
      </ns0:r>
      <ns0:r>
        <ns0:t xml:space="preserve">relation-back rule, but that route depends on the law governing limitations and the state’s own</ns0:t>
      </ns0:r>
      <ns0:r>
        <ns0:t xml:space="preserve"> </ns0:t>
      </ns0:r>
      <ns0:r>
        <ns0:t xml:space="preserve">conditions.</ns0:t>
      </ns0:r>
      <ns0:r>
        <ns0:rPr>
          <ns0:rStyle ns0:val="FootnoteReference"/>
        </ns0:rPr>
        <ns0:footnoteReference ns0:id="179"/>
      </ns0:r>
      <ns0:bookmarkStart ns0:id="182" ns0:name="x1-6028f12"/>
      <ns0:bookmarkEnd ns0:id="182"/>
      <ns0:r>
        <ns0:t xml:space="preserve"> </ns0:t>
      </ns0:r>
      <ns0:r>
        <ns0:t xml:space="preserve">A deployment statute can address the timing problem directly for claims within the enacting</ns0:t>
      </ns0:r>
      <ns0:r>
        <ns0:t xml:space="preserve"> </ns0:t>
      </ns0:r>
      <ns0:r>
        <ns0:t xml:space="preserve">legislature’s authority by tolling the applicable period while a compliant identity request is</ns0:t>
      </ns0:r>
      <ns0:r>
        <ns0:t xml:space="preserve"> </ns0:t>
      </ns0:r>
      <ns0:r>
        <ns0:t xml:space="preserve">pending. Amendment and relation back in a later federal action remain governed by Rule</ns0:t>
      </ns0:r>
      <ns0:r>
        <ns0:t xml:space="preserve"> </ns0:t>
      </ns0:r>
      <ns0:r>
        <ns0:t xml:space="preserve">15.</ns0:t>
      </ns0:r>
    </ns0:p>
    <ns0:p>
      <ns0:pPr>
        <ns0:pStyle ns0:val="BodyText"/>
      </ns0:pPr>
      <ns0:r>
        <ns0:t xml:space="preserve">State pre-suit proceedings confirm that a narrow identity stage is administrable while</ns0:t>
      </ns0:r>
      <ns0:r>
        <ns0:t xml:space="preserve"> </ns0:t>
      </ns0:r>
      <ns0:r>
        <ns0:t xml:space="preserve">revealing the absence of a uniform route. Illinois Rule 224 authorizes an independent verified</ns0:t>
      </ns0:r>
      <ns0:r>
        <ns0:t xml:space="preserve"> </ns0:t>
      </ns0:r>
      <ns0:r>
        <ns0:t xml:space="preserve">action limited to identifying a potentially responsible person or entity and ordinarily</ns0:t>
      </ns0:r>
      <ns0:r>
        <ns0:t xml:space="preserve"> </ns0:t>
      </ns0:r>
      <ns0:r>
        <ns0:t xml:space="preserve">ends the proceeding after identification. Texas Rule 202 permits a verified petition to</ns0:t>
      </ns0:r>
      <ns0:r>
        <ns0:t xml:space="preserve"> </ns0:t>
      </ns0:r>
      <ns0:r>
        <ns0:t xml:space="preserve">investigate a potential claim when the likely benefit outweighs burden or when perpetuation</ns0:t>
      </ns0:r>
      <ns0:r>
        <ns0:t xml:space="preserve"> </ns0:t>
      </ns0:r>
      <ns0:r>
        <ns0:t xml:space="preserve">may prevent a failure or delay of justice. New York authorizes disclosure to aid</ns0:t>
      </ns0:r>
      <ns0:r>
        <ns0:t xml:space="preserve"> </ns0:t>
      </ns0:r>
      <ns0:r>
        <ns0:t xml:space="preserve">in bringing an action. California’s perpetuation statute takes the opposite approach:</ns0:t>
      </ns0:r>
      <ns0:r>
        <ns0:t xml:space="preserve"> </ns0:t>
      </ns0:r>
      <ns0:r>
        <ns0:t xml:space="preserve">it expressly excludes discovery to determine whether a claim exists or to identify</ns0:t>
      </ns0:r>
      <ns0:r>
        <ns0:t xml:space="preserve"> </ns0:t>
      </ns0:r>
      <ns0:r>
        <ns0:t xml:space="preserve">parties.</ns0:t>
      </ns0:r>
      <ns0:r>
        <ns0:rPr>
          <ns0:rStyle ns0:val="FootnoteReference"/>
        </ns0:rPr>
        <ns0:footnoteReference ns0:id="186"/>
      </ns0:r>
      <ns0:bookmarkStart ns0:id="190" ns0:name="x1-6034f13"/>
      <ns0:bookmarkEnd ns0:id="190"/>
      <ns0:r>
        <ns0:t xml:space="preserve"> </ns0:t>
      </ns0:r>
      <ns0:r>
        <ns0:t xml:space="preserve">These systems provide design elements—verification, a closed purpose, burden review, a short</ns0:t>
      </ns0:r>
      <ns0:r>
        <ns0:t xml:space="preserve"> </ns0:t>
      </ns0:r>
      <ns0:r>
        <ns0:t xml:space="preserve">proceeding, and cost allocation—rather than an existing federal solution.</ns0:t>
      </ns0:r>
    </ns0:p>
    <ns0:p>
      <ns0:pPr>
        <ns0:pStyle ns0:val="BodyText"/>
      </ns0:pPr>
      <ns0:r>
        <ns0:t xml:space="preserve">The doctrinal sequence thus defines the proposal’s consequential job. Ordinary discovery</ns0:t>
      </ns0:r>
      <ns0:r>
        <ns0:t xml:space="preserve"> </ns0:t>
      </ns0:r>
      <ns0:r>
        <ns0:t xml:space="preserve">can test the merits once the litigation gateway is open. The deployment front door supplies the</ns0:t>
      </ns0:r>
      <ns0:r>
        <ns0:t xml:space="preserve"> </ns0:t>
      </ns0:r>
      <ns0:r>
        <ns0:t xml:space="preserve">identity, minimum record, and control map needed to reach that gateway, and it makes those</ns0:t>
      </ns0:r>
      <ns0:r>
        <ns0:t xml:space="preserve"> </ns0:t>
      </ns0:r>
      <ns0:r>
        <ns0:t xml:space="preserve">facts available before limitations, deletion, and divided custody determine the case’s</ns0:t>
      </ns0:r>
      <ns0:r>
        <ns0:t xml:space="preserve"> </ns0:t>
      </ns0:r>
      <ns0:r>
        <ns0:t xml:space="preserve">trajectory.</ns0:t>
      </ns0:r>
    </ns0:p>
    <ns0:bookmarkEnd ns0:id="191"/>
    <ns0:bookmarkStart ns0:id="212" ns0:name="Xab8175e220738ba490249d3c1f68399b6f12eb5"/>
    <ns0:p>
      <ns0:pPr>
        <ns0:pStyle ns0:val="Heading4"/>
      </ns0:pPr>
      <ns0:r>
        <ns0:t xml:space="preserve">D</ns0:t>
      </ns0:r>
      <ns0:r>
        <ns0:t xml:space="preserve"> </ns0:t>
      </ns0:r>
      <ns0:r>
        <ns0:t xml:space="preserve"> </ns0:t>
      </ns0:r>
      <ns0:bookmarkStart ns0:id="192" ns0:name="x1-7000D"/>
      <ns0:bookmarkEnd ns0:id="192"/>
      <ns0:r>
        <ns0:t xml:space="preserve">Existing Evidence Rights Need a Deployment Front End</ns0:t>
      </ns0:r>
    </ns0:p>
    <ns0:p>
      <ns0:pPr>
        <ns0:pStyle ns0:val="FirstParagraph"/>
      </ns0:pPr>
      <ns0:r>
        <ns0:t xml:space="preserve">Evidence-access scholarship now reaches both sides of litigation’s filing line. Stewart’s</ns0:t>
      </ns0:r>
      <ns0:r>
        <ns0:t xml:space="preserve"> </ns0:t>
      </ns0:r>
      <ns0:r>
        <ns0:t xml:space="preserve">counterfactual-interrogation right would let a person affected by a known adverse algorithmic</ns0:t>
      </ns0:r>
      <ns0:r>
        <ns0:t xml:space="preserve"> </ns0:t>
      </ns0:r>
      <ns0:r>
        <ns0:t xml:space="preserve">decision generate behavioral evidence before filing suit. The organization would supply a bounded</ns0:t>
      </ns0:r>
      <ns0:r>
        <ns0:t xml:space="preserve"> </ns0:t>
      </ns0:r>
      <ns0:r>
        <ns0:t xml:space="preserve">interface using the decision-time model version, supported by logging and retention</ns0:t>
      </ns0:r>
      <ns0:r>
        <ns0:t xml:space="preserve"> </ns0:t>
      </ns0:r>
      <ns0:r>
        <ns0:t xml:space="preserve">duties.</ns0:t>
      </ns0:r>
      <ns0:r>
        <ns0:rPr>
          <ns0:rStyle ns0:val="FootnoteReference"/>
        </ns0:rPr>
        <ns0:footnoteReference ns0:id="196"/>
      </ns0:r>
      <ns0:bookmarkStart ns0:id="196" ns0:name="x1-7001f14"/>
      <ns0:bookmarkEnd ns0:id="196"/>
      <ns0:r>
        <ns0:t xml:space="preserve"> </ns0:t>
      </ns0:r>
      <ns0:r>
        <ns0:t xml:space="preserve">This is the nearest pre-litigation intervention. It begins, however, with an identified adverse</ns0:t>
      </ns0:r>
      <ns0:r>
        <ns0:t xml:space="preserve"> </ns0:t>
      </ns0:r>
      <ns0:r>
        <ns0:t xml:space="preserve">decision, an organization capable of furnishing the testing portal, and a model linked to the</ns0:t>
      </ns0:r>
      <ns0:r>
        <ns0:t xml:space="preserve"> </ns0:t>
      </ns0:r>
      <ns0:r>
        <ns0:t xml:space="preserve">decision. The front door constructs the identity and routing predicates that a divided deployment</ns0:t>
      </ns0:r>
      <ns0:r>
        <ns0:t xml:space="preserve"> </ns0:t>
      </ns0:r>
      <ns0:r>
        <ns0:t xml:space="preserve">may conceal: whether a covered feature participated, which product and version ran, which entities</ns0:t>
      </ns0:r>
      <ns0:r>
        <ns0:t xml:space="preserve"> </ns0:t>
      </ns0:r>
      <ns0:r>
        <ns0:t xml:space="preserve">supplied and operated it, and who can retrieve the event record. Once Stage One supplies</ns0:t>
      </ns0:r>
      <ns0:r>
        <ns0:t xml:space="preserve"> </ns0:t>
      </ns0:r>
      <ns0:r>
        <ns0:t xml:space="preserve">that map, counterfactual interrogation can operate as one bounded form of Stage Two</ns0:t>
      </ns0:r>
      <ns0:r>
        <ns0:t xml:space="preserve"> </ns0:t>
      </ns0:r>
      <ns0:r>
        <ns0:t xml:space="preserve">testing.</ns0:t>
      </ns0:r>
    </ns0:p>
    <ns0:p>
      <ns0:pPr>
        <ns0:pStyle ns0:val="BodyText"/>
      </ns0:pPr>
      <ns0:r>
        <ns0:t xml:space="preserve">Cen, Ismael, and Zheng address the complementary access dispute. They identify seven</ns0:t>
      </ns0:r>
      <ns0:r>
        <ns0:t xml:space="preserve"> </ns0:t>
      </ns0:r>
      <ns0:r>
        <ns0:t xml:space="preserve">recurring asymmetries—models, data, documentation, logs, expertise, compute, and</ns0:t>
      </ns0:r>
      <ns0:r>
        <ns0:t xml:space="preserve"> </ns0:t>
      </ns0:r>
      <ns0:r>
        <ns0:t xml:space="preserve">infrastructure—and describe a Catch-22 in which the requester needs evidence to justify</ns0:t>
      </ns0:r>
      <ns0:r>
        <ns0:t xml:space="preserve"> </ns0:t>
      </ns0:r>
      <ns0:r>
        <ns0:t xml:space="preserve">access while the producing party controls the evidence needed to make that showing.</ns0:t>
      </ns0:r>
      <ns0:r>
        <ns0:t xml:space="preserve"> </ns0:t>
      </ns0:r>
      <ns0:r>
        <ns0:t xml:space="preserve">Their three-part test compares the benefits and risks of requested access, the minimum</ns0:t>
      </ns0:r>
      <ns0:r>
        <ns0:t xml:space="preserve"> </ns0:t>
      </ns0:r>
      <ns0:r>
        <ns0:t xml:space="preserve">access needed to reproduce elements of the cause of action, and functionally equivalent</ns0:t>
      </ns0:r>
      <ns0:r>
        <ns0:t xml:space="preserve"> </ns0:t>
      </ns0:r>
      <ns0:r>
        <ns0:t xml:space="preserve">alternatives.</ns0:t>
      </ns0:r>
      <ns0:r>
        <ns0:rPr>
          <ns0:rStyle ns0:val="FootnoteReference"/>
        </ns0:rPr>
        <ns0:footnoteReference ns0:id="200"/>
      </ns0:r>
      <ns0:bookmarkStart ns0:id="200" ns0:name="x1-7004f15"/>
      <ns0:bookmarkEnd ns0:id="200"/>
      <ns0:r>
        <ns0:t xml:space="preserve"> </ns0:t>
      </ns0:r>
      <ns0:r>
        <ns0:t xml:space="preserve">That framework helps a court decide</ns0:t>
      </ns0:r>
      <ns0:r>
        <ns0:t xml:space="preserve"> </ns0:t>
      </ns0:r>
      <ns0:r>
        <ns0:rPr>
          <ns0:i/>
          <ns0:iCs/>
        </ns0:rPr>
        <ns0:t xml:space="preserve">how much</ns0:t>
      </ns0:r>
      <ns0:r>
        <ns0:rPr>
          <ns0:i/>
          <ns0:iCs/>
        </ns0:rPr>
        <ns0:t xml:space="preserve"> </ns0:t>
      </ns0:r>
      <ns0:r>
        <ns0:t xml:space="preserve">existing evidence an identified producing party</ns0:t>
      </ns0:r>
      <ns0:r>
        <ns0:t xml:space="preserve"> </ns0:t>
      </ns0:r>
      <ns0:r>
        <ns0:t xml:space="preserve">should disclose. Stage One supplies the deployment, event, custodian, and control map; Stage Two</ns0:t>
      </ns0:r>
      <ns0:r>
        <ns0:t xml:space="preserve"> </ns0:t>
      </ns0:r>
      <ns0:r>
        <ns0:t xml:space="preserve">can then use ordinary proportionality, protective orders, access alternatives, and the Cen</ns0:t>
      </ns0:r>
      <ns0:r>
        <ns0:t xml:space="preserve"> </ns0:t>
      </ns0:r>
      <ns0:r>
        <ns0:t xml:space="preserve">framework on a claim-specific record.</ns0:t>
      </ns0:r>
    </ns0:p>
    <ns0:p>
      <ns0:pPr>
        <ns0:pStyle ns0:val="BodyText"/>
      </ns0:pPr>
      <ns0:r>
        <ns0:t xml:space="preserve">Other work specifies adjacent components without supplying this claimant-facing route.</ns0:t>
      </ns0:r>
      <ns0:r>
        <ns0:t xml:space="preserve"> </ns0:t>
      </ns0:r>
      <ns0:r>
        <ns0:t xml:space="preserve">García-Llorente and Olmeda propose a minimum technical-evidence package for sufficient</ns0:t>
      </ns0:r>
      <ns0:r>
        <ns0:t xml:space="preserve"> </ns0:t>
      </ns0:r>
      <ns0:r>
        <ns0:t xml:space="preserve">intelligibility and auditability; procurement scholarship treats the contract file as a governance</ns0:t>
      </ns0:r>
      <ns0:r>
        <ns0:t xml:space="preserve"> </ns0:t>
      </ns0:r>
      <ns0:r>
        <ns0:t xml:space="preserve">record; and organizational research shows that accountability records can change the conduct they</ns0:t>
      </ns0:r>
      <ns0:r>
        <ns0:t xml:space="preserve"> </ns0:t>
      </ns0:r>
      <ns0:r>
        <ns0:t xml:space="preserve">observe.</ns0:t>
      </ns0:r>
      <ns0:r>
        <ns0:rPr>
          <ns0:rStyle ns0:val="FootnoteReference"/>
        </ns0:rPr>
        <ns0:footnoteReference ns0:id="204"/>
      </ns0:r>
      <ns0:bookmarkStart ns0:id="207" ns0:name="x1-7007f16"/>
      <ns0:bookmarkEnd ns0:id="207"/>
      <ns0:r>
        <ns0:t xml:space="preserve"> </ns0:t>
      </ns0:r>
      <ns0:r>
        <ns0:t xml:space="preserve">Those contributions inform what a useful record may contain and how its costs should be</ns0:t>
      </ns0:r>
      <ns0:r>
        <ns0:t xml:space="preserve"> </ns0:t>
      </ns0:r>
      <ns0:r>
        <ns0:t xml:space="preserve">controlled. The front door supplies the legal sequence that makes the record reachable by an</ns0:t>
      </ns0:r>
      <ns0:r>
        <ns0:t xml:space="preserve"> </ns0:t>
      </ns0:r>
      <ns0:r>
        <ns0:t xml:space="preserve">affected person without treating the procurement contract or technical package as the source of the</ns0:t>
      </ns0:r>
      <ns0:r>
        <ns0:t xml:space="preserve"> </ns0:t>
      </ns0:r>
      <ns0:r>
        <ns0:t xml:space="preserve">entitlement.</ns0:t>
      </ns0:r>
    </ns0:p>
    <ns0:p>
      <ns0:pPr>
        <ns0:pStyle ns0:val="BodyText"/>
      </ns0:pPr>
      <ns0:r>
        <ns0:t xml:space="preserve">A 2026 systematic study of 559 federal opinions further finds that</ns0:t>
      </ns0:r>
      <ns0:r>
        <ns0:t xml:space="preserve"> </ns0:t>
      </ns0:r>
      <ns0:r>
        <ns0:t xml:space="preserve">courts principally use preexisting doctrines to resolve disputes involving AI</ns0:t>
      </ns0:r>
      <ns0:r>
        <ns0:t xml:space="preserve"> </ns0:t>
      </ns0:r>
      <ns0:r>
        <ns0:t xml:space="preserve">and that the set of litigated harms is shaped by which injuries existing law</ns0:t>
      </ns0:r>
      <ns0:r>
        <ns0:t xml:space="preserve"> </ns0:t>
      </ns0:r>
      <ns0:r>
        <ns0:t xml:space="preserve">recognizes.</ns0:t>
      </ns0:r>
      <ns0:r>
        <ns0:rPr>
          <ns0:rStyle ns0:val="FootnoteReference"/>
        </ns0:rPr>
        <ns0:footnoteReference ns0:id="211"/>
      </ns0:r>
      <ns0:bookmarkStart ns0:id="211" ns0:name="x1-7012f17"/>
      <ns0:bookmarkEnd ns0:id="211"/>
      <ns0:r>
        <ns0:t xml:space="preserve"> </ns0:t>
      </ns0:r>
      <ns0:r>
        <ns0:t xml:space="preserve">That evidence supports the Article’s ordinary-law premise while sharpening its institutional</ns0:t>
      </ns0:r>
      <ns0:r>
        <ns0:t xml:space="preserve"> </ns0:t>
      </ns0:r>
      <ns0:r>
        <ns0:t xml:space="preserve">contribution. The front door is the positive-law routing and record-formation layer:</ns0:t>
      </ns0:r>
      <ns0:r>
        <ns0:t xml:space="preserve"> </ns0:t>
      </ns0:r>
      <ns0:r>
        <ns0:t xml:space="preserve">visible operator, bounded first answer, ex ante deployment record, material-control</ns0:t>
      </ns0:r>
      <ns0:r>
        <ns0:t xml:space="preserve"> </ns0:t>
      </ns0:r>
      <ns0:r>
        <ns0:t xml:space="preserve">allocation, staged access, safe exit, and merits firewall. It lets testing and ordinary procedure</ns0:t>
      </ns0:r>
      <ns0:r>
        <ns0:t xml:space="preserve"> </ns0:t>
      </ns0:r>
      <ns0:r>
        <ns0:t xml:space="preserve">operate on a known deployment without claiming a new general law of evidence or AI</ns0:t>
      </ns0:r>
      <ns0:r>
        <ns0:t xml:space="preserve"> </ns0:t>
      </ns0:r>
      <ns0:r>
        <ns0:t xml:space="preserve">liability.</ns0:t>
      </ns0:r>
    </ns0:p>
    <ns0:bookmarkEnd ns0:id="212"/>
    <ns0:bookmarkStart ns0:id="229" ns0:name="the-cascade-specifies-the-missing-record"/>
    <ns0:p>
      <ns0:pPr>
        <ns0:pStyle ns0:val="Heading4"/>
      </ns0:pPr>
      <ns0:r>
        <ns0:t xml:space="preserve">E</ns0:t>
      </ns0:r>
      <ns0:r>
        <ns0:t xml:space="preserve"> </ns0:t>
      </ns0:r>
      <ns0:r>
        <ns0:t xml:space="preserve"> </ns0:t>
      </ns0:r>
      <ns0:bookmarkStart ns0:id="213" ns0:name="x1-8000E"/>
      <ns0:bookmarkEnd ns0:id="213"/>
      <ns0:r>
        <ns0:t xml:space="preserve">The Cascade Specifies the Missing Record</ns0:t>
      </ns0:r>
    </ns0:p>
    <ns0:p>
      <ns0:pPr>
        <ns0:pStyle ns0:val="FirstParagraph"/>
      </ns0:pPr>
      <ns0:r>
        <ns0:t xml:space="preserve">The deployment-control cascade is a disciplined way to define those predicates. Adapted from</ns0:t>
      </ns0:r>
      <ns0:r>
        <ns0:t xml:space="preserve"> </ns0:t>
      </ns0:r>
      <ns0:r>
        <ns0:t xml:space="preserve">systems-safety analysis, it represents an AI deployment as linked controllers, control</ns0:t>
      </ns0:r>
      <ns0:r>
        <ns0:t xml:space="preserve"> </ns0:t>
      </ns0:r>
      <ns0:r>
        <ns0:t xml:space="preserve">actions, process models, feedback channels, and intervention capacity. Systems-theoretic</ns0:t>
      </ns0:r>
      <ns0:r>
        <ns0:t xml:space="preserve"> </ns0:t>
      </ns0:r>
      <ns0:r>
        <ns0:t xml:space="preserve">methods treat loss as a control problem that can arise from an absent constraint,</ns0:t>
      </ns0:r>
      <ns0:r>
        <ns0:t xml:space="preserve"> </ns0:t>
      </ns0:r>
      <ns0:r>
        <ns0:t xml:space="preserve">unsafe action, inadequate feedback, or a controller’s mistaken model of the operating</ns0:t>
      </ns0:r>
      <ns0:r>
        <ns0:t xml:space="preserve"> </ns0:t>
      </ns0:r>
      <ns0:r>
        <ns0:t xml:space="preserve">environment.</ns0:t>
      </ns0:r>
      <ns0:r>
        <ns0:rPr>
          <ns0:rStyle ns0:val="FootnoteReference"/>
        </ns0:rPr>
        <ns0:footnoteReference ns0:id="217"/>
      </ns0:r>
      <ns0:bookmarkStart ns0:id="221" ns0:name="x1-8001f18"/>
      <ns0:bookmarkEnd ns0:id="221"/>
      <ns0:r>
        <ns0:t xml:space="preserve"> </ns0:t>
      </ns0:r>
      <ns0:r>
        <ns0:t xml:space="preserve">The cascade uses that vocabulary only to specify contestable evidence. Governing law assigns duty,</ns0:t>
      </ns0:r>
      <ns0:r>
        <ns0:t xml:space="preserve"> </ns0:t>
      </ns0:r>
      <ns0:r>
        <ns0:t xml:space="preserve">fault, causation, defenses, and remedy.</ns0:t>
      </ns0:r>
    </ns0:p>
    <ns0:p>
      <ns0:pPr>
        <ns0:pStyle ns0:val="BodyText"/>
      </ns0:pPr>
      <ns0:r>
        <ns0:t xml:space="preserve">Four functional levels provide a reusable map for the integrated and divided deployments</ns0:t>
      </ns0:r>
      <ns0:r>
        <ns0:t xml:space="preserve"> </ns0:t>
      </ns0:r>
      <ns0:r>
        <ns0:t xml:space="preserve">addressed here:</ns0:t>
      </ns0:r>
    </ns0:p>
    <ns0:p>
      <ns0:pPr>
        <ns0:pStyle ns0:val="DefinitionTerm"/>
      </ns0:pPr>
      <ns0:r>
        <ns0:t xml:space="preserve">1.</ns0:t>
      </ns0:r>
    </ns0:p>
    <ns0:p>
      <ns0:pPr>
        <ns0:pStyle ns0:val="Definition"/>
      </ns0:pPr>
      <ns0:r>
        <ns0:rPr>
          <ns0:i/>
          <ns0:iCs/>
        </ns0:rPr>
        <ns0:t xml:space="preserve">authority and resources</ns0:t>
      </ns0:r>
      <ns0:r>
        <ns0:t xml:space="preserve">: the actors who set objectives, risk tolerance, staffing, compute,</ns0:t>
      </ns0:r>
      <ns0:r>
        <ns0:t xml:space="preserve"> </ns0:t>
      </ns0:r>
      <ns0:r>
        <ns0:t xml:space="preserve">data access, and release conditions;</ns0:t>
      </ns0:r>
    </ns0:p>
    <ns0:p>
      <ns0:pPr>
        <ns0:pStyle ns0:val="DefinitionTerm"/>
      </ns0:pPr>
      <ns0:r>
        <ns0:t xml:space="preserve">2.</ns0:t>
      </ns0:r>
    </ns0:p>
    <ns0:p>
      <ns0:pPr>
        <ns0:pStyle ns0:val="Definition"/>
      </ns0:pPr>
      <ns0:r>
        <ns0:rPr>
          <ns0:i/>
          <ns0:iCs/>
        </ns0:rPr>
        <ns0:t xml:space="preserve">model and component supply</ns0:t>
      </ns0:r>
      <ns0:r>
        <ns0:t xml:space="preserve">: the actors who develop or select models, document limits,</ns0:t>
      </ns0:r>
      <ns0:r>
        <ns0:t xml:space="preserve"> </ns0:t>
      </ns0:r>
      <ns0:r>
        <ns0:t xml:space="preserve">conduct evaluations, issue updates, and supply interfaces or weights;</ns0:t>
      </ns0:r>
    </ns0:p>
    <ns0:p>
      <ns0:pPr>
        <ns0:pStyle ns0:val="DefinitionTerm"/>
      </ns0:pPr>
      <ns0:r>
        <ns0:t xml:space="preserve">3.</ns0:t>
      </ns0:r>
    </ns0:p>
    <ns0:p>
      <ns0:pPr>
        <ns0:pStyle ns0:val="Definition"/>
      </ns0:pPr>
      <ns0:r>
        <ns0:rPr>
          <ns0:i/>
          <ns0:iCs/>
        </ns0:rPr>
        <ns0:t xml:space="preserve">deployment and harness operation</ns0:t>
      </ns0:r>
      <ns0:r>
        <ns0:t xml:space="preserve">: the actors who select instructions, retrieval, memory,</ns0:t>
      </ns0:r>
      <ns0:r>
        <ns0:t xml:space="preserve"> </ns0:t>
      </ns0:r>
      <ns0:r>
        <ns0:t xml:space="preserve">filters, routing, tools, credentials, eligible users, monitoring, and escalation; and</ns0:t>
      </ns0:r>
    </ns0:p>
    <ns0:p>
      <ns0:pPr>
        <ns0:pStyle ns0:val="DefinitionTerm"/>
      </ns0:pPr>
      <ns0:r>
        <ns0:t xml:space="preserve">4.</ns0:t>
      </ns0:r>
    </ns0:p>
    <ns0:p>
      <ns0:pPr>
        <ns0:pStyle ns0:val="Definition"/>
      </ns0:pPr>
      <ns0:r>
        <ns0:rPr>
          <ns0:i/>
          <ns0:iCs/>
        </ns0:rPr>
        <ns0:t xml:space="preserve">the affected environment</ns0:t>
      </ns0:r>
      <ns0:r>
        <ns0:t xml:space="preserve">: operators, users, data subjects, third-party systems, and</ns0:t>
      </ns0:r>
      <ns0:r>
        <ns0:t xml:space="preserve"> </ns0:t>
      </ns0:r>
      <ns0:r>
        <ns0:t xml:space="preserve">institutional conditions that supply inputs and experience effects.</ns0:t>
      </ns0:r>
    </ns0:p>
    <ns0:p>
      <ns0:pPr>
        <ns0:pStyle ns0:val="FirstParagraph"/>
      </ns0:pPr>
      <ns0:r>
        <ns0:t xml:space="preserve">These are roles rather than four firms. One enterprise can occupy the first three levels in</ns0:t>
      </ns0:r>
      <ns0:r>
        <ns0:t xml:space="preserve"> </ns0:t>
      </ns0:r>
      <ns0:r>
        <ns0:t xml:space="preserve">an integrated service. An API deployment may divide them among a model vendor,</ns0:t>
      </ns0:r>
      <ns0:r>
        <ns0:t xml:space="preserve"> </ns0:t>
      </ns0:r>
      <ns0:r>
        <ns0:t xml:space="preserve">application developer, enterprise customer, and professional user. A public agency can set the</ns0:t>
      </ns0:r>
      <ns0:r>
        <ns0:t xml:space="preserve"> </ns0:t>
      </ns0:r>
      <ns0:r>
        <ns0:t xml:space="preserve">legal objective and use of a score while a contractor supplies and updates the model.</ns0:t>
      </ns0:r>
      <ns0:r>
        <ns0:t xml:space="preserve"> </ns0:t>
      </ns0:r>
      <ns0:r>
        <ns0:t xml:space="preserve">The map prevents a corporate label or contract caption from substituting for actual</ns0:t>
      </ns0:r>
      <ns0:r>
        <ns0:t xml:space="preserve"> </ns0:t>
      </ns0:r>
      <ns0:r>
        <ns0:t xml:space="preserve">function.</ns0:t>
      </ns0:r>
    </ns0:p>
    <ns0:bookmarkStart ns0:id="226" ns0:name="x1-80101"/>
    <ns0:tbl>
      <ns0:tblPr>
        <ns0:tblStyle ns0:val="FigureTable"/>
        <ns0:tblW ns0:type="dxa" ns0:w="9000"/>
        <ns0:jc ns0:val="center"/>
        <ns0:tblLayout ns0:type="fixed"/>
        <ns0:tblLook ns0:firstRow="0" ns0:lastRow="0" ns0:firstColumn="0" ns0:lastColumn="0"/>
      </ns0:tblPr>
      <ns0:tblGrid>
        <ns0:gridCol ns0:w="9000"/>
      </ns0:tblGrid>
      <ns0:tr>
        <ns0:trPr>
          <ns0:cantSplit/>
        </ns0:trPr>
        <ns0:tc>
          <ns0:tcPr>
            <ns0:tcW ns0:type="dxa" ns0:w="9000"/>
            <ns0:vAlign ns0:val="center"/>
          </ns0:tcPr>
          <ns0:p>
            <ns0:pPr>
              <ns0:jc ns0:val="center"/>
            </ns0:pPr>
            <ns0:bookmarkStart ns0:id="222" ns0:name="Xe149883a8d67100c0eced09bad61029d3596ad1"/>
            <ns0:bookmarkEnd ns0:id="222"/>
            <ns0:r>
              <ns0:drawing>
                <ns1:inline>
                  <ns1:extent cx="5257800" cy="4009919"/>
                  <ns1:effectExtent b="0" l="0" r="0" t="0"/>
                  <ns1:docPr descr="[Picture]" title="" id="224" name="Picture"/>
                  <ns2:graphic>
                    <ns2:graphicData uri="http://schemas.openxmlformats.org/drawingml/2006/picture">
                      <ns3:pic>
                        <ns3:nvPicPr>
                          <ns3:cNvPr descr="what-is-ai-for-courts0x.svg.png" id="225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223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257800" cy="4009919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ns0:drawing>
            </ns0:r>
          </ns0:p>
        </ns0:tc>
      </ns0:tr>
    </ns0:tbl>
    <ns0:p>
      <ns0:pPr>
        <ns0:pStyle ns0:val="ImageCaption"/>
      </ns0:pPr>
      <ns0:r>
        <ns0:t xml:space="preserve">Figure 1:</ns0:t>
      </ns0:r>
      <ns0:r>
        <ns0:t xml:space="preserve"> </ns0:t>
      </ns0:r>
      <ns0:r>
        <ns0:t xml:space="preserve">The deployment-control cascade as a record specification. Solid arrows carry</ns0:t>
      </ns0:r>
      <ns0:r>
        <ns0:t xml:space="preserve"> </ns0:t>
      </ns0:r>
      <ns0:r>
        <ns0:t xml:space="preserve">authority, resources, components, and operational actions toward the affected environment.</ns0:t>
      </ns0:r>
      <ns0:r>
        <ns0:t xml:space="preserve"> </ns0:t>
      </ns0:r>
      <ns0:r>
        <ns0:t xml:space="preserve">Dashed arrows carry the feedback required to update each controller’s understanding.</ns0:t>
      </ns0:r>
      <ns0:r>
        <ns0:t xml:space="preserve"> </ns0:t>
      </ns0:r>
      <ns0:r>
        <ns0:t xml:space="preserve">Restriction, rollback, credential revocation, and shutdown must be recorded where they can</ns0:t>
      </ns0:r>
      <ns0:r>
        <ns0:t xml:space="preserve"> </ns0:t>
      </ns0:r>
      <ns0:r>
        <ns0:t xml:space="preserve">be exercised.</ns0:t>
      </ns0:r>
    </ns0:p>
    <ns0:bookmarkEnd ns0:id="226"/>
    <ns0:p>
      <ns0:pPr>
        <ns0:pStyle ns0:val="BodyText"/>
      </ns0:pPr>
      <ns0:r>
        <ns0:t xml:space="preserve">At each level, six questions define the discoverable record. What asserted risk was within</ns0:t>
      </ns0:r>
      <ns0:r>
        <ns0:t xml:space="preserve"> </ns0:t>
      </ns0:r>
      <ns0:r>
        <ns0:t xml:space="preserve">scope? Which action could create, expose, detect, or reduce it? What did the controller understand</ns0:t>
      </ns0:r>
      <ns0:r>
        <ns0:t xml:space="preserve"> </ns0:t>
      </ns0:r>
      <ns0:r>
        <ns0:t xml:space="preserve">about the system and environment? Which feedback could correct that understanding? What</ns0:t>
      </ns0:r>
      <ns0:r>
        <ns0:t xml:space="preserve"> </ns0:t>
      </ns0:r>
      <ns0:r>
        <ns0:t xml:space="preserve">practical authority and resources existed at the relevant time? Who could restrict, roll back,</ns0:t>
      </ns0:r>
      <ns0:r>
        <ns0:t xml:space="preserve"> </ns0:t>
      </ns0:r>
      <ns0:r>
        <ns0:t xml:space="preserve">suspend, or terminate operation? The answers identify specific materials rather than an</ns0:t>
      </ns0:r>
      <ns0:r>
        <ns0:t xml:space="preserve"> </ns0:t>
      </ns0:r>
      <ns0:r>
        <ns0:t xml:space="preserve">undifferentiated demand for “the algorithm.”</ns0:t>
      </ns0:r>
      <ns0:r>
        <ns0:t xml:space="preserve"> </ns0:t>
      </ns0:r>
      <ns0:bookmarkStart ns0:id="227" ns0:name="x1-8011r1"/>
      <ns0:bookmarkEnd ns0:id="227"/>
    </ns0:p>
    <ns0:bookmarkStart ns0:id="228" ns0:name="TBL-1"/>
    <ns0:p>
      <ns0:pPr>
        <ns0:pStyle ns0:val="TableCaption"/>
        <ns0:pageBreakBefore/>
      </ns0:pPr>
      <ns0:r>
        <ns0:t xml:space="preserve">Table 1: </ns0:t>
      </ns0:r>
      <ns0:r>
        <ns0:t xml:space="preserve">From Deployment Control to a Litigation Record</ns0:t>
      </ns0:r>
    </ns0:p>
    <ns0:tbl>
      <ns0:tblPr>
        <ns0:tblStyle ns0:val="Table"/>
        <ns0:tblW ns0:type="dxa" ns0:w="7920"/>
        <ns0:jc ns0:val="left"/>
        <ns0:tblLayout ns0:type="fixed"/>
        <ns0:tblLook ns0:firstRow="0" ns0:lastRow="0" ns0:firstColumn="0" ns0:lastColumn="0" ns0:noHBand="0" ns0:noVBand="0" ns0:val="0000"/>
        <ns0:tblCaption ns0:val="Table 1: From Deployment Control to a Litigation Record"/>
      </ns0:tblPr>
      <ns0:tblGrid>
        <ns0:gridCol ns0:w="2640"/>
        <ns0:gridCol ns0:w="2640"/>
        <ns0:gridCol ns0:w="2640"/>
      </ns0:tblGrid>
      <ns0:tr>
        <ns0:trPr>
          <ns0:cantSplit/>
          <ns0:tblHeader/>
        </ns0:trPr>
        <ns0:tc>
          <ns0:tcPr>
            <ns0:tcW ns0:type="dxa" ns0:w="7920"/>
            <ns0:gridSpan ns0:val="3"/>
            <ns0:tcBorders>
              <ns0:bottom ns0:val="single" ns0:sz="8" ns0:space="0" ns0:color="000000"/>
            </ns0:tcBorders>
          </ns0:tcPr>
          <ns0:p>
            <ns0:pPr>
              <ns0:pStyle ns0:val="Compact"/>
              <ns0:jc ns0:val="left"/>
            </ns0:pPr>
          </ns0:p>
        </ns0:tc>
      </ns0:tr>
      <ns0:tr>
        <ns0:trPr>
          <ns0:cantSplit/>
          <ns0:tblHeader/>
        </ns0:trPr>
        <ns0:tc>
          <ns0:tcPr>
            <ns0:tcW ns0:type="dxa" ns0:w="2640"/>
            <ns0:tcBorders>
              <ns0:bottom ns0:val="single" ns0:sz="8" ns0:space="0" ns0:color="000000"/>
            </ns0:tcBorders>
          </ns0:tcPr>
          <ns0:p>
            <ns0:pPr>
              <ns0:jc ns0:val="left"/>
            </ns0:pPr>
            <ns0:r>
              <ns0:t xml:space="preserve">Control</ns0:t>
            </ns0:r>
            <ns0:r>
              <ns0:t xml:space="preserve"> </ns0:t>
            </ns0:r>
            <ns0:r>
              <ns0:t xml:space="preserve">lane</ns0:t>
            </ns0:r>
          </ns0:p>
        </ns0:tc>
        <ns0:tc>
          <ns0:tcPr>
            <ns0:tcW ns0:type="dxa" ns0:w="2640"/>
            <ns0:tcBorders>
              <ns0:bottom ns0:val="single" ns0:sz="8" ns0:space="0" ns0:color="000000"/>
            </ns0:tcBorders>
          </ns0:tcPr>
          <ns0:p>
            <ns0:pPr>
              <ns0:jc ns0:val="left"/>
            </ns0:pPr>
            <ns0:r>
              <ns0:t xml:space="preserve">Core</ns0:t>
            </ns0:r>
            <ns0:r>
              <ns0:t xml:space="preserve"> </ns0:t>
            </ns0:r>
            <ns0:r>
              <ns0:t xml:space="preserve">record</ns0:t>
            </ns0:r>
          </ns0:p>
        </ns0:tc>
        <ns0:tc>
          <ns0:tcPr>
            <ns0:tcW ns0:type="dxa" ns0:w="2640"/>
            <ns0:tcBorders>
              <ns0:bottom ns0:val="single" ns0:sz="8" ns0:space="0" ns0:color="000000"/>
            </ns0:tcBorders>
          </ns0:tcPr>
          <ns0:p>
            <ns0:pPr>
              <ns0:jc ns0:val="left"/>
            </ns0:pPr>
            <ns0:r>
              <ns0:t xml:space="preserve">Potential</ns0:t>
            </ns0:r>
            <ns0:r>
              <ns0:t xml:space="preserve"> </ns0:t>
            </ns0:r>
            <ns0:r>
              <ns0:t xml:space="preserve">use</ns0:t>
            </ns0:r>
            <ns0:r>
              <ns0:t xml:space="preserve"> </ns0:t>
            </ns0:r>
            <ns0:r>
              <ns0:t xml:space="preserve">under</ns0:t>
            </ns0:r>
            <ns0:r>
              <ns0:t xml:space="preserve"> </ns0:t>
            </ns0:r>
            <ns0:r>
              <ns0:t xml:space="preserve">governing</ns0:t>
            </ns0:r>
            <ns0:r>
              <ns0:t xml:space="preserve"> </ns0:t>
            </ns0:r>
            <ns0:r>
              <ns0:t xml:space="preserve">law</ns0:t>
            </ns0:r>
          </ns0:p>
        </ns0:tc>
      </ns0:tr>
      <ns0:tr>
        <ns0:trPr>
          <ns0:cantSplit/>
        </ns0:trPr>
        <ns0:tc>
          <ns0:tcPr>
            <ns0:tcW ns0:type="dxa" ns0:w="7920"/>
            <ns0:gridSpan ns0:val="3"/>
          </ns0:tcPr>
          <ns0:p>
            <ns0:pPr>
              <ns0:pStyle ns0:val="Compact"/>
              <ns0:jc ns0:val="left"/>
            </ns0:pPr>
          </ns0:p>
        </ns0:tc>
      </ns0:tr>
      <ns0:tr>
        <ns0:trPr>
          <ns0:cantSplit/>
        </ns0:trPr>
        <ns0:tc>
          <ns0:tcPr>
            <ns0:tcW ns0:type="dxa" ns0:w="2640"/>
          </ns0:tcPr>
          <ns0:p>
            <ns0:pPr>
              <ns0:pStyle ns0:val="Compact"/>
              <ns0:jc ns0:val="left"/>
            </ns0:pPr>
          </ns0:p>
        </ns0:tc>
        <ns0:tc>
          <ns0:tcPr>
            <ns0:tcW ns0:type="dxa" ns0:w="2640"/>
          </ns0:tcPr>
          <ns0:p>
            <ns0:pPr>
              <ns0:pStyle ns0:val="Compact"/>
              <ns0:jc ns0:val="left"/>
            </ns0:pPr>
          </ns0:p>
        </ns0:tc>
        <ns0:tc>
          <ns0:tcPr>
            <ns0:tcW ns0:type="dxa" ns0:w="2640"/>
          </ns0:tcPr>
          <ns0:p>
            <ns0:pPr>
              <ns0:pStyle ns0:val="Compact"/>
              <ns0:jc ns0:val="left"/>
            </ns0:pPr>
          </ns0:p>
        </ns0:tc>
      </ns0:tr>
      <ns0:tr>
        <ns0:trPr>
          <ns0:cantSplit/>
        </ns0:trPr>
        <ns0:tc>
          <ns0:tcPr>
            <ns0:tcW ns0:type="dxa" ns0:w="2640"/>
          </ns0:tcPr>
          <ns0:p>
            <ns0:pPr>
              <ns0:jc ns0:val="left"/>
            </ns0:pPr>
            <ns0:r>
              <ns0:t xml:space="preserve">Identity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configuration</ns0:t>
            </ns0:r>
          </ns0:p>
        </ns0:tc>
        <ns0:tc>
          <ns0:tcPr>
            <ns0:tcW ns0:type="dxa" ns0:w="2640"/>
          </ns0:tcPr>
          <ns0:p>
            <ns0:pPr>
              <ns0:jc ns0:val="left"/>
            </ns0:pPr>
            <ns0:r>
              <ns0:t xml:space="preserve">Model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application</ns0:t>
            </ns0:r>
            <ns0:r>
              <ns0:t xml:space="preserve"> </ns0:t>
            </ns0:r>
            <ns0:r>
              <ns0:t xml:space="preserve">versions;</ns0:t>
            </ns0:r>
            <ns0:r>
              <ns0:t xml:space="preserve"> </ns0:t>
            </ns0:r>
            <ns0:r>
              <ns0:t xml:space="preserve">instructions;</ns0:t>
            </ns0:r>
            <ns0:r>
              <ns0:t xml:space="preserve"> </ns0:t>
            </ns0:r>
            <ns0:r>
              <ns0:t xml:space="preserve">retrieval;</ns0:t>
            </ns0:r>
            <ns0:r>
              <ns0:t xml:space="preserve"> </ns0:t>
            </ns0:r>
            <ns0:r>
              <ns0:t xml:space="preserve">data;</ns0:t>
            </ns0:r>
            <ns0:r>
              <ns0:t xml:space="preserve"> </ns0:t>
            </ns0:r>
            <ns0:r>
              <ns0:t xml:space="preserve">tools;</ns0:t>
            </ns0:r>
            <ns0:r>
              <ns0:t xml:space="preserve"> </ns0:t>
            </ns0:r>
            <ns0:r>
              <ns0:t xml:space="preserve">credentials;</ns0:t>
            </ns0:r>
            <ns0:r>
              <ns0:t xml:space="preserve"> </ns0:t>
            </ns0:r>
            <ns0:r>
              <ns0:t xml:space="preserve">material</ns0:t>
            </ns0:r>
            <ns0:r>
              <ns0:t xml:space="preserve"> </ns0:t>
            </ns0:r>
            <ns0:r>
              <ns0:t xml:space="preserve">changes.</ns0:t>
            </ns0:r>
          </ns0:p>
        </ns0:tc>
        <ns0:tc>
          <ns0:tcPr>
            <ns0:tcW ns0:type="dxa" ns0:w="2640"/>
          </ns0:tcPr>
          <ns0:p>
            <ns0:pPr>
              <ns0:jc ns0:val="left"/>
            </ns0:pPr>
            <ns0:r>
              <ns0:t xml:space="preserve">Attribution;</ns0:t>
            </ns0:r>
            <ns0:r>
              <ns0:t xml:space="preserve"> </ns0:t>
            </ns0:r>
            <ns0:r>
              <ns0:t xml:space="preserve">intended</ns0:t>
            </ns0:r>
            <ns0:r>
              <ns0:t xml:space="preserve"> </ns0:t>
            </ns0:r>
            <ns0:r>
              <ns0:t xml:space="preserve">use;</ns0:t>
            </ns0:r>
            <ns0:r>
              <ns0:t xml:space="preserve"> </ns0:t>
            </ns0:r>
            <ns0:r>
              <ns0:t xml:space="preserve">causal</ns0:t>
            </ns0:r>
            <ns0:r>
              <ns0:t xml:space="preserve"> </ns0:t>
            </ns0:r>
            <ns0:r>
              <ns0:t xml:space="preserve">mechanism;</ns0:t>
            </ns0:r>
            <ns0:r>
              <ns0:t xml:space="preserve"> </ns0:t>
            </ns0:r>
            <ns0:r>
              <ns0:t xml:space="preserve">authentication.</ns0:t>
            </ns0:r>
          </ns0:p>
        </ns0:tc>
      </ns0:tr>
      <ns0:tr>
        <ns0:trPr>
          <ns0:cantSplit/>
        </ns0:trPr>
        <ns0:tc>
          <ns0:tcPr>
            <ns0:tcW ns0:type="dxa" ns0:w="2640"/>
          </ns0:tcPr>
          <ns0:p>
            <ns0:pPr>
              <ns0:jc ns0:val="left"/>
            </ns0:pPr>
            <ns0:r>
              <ns0:t xml:space="preserve">Authority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approval</ns0:t>
            </ns0:r>
          </ns0:p>
        </ns0:tc>
        <ns0:tc>
          <ns0:tcPr>
            <ns0:tcW ns0:type="dxa" ns0:w="2640"/>
          </ns0:tcPr>
          <ns0:p>
            <ns0:pPr>
              <ns0:jc ns0:val="left"/>
            </ns0:pPr>
            <ns0:r>
              <ns0:t xml:space="preserve">Risk</ns0:t>
            </ns0:r>
            <ns0:r>
              <ns0:t xml:space="preserve"> </ns0:t>
            </ns0:r>
            <ns0:r>
              <ns0:t xml:space="preserve">owner;</ns0:t>
            </ns0:r>
            <ns0:r>
              <ns0:t xml:space="preserve"> </ns0:t>
            </ns0:r>
            <ns0:r>
              <ns0:t xml:space="preserve">release</ns0:t>
            </ns0:r>
            <ns0:r>
              <ns0:t xml:space="preserve"> </ns0:t>
            </ns0:r>
            <ns0:r>
              <ns0:t xml:space="preserve">approvers;</ns0:t>
            </ns0:r>
            <ns0:r>
              <ns0:t xml:space="preserve"> </ns0:t>
            </ns0:r>
            <ns0:r>
              <ns0:t xml:space="preserve">objectives;</ns0:t>
            </ns0:r>
            <ns0:r>
              <ns0:t xml:space="preserve"> </ns0:t>
            </ns0:r>
            <ns0:r>
              <ns0:t xml:space="preserve">resources;</ns0:t>
            </ns0:r>
            <ns0:r>
              <ns0:t xml:space="preserve"> </ns0:t>
            </ns0:r>
            <ns0:r>
              <ns0:t xml:space="preserve">conditions;</ns0:t>
            </ns0:r>
            <ns0:r>
              <ns0:t xml:space="preserve"> </ns0:t>
            </ns0:r>
            <ns0:r>
              <ns0:t xml:space="preserve">unresolved</ns0:t>
            </ns0:r>
            <ns0:r>
              <ns0:t xml:space="preserve"> </ns0:t>
            </ns0:r>
            <ns0:r>
              <ns0:t xml:space="preserve">risk</ns0:t>
            </ns0:r>
            <ns0:r>
              <ns0:t xml:space="preserve"> </ns0:t>
            </ns0:r>
            <ns0:r>
              <ns0:t xml:space="preserve">decisions.</ns0:t>
            </ns0:r>
          </ns0:p>
        </ns0:tc>
        <ns0:tc>
          <ns0:tcPr>
            <ns0:tcW ns0:type="dxa" ns0:w="2640"/>
          </ns0:tcPr>
          <ns0:p>
            <ns0:pPr>
              <ns0:jc ns0:val="left"/>
            </ns0:pPr>
            <ns0:r>
              <ns0:t xml:space="preserve">Authorization;</ns0:t>
            </ns0:r>
            <ns0:r>
              <ns0:t xml:space="preserve"> </ns0:t>
            </ns0:r>
            <ns0:r>
              <ns0:t xml:space="preserve">direct</ns0:t>
            </ns0:r>
            <ns0:r>
              <ns0:t xml:space="preserve"> </ns0:t>
            </ns0:r>
            <ns0:r>
              <ns0:t xml:space="preserve">organizational</ns0:t>
            </ns0:r>
            <ns0:r>
              <ns0:t xml:space="preserve"> </ns0:t>
            </ns0:r>
            <ns0:r>
              <ns0:t xml:space="preserve">conduct;</ns0:t>
            </ns0:r>
            <ns0:r>
              <ns0:t xml:space="preserve"> </ns0:t>
            </ns0:r>
            <ns0:r>
              <ns0:t xml:space="preserve">feasibility</ns0:t>
            </ns0:r>
            <ns0:r>
              <ns0:t xml:space="preserve"> </ns0:t>
            </ns0:r>
            <ns0:r>
              <ns0:t xml:space="preserve">inquiry.</ns0:t>
            </ns0:r>
          </ns0:p>
        </ns0:tc>
      </ns0:tr>
      <ns0:tr>
        <ns0:trPr>
          <ns0:cantSplit/>
        </ns0:trPr>
        <ns0:tc>
          <ns0:tcPr>
            <ns0:tcW ns0:type="dxa" ns0:w="2640"/>
          </ns0:tcPr>
          <ns0:p>
            <ns0:pPr>
              <ns0:jc ns0:val="left"/>
            </ns0:pPr>
            <ns0:r>
              <ns0:t xml:space="preserve">Evaluation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feedback</ns0:t>
            </ns0:r>
          </ns0:p>
        </ns0:tc>
        <ns0:tc>
          <ns0:tcPr>
            <ns0:tcW ns0:type="dxa" ns0:w="2640"/>
          </ns0:tcPr>
          <ns0:p>
            <ns0:pPr>
              <ns0:jc ns0:val="left"/>
            </ns0:pPr>
            <ns0:r>
              <ns0:t xml:space="preserve">Test</ns0:t>
            </ns0:r>
            <ns0:r>
              <ns0:t xml:space="preserve"> </ns0:t>
            </ns0:r>
            <ns0:r>
              <ns0:t xml:space="preserve">protocols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results;</ns0:t>
            </ns0:r>
            <ns0:r>
              <ns0:t xml:space="preserve"> </ns0:t>
            </ns0:r>
            <ns0:r>
              <ns0:t xml:space="preserve">complaints;</ns0:t>
            </ns0:r>
            <ns0:r>
              <ns0:t xml:space="preserve"> </ns0:t>
            </ns0:r>
            <ns0:r>
              <ns0:t xml:space="preserve">incidents;</ns0:t>
            </ns0:r>
            <ns0:r>
              <ns0:t xml:space="preserve"> </ns0:t>
            </ns0:r>
            <ns0:r>
              <ns0:t xml:space="preserve">drift</ns0:t>
            </ns0:r>
            <ns0:r>
              <ns0:t xml:space="preserve"> </ns0:t>
            </ns0:r>
            <ns0:r>
              <ns0:t xml:space="preserve">signals;</ns0:t>
            </ns0:r>
            <ns0:r>
              <ns0:t xml:space="preserve"> </ns0:t>
            </ns0:r>
            <ns0:r>
              <ns0:t xml:space="preserve">overrides;</ns0:t>
            </ns0:r>
            <ns0:r>
              <ns0:t xml:space="preserve"> </ns0:t>
            </ns0:r>
            <ns0:r>
              <ns0:t xml:space="preserve">escalation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response.</ns0:t>
            </ns0:r>
          </ns0:p>
        </ns0:tc>
        <ns0:tc>
          <ns0:tcPr>
            <ns0:tcW ns0:type="dxa" ns0:w="2640"/>
          </ns0:tcPr>
          <ns0:p>
            <ns0:pPr>
              <ns0:jc ns0:val="left"/>
            </ns0:pPr>
            <ns0:r>
              <ns0:t xml:space="preserve">Knowledge;</ns0:t>
            </ns0:r>
            <ns0:r>
              <ns0:t xml:space="preserve"> </ns0:t>
            </ns0:r>
            <ns0:r>
              <ns0:t xml:space="preserve">notice;</ns0:t>
            </ns0:r>
            <ns0:r>
              <ns0:t xml:space="preserve"> </ns0:t>
            </ns0:r>
            <ns0:r>
              <ns0:t xml:space="preserve">continuing</ns0:t>
            </ns0:r>
            <ns0:r>
              <ns0:t xml:space="preserve"> </ns0:t>
            </ns0:r>
            <ns0:r>
              <ns0:t xml:space="preserve">response;</ns0:t>
            </ns0:r>
            <ns0:r>
              <ns0:t xml:space="preserve"> </ns0:t>
            </ns0:r>
            <ns0:r>
              <ns0:t xml:space="preserve">alternative</ns0:t>
            </ns0:r>
            <ns0:r>
              <ns0:t xml:space="preserve"> </ns0:t>
            </ns0:r>
            <ns0:r>
              <ns0:t xml:space="preserve">explanations.</ns0:t>
            </ns0:r>
          </ns0:p>
        </ns0:tc>
      </ns0:tr>
      <ns0:tr>
        <ns0:trPr>
          <ns0:cantSplit/>
        </ns0:trPr>
        <ns0:tc>
          <ns0:tcPr>
            <ns0:tcW ns0:type="dxa" ns0:w="2640"/>
          </ns0:tcPr>
          <ns0:p>
            <ns0:pPr>
              <ns0:jc ns0:val="left"/>
            </ns0:pPr>
            <ns0:r>
              <ns0:t xml:space="preserve">Intervention</ns0:t>
            </ns0:r>
          </ns0:p>
        </ns0:tc>
        <ns0:tc>
          <ns0:tcPr>
            <ns0:tcW ns0:type="dxa" ns0:w="2640"/>
          </ns0:tcPr>
          <ns0:p>
            <ns0:pPr>
              <ns0:jc ns0:val="left"/>
            </ns0:pPr>
            <ns0:r>
              <ns0:t xml:space="preserve">Restriction,</ns0:t>
            </ns0:r>
            <ns0:r>
              <ns0:t xml:space="preserve"> </ns0:t>
            </ns0:r>
            <ns0:r>
              <ns0:t xml:space="preserve">update,</ns0:t>
            </ns0:r>
            <ns0:r>
              <ns0:t xml:space="preserve"> </ns0:t>
            </ns0:r>
            <ns0:r>
              <ns0:t xml:space="preserve">rollback,</ns0:t>
            </ns0:r>
            <ns0:r>
              <ns0:t xml:space="preserve"> </ns0:t>
            </ns0:r>
            <ns0:r>
              <ns0:t xml:space="preserve">suspension,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termination</ns0:t>
            </ns0:r>
            <ns0:r>
              <ns0:t xml:space="preserve"> </ns0:t>
            </ns0:r>
            <ns0:r>
              <ns0:t xml:space="preserve">rights;</ns0:t>
            </ns0:r>
            <ns0:r>
              <ns0:t xml:space="preserve"> </ns0:t>
            </ns0:r>
            <ns0:r>
              <ns0:t xml:space="preserve">tested</ns0:t>
            </ns0:r>
            <ns0:r>
              <ns0:t xml:space="preserve"> </ns0:t>
            </ns0:r>
            <ns0:r>
              <ns0:t xml:space="preserve">triggers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response</ns0:t>
            </ns0:r>
            <ns0:r>
              <ns0:t xml:space="preserve"> </ns0:t>
            </ns0:r>
            <ns0:r>
              <ns0:t xml:space="preserve">times.</ns0:t>
            </ns0:r>
          </ns0:p>
        </ns0:tc>
        <ns0:tc>
          <ns0:tcPr>
            <ns0:tcW ns0:type="dxa" ns0:w="2640"/>
          </ns0:tcPr>
          <ns0:p>
            <ns0:pPr>
              <ns0:jc ns0:val="left"/>
            </ns0:pPr>
            <ns0:r>
              <ns0:t xml:space="preserve">Practical</ns0:t>
            </ns0:r>
            <ns0:r>
              <ns0:t xml:space="preserve"> </ns0:t>
            </ns0:r>
            <ns0:r>
              <ns0:t xml:space="preserve">control;</ns0:t>
            </ns0:r>
            <ns0:r>
              <ns0:t xml:space="preserve"> </ns0:t>
            </ns0:r>
            <ns0:r>
              <ns0:t xml:space="preserve">ability</ns0:t>
            </ns0:r>
            <ns0:r>
              <ns0:t xml:space="preserve"> </ns0:t>
            </ns0:r>
            <ns0:r>
              <ns0:t xml:space="preserve">to</ns0:t>
            </ns0:r>
            <ns0:r>
              <ns0:t xml:space="preserve"> </ns0:t>
            </ns0:r>
            <ns0:r>
              <ns0:t xml:space="preserve">prevent</ns0:t>
            </ns0:r>
            <ns0:r>
              <ns0:t xml:space="preserve"> </ns0:t>
            </ns0:r>
            <ns0:r>
              <ns0:t xml:space="preserve">or</ns0:t>
            </ns0:r>
            <ns0:r>
              <ns0:t xml:space="preserve"> </ns0:t>
            </ns0:r>
            <ns0:r>
              <ns0:t xml:space="preserve">mitigate;</ns0:t>
            </ns0:r>
            <ns0:r>
              <ns0:t xml:space="preserve"> </ns0:t>
            </ns0:r>
            <ns0:r>
              <ns0:t xml:space="preserve">causal</ns0:t>
            </ns0:r>
            <ns0:r>
              <ns0:t xml:space="preserve"> </ns0:t>
            </ns0:r>
            <ns0:r>
              <ns0:t xml:space="preserve">sequence.</ns0:t>
            </ns0:r>
          </ns0:p>
        </ns0:tc>
      </ns0:tr>
      <ns0:tr>
        <ns0:trPr>
          <ns0:cantSplit/>
        </ns0:trPr>
        <ns0:tc>
          <ns0:tcPr>
            <ns0:tcW ns0:type="dxa" ns0:w="2640"/>
          </ns0:tcPr>
          <ns0:p>
            <ns0:pPr>
              <ns0:jc ns0:val="left"/>
            </ns0:pPr>
            <ns0:r>
              <ns0:t xml:space="preserve">Retention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provenance</ns0:t>
            </ns0:r>
          </ns0:p>
        </ns0:tc>
        <ns0:tc>
          <ns0:tcPr>
            <ns0:tcW ns0:type="dxa" ns0:w="2640"/>
          </ns0:tcPr>
          <ns0:p>
            <ns0:pPr>
              <ns0:jc ns0:val="left"/>
            </ns0:pPr>
            <ns0:r>
              <ns0:t xml:space="preserve">Record</ns0:t>
            </ns0:r>
            <ns0:r>
              <ns0:t xml:space="preserve"> </ns0:t>
            </ns0:r>
            <ns0:r>
              <ns0:t xml:space="preserve">custodian;</ns0:t>
            </ns0:r>
            <ns0:r>
              <ns0:t xml:space="preserve"> </ns0:t>
            </ns0:r>
            <ns0:r>
              <ns0:t xml:space="preserve">retention</ns0:t>
            </ns0:r>
            <ns0:r>
              <ns0:t xml:space="preserve"> </ns0:t>
            </ns0:r>
            <ns0:r>
              <ns0:t xml:space="preserve">period;</ns0:t>
            </ns0:r>
            <ns0:r>
              <ns0:t xml:space="preserve"> </ns0:t>
            </ns0:r>
            <ns0:r>
              <ns0:t xml:space="preserve">version</ns0:t>
            </ns0:r>
            <ns0:r>
              <ns0:t xml:space="preserve"> </ns0:t>
            </ns0:r>
            <ns0:r>
              <ns0:t xml:space="preserve">lineage;</ns0:t>
            </ns0:r>
            <ns0:r>
              <ns0:t xml:space="preserve"> </ns0:t>
            </ns0:r>
            <ns0:r>
              <ns0:t xml:space="preserve">third-party</ns0:t>
            </ns0:r>
            <ns0:r>
              <ns0:t xml:space="preserve"> </ns0:t>
            </ns0:r>
            <ns0:r>
              <ns0:t xml:space="preserve">holders;</ns0:t>
            </ns0:r>
            <ns0:r>
              <ns0:t xml:space="preserve"> </ns0:t>
            </ns0:r>
            <ns0:r>
              <ns0:t xml:space="preserve">legal</ns0:t>
            </ns0:r>
            <ns0:r>
              <ns0:t xml:space="preserve"> </ns0:t>
            </ns0:r>
            <ns0:r>
              <ns0:t xml:space="preserve">holds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deletion</ns0:t>
            </ns0:r>
            <ns0:r>
              <ns0:t xml:space="preserve"> </ns0:t>
            </ns0:r>
            <ns0:r>
              <ns0:t xml:space="preserve">events.</ns0:t>
            </ns0:r>
          </ns0:p>
        </ns0:tc>
        <ns0:tc>
          <ns0:tcPr>
            <ns0:tcW ns0:type="dxa" ns0:w="2640"/>
          </ns0:tcPr>
          <ns0:p>
            <ns0:pPr>
              <ns0:jc ns0:val="left"/>
            </ns0:pPr>
            <ns0:r>
              <ns0:t xml:space="preserve">Identification;</ns0:t>
            </ns0:r>
            <ns0:r>
              <ns0:t xml:space="preserve"> </ns0:t>
            </ns0:r>
            <ns0:r>
              <ns0:t xml:space="preserve">preservation;</ns0:t>
            </ns0:r>
            <ns0:r>
              <ns0:t xml:space="preserve"> </ns0:t>
            </ns0:r>
            <ns0:r>
              <ns0:t xml:space="preserve">proportional</ns0:t>
            </ns0:r>
            <ns0:r>
              <ns0:t xml:space="preserve"> </ns0:t>
            </ns0:r>
            <ns0:r>
              <ns0:t xml:space="preserve">discovery;</ns0:t>
            </ns0:r>
            <ns0:r>
              <ns0:t xml:space="preserve"> </ns0:t>
            </ns0:r>
            <ns0:r>
              <ns0:t xml:space="preserve">defense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rebuttal.</ns0:t>
            </ns0:r>
          </ns0:p>
        </ns0:tc>
      </ns0:tr>
      <ns0:tr>
        <ns0:trPr>
          <ns0:cantSplit/>
        </ns0:trPr>
        <ns0:tc>
          <ns0:tcPr>
            <ns0:tcW ns0:type="dxa" ns0:w="7920"/>
            <ns0:gridSpan ns0:val="3"/>
            <ns0:tcBorders>
              <ns0:bottom ns0:val="single" ns0:sz="8" ns0:space="0" ns0:color="000000"/>
            </ns0:tcBorders>
          </ns0:tcPr>
          <ns0:p>
            <ns0:pPr>
              <ns0:pStyle ns0:val="Compact"/>
              <ns0:jc ns0:val="left"/>
            </ns0:pPr>
          </ns0:p>
        </ns0:tc>
      </ns0:tr>
    </ns0:tbl>
    <ns0:bookmarkEnd ns0:id="228"/>
    <ns0:p>
      <ns0:pPr>
        <ns0:pStyle ns0:val="BodyText"/>
      </ns0:pPr>
      <ns0:r>
        <ns0:t xml:space="preserve">The table is deliberately factual. Shutdown credentials supply evidence of practical</ns0:t>
      </ns0:r>
      <ns0:r>
        <ns0:t xml:space="preserve"> </ns0:t>
      </ns0:r>
      <ns0:r>
        <ns0:t xml:space="preserve">authority; an alert supplies evidence of receipt; an internal limit supplies evidence about the</ns0:t>
      </ns0:r>
      <ns0:r>
        <ns0:t xml:space="preserve"> </ns0:t>
      </ns0:r>
      <ns0:r>
        <ns0:t xml:space="preserve">organization’s selected constraint. Governing law decides whether those facts establish duty, notice,</ns0:t>
      </ns0:r>
      <ns0:r>
        <ns0:t xml:space="preserve"> </ns0:t>
      </ns0:r>
      <ns0:r>
        <ns0:t xml:space="preserve">or reasonable care. The same record supplies defense-favorable facts: a downstream</ns0:t>
      </ns0:r>
      <ns0:r>
        <ns0:t xml:space="preserve"> </ns0:t>
      </ns0:r>
      <ns0:r>
        <ns0:t xml:space="preserve">modifier removed a safeguard, a user defeated a tested constraint, an incident signal never</ns0:t>
      </ns0:r>
      <ns0:r>
        <ns0:t xml:space="preserve"> </ns0:t>
      </ns0:r>
      <ns0:r>
        <ns0:t xml:space="preserve">reached the asserted controller, or the proposed intervention could not have changed the</ns0:t>
      </ns0:r>
      <ns0:r>
        <ns0:t xml:space="preserve"> </ns0:t>
      </ns0:r>
      <ns0:r>
        <ns0:t xml:space="preserve">result.</ns0:t>
      </ns0:r>
    </ns0:p>
    <ns0:p>
      <ns0:pPr>
        <ns0:pStyle ns0:val="BodyText"/>
      </ns0:pPr>
      <ns0:r>
        <ns0:t xml:space="preserve">This mapping yields the front door’s object. Actor-identification asks which enterprise</ns0:t>
      </ns0:r>
      <ns0:r>
        <ns0:t xml:space="preserve"> </ns0:t>
      </ns0:r>
      <ns0:r>
        <ns0:t xml:space="preserve">occupied a risk-specific control lane. Deployment-record production asks for the bounded materials</ns0:t>
      </ns0:r>
      <ns0:r>
        <ns0:t xml:space="preserve"> </ns0:t>
      </ns0:r>
      <ns0:r>
        <ns0:t xml:space="preserve">that establish or rebut that proposition and then permit ordinary doctrine to operate. Part II</ns0:t>
      </ns0:r>
      <ns0:r>
        <ns0:t xml:space="preserve"> </ns0:t>
      </ns0:r>
      <ns0:r>
        <ns0:t xml:space="preserve">turns those two functions into a statutory trigger, a first-answer obligation, and a safe</ns0:t>
      </ns0:r>
      <ns0:r>
        <ns0:t xml:space="preserve"> </ns0:t>
      </ns0:r>
      <ns0:r>
        <ns0:t xml:space="preserve">exit.</ns0:t>
      </ns0:r>
    </ns0:p>
    <ns0:bookmarkEnd ns0:id="229"/>
    <ns0:bookmarkEnd ns0:id="230"/>
    <ns0:bookmarkStart ns0:id="307" ns0:name="the-deployment-frontdoor-rule"/>
    <ns0:p>
      <ns0:pPr>
        <ns0:pStyle ns0:val="Heading3"/>
      </ns0:pPr>
      <ns0:r>
        <ns0:t xml:space="preserve">II</ns0:t>
      </ns0:r>
      <ns0:r>
        <ns0:t xml:space="preserve"> </ns0:t>
      </ns0:r>
      <ns0:r>
        <ns0:t xml:space="preserve"> </ns0:t>
      </ns0:r>
      <ns0:bookmarkStart ns0:id="231" ns0:name="x1-9000II"/>
      <ns0:bookmarkEnd ns0:id="231"/>
      <ns0:r>
        <ns0:t xml:space="preserve">The Deployment Front-Door Rule</ns0:t>
      </ns0:r>
    </ns0:p>
    <ns0:p>
      <ns0:pPr>
        <ns0:pStyle ns0:val="FirstParagraph"/>
      </ns0:pPr>
      <ns0:r>
        <ns0:t xml:space="preserve">The attribution gap calls for a limited information rule rather than a new general law of AI</ns0:t>
      </ns0:r>
      <ns0:r>
        <ns0:t xml:space="preserve"> </ns0:t>
      </ns0:r>
      <ns0:r>
        <ns0:t xml:space="preserve">liability. The rule must tell an affected person whom to approach, tell enterprises what record to</ns0:t>
      </ns0:r>
      <ns0:r>
        <ns0:t xml:space="preserve"> </ns0:t>
      </ns0:r>
      <ns0:r>
        <ns0:t xml:space="preserve">maintain, and tell courts when and how that record becomes available. It must also provide a</ns0:t>
      </ns0:r>
      <ns0:r>
        <ns0:t xml:space="preserve"> </ns0:t>
      </ns0:r>
      <ns0:r>
        <ns0:t xml:space="preserve">prompt exit for an enterprise whose connection to the brand or technical stack did not include</ns0:t>
      </ns0:r>
      <ns0:r>
        <ns0:t xml:space="preserve"> </ns0:t>
      </ns0:r>
      <ns0:r>
        <ns0:t xml:space="preserve">practical control over the asserted risk.</ns0:t>
      </ns0:r>
    </ns0:p>
    <ns0:p>
      <ns0:pPr>
        <ns0:pStyle ns0:val="BodyText"/>
      </ns0:pPr>
      <ns0:r>
        <ns0:t xml:space="preserve">This Part supplies that architecture. Section A ties coverage to sectoral legislative</ns0:t>
      </ns0:r>
      <ns0:r>
        <ns0:t xml:space="preserve"> </ns0:t>
      </ns0:r>
      <ns0:r>
        <ns0:t xml:space="preserve">designation. Section B makes the visible operator the first-answer gateway and defines a threshold</ns0:t>
      </ns0:r>
      <ns0:r>
        <ns0:t xml:space="preserve"> </ns0:t>
      </ns0:r>
      <ns0:r>
        <ns0:t xml:space="preserve">linked to an existing legal claim. Section C gives</ns0:t>
      </ns0:r>
      <ns0:r>
        <ns0:t xml:space="preserve"> </ns0:t>
      </ns0:r>
      <ns0:r>
        <ns0:rPr>
          <ns0:i/>
          <ns0:iCs/>
        </ns0:rPr>
        <ns0:t xml:space="preserve">material control</ns0:t>
      </ns0:r>
      <ns0:r>
        <ns0:rPr>
          <ns0:i/>
          <ns0:iCs/>
        </ns0:rPr>
        <ns0:t xml:space="preserve"> </ns0:t>
      </ns0:r>
      <ns0:r>
        <ns0:t xml:space="preserve">a cumulative, risk-specific test.</ns0:t>
      </ns0:r>
      <ns0:r>
        <ns0:t xml:space="preserve"> </ns0:t>
      </ns0:r>
      <ns0:r>
        <ns0:t xml:space="preserve">Section D separates record creation, preservation, and staged production. Section E specifies</ns0:t>
      </ns0:r>
      <ns0:r>
        <ns0:t xml:space="preserve"> </ns0:t>
      </ns0:r>
      <ns0:r>
        <ns0:t xml:space="preserve">confidentiality, remedies, and safe exit. Section F consolidates the proposal into model statutory</ns0:t>
      </ns0:r>
      <ns0:r>
        <ns0:t xml:space="preserve"> </ns0:t>
      </ns0:r>
      <ns0:r>
        <ns0:t xml:space="preserve">text, and Section G explains how an ex ante state-law record duty can operate alongside the</ns0:t>
      </ns0:r>
      <ns0:r>
        <ns0:t xml:space="preserve"> </ns0:t>
      </ns0:r>
      <ns0:r>
        <ns0:t xml:space="preserve">Federal Rules.</ns0:t>
      </ns0:r>
    </ns0:p>
    <ns0:bookmarkStart ns0:id="237" ns0:name="sectoral-designation-defines-the-field"/>
    <ns0:p>
      <ns0:pPr>
        <ns0:pStyle ns0:val="Heading4"/>
      </ns0:pPr>
      <ns0:r>
        <ns0:t xml:space="preserve">A</ns0:t>
      </ns0:r>
      <ns0:r>
        <ns0:t xml:space="preserve"> </ns0:t>
      </ns0:r>
      <ns0:r>
        <ns0:t xml:space="preserve"> </ns0:t>
      </ns0:r>
      <ns0:bookmarkStart ns0:id="232" ns0:name="x1-10000A"/>
      <ns0:bookmarkEnd ns0:id="232"/>
      <ns0:r>
        <ns0:t xml:space="preserve">Sectoral Designation Defines the Field</ns0:t>
      </ns0:r>
    </ns0:p>
    <ns0:p>
      <ns0:pPr>
        <ns0:pStyle ns0:val="FirstParagraph"/>
      </ns0:pPr>
      <ns0:r>
        <ns0:t xml:space="preserve">“High impact” should identify a deployment category, not attach permanently to a model. A</ns0:t>
      </ns0:r>
      <ns0:r>
        <ns0:t xml:space="preserve"> </ns0:t>
      </ns0:r>
      <ns0:r>
        <ns0:t xml:space="preserve">general-purpose model can support casual drafting in one setting and become part of a benefits,</ns0:t>
      </ns0:r>
      <ns0:r>
        <ns0:t xml:space="preserve"> </ns0:t>
      </ns0:r>
      <ns0:r>
        <ns0:t xml:space="preserve">hiring, clinical, or physical-control process in another. The deployment supplies the protected</ns0:t>
      </ns0:r>
      <ns0:r>
        <ns0:t xml:space="preserve"> </ns0:t>
      </ns0:r>
      <ns0:r>
        <ns0:t xml:space="preserve">interest, affected population, operating institution, and legally relevant control. Coverage should</ns0:t>
      </ns0:r>
      <ns0:r>
        <ns0:t xml:space="preserve"> </ns0:t>
      </ns0:r>
      <ns0:r>
        <ns0:t xml:space="preserve">follow those features.</ns0:t>
      </ns0:r>
    </ns0:p>
    <ns0:p>
      <ns0:pPr>
        <ns0:pStyle ns0:val="BodyText"/>
      </ns0:pPr>
      <ns0:r>
        <ns0:t xml:space="preserve">The proposed statute therefore applies only when a legislature has designated a category</ns0:t>
      </ns0:r>
      <ns0:r>
        <ns0:t xml:space="preserve"> </ns0:t>
      </ns0:r>
      <ns0:r>
        <ns0:t xml:space="preserve">and specified six matters: the protected interests; the visible operator; the minimum deployment</ns0:t>
      </ns0:r>
      <ns0:r>
        <ns0:t xml:space="preserve"> </ns0:t>
      </ns0:r>
      <ns0:r>
        <ns0:t xml:space="preserve">record; the retention period and material-change trigger; the claimant’s threshold; and the</ns0:t>
      </ns0:r>
      <ns0:r>
        <ns0:t xml:space="preserve"> </ns0:t>
      </ns0:r>
      <ns0:r>
        <ns0:t xml:space="preserve">available enforcement remedy. A legislature can make the designation directly or authorize a</ns0:t>
      </ns0:r>
      <ns0:r>
        <ns0:t xml:space="preserve"> </ns0:t>
      </ns0:r>
      <ns0:r>
        <ns0:t xml:space="preserve">sectoral agency to maintain a bounded list under statutory criteria. The legislature retains</ns0:t>
      </ns0:r>
      <ns0:r>
        <ns0:t xml:space="preserve"> </ns0:t>
      </ns0:r>
      <ns0:r>
        <ns0:t xml:space="preserve">the choices that determine who must answer and which interests justify compulsory</ns0:t>
      </ns0:r>
      <ns0:r>
        <ns0:t xml:space="preserve"> </ns0:t>
      </ns0:r>
      <ns0:r>
        <ns0:t xml:space="preserve">recordkeeping.</ns0:t>
      </ns0:r>
    </ns0:p>
    <ns0:p>
      <ns0:pPr>
        <ns0:pStyle ns0:val="BodyText"/>
      </ns0:pPr>
      <ns0:r>
        <ns0:t xml:space="preserve">Five features identify the strongest candidates. First, the deployment affects an interest</ns0:t>
      </ns0:r>
      <ns0:r>
        <ns0:t xml:space="preserve"> </ns0:t>
      </ns0:r>
      <ns0:r>
        <ns0:t xml:space="preserve">already protected by substantive law, such as employment opportunity, access to public benefits,</ns0:t>
      </ns0:r>
      <ns0:r>
        <ns0:t xml:space="preserve"> </ns0:t>
      </ns0:r>
      <ns0:r>
        <ns0:t xml:space="preserve">health, credit, housing, education, physical safety, or the welfare of minors. Second, the</ns0:t>
      </ns0:r>
      <ns0:r>
        <ns0:t xml:space="preserve"> </ns0:t>
      </ns0:r>
      <ns0:r>
        <ns0:t xml:space="preserve">system repeatedly mediates decisions or exposure rather than producing an isolated</ns0:t>
      </ns0:r>
      <ns0:r>
        <ns0:t xml:space="preserve"> </ns0:t>
      </ns0:r>
      <ns0:r>
        <ns0:t xml:space="preserve">low-consequence convenience. Third, affected people predictably observe less about the operative</ns0:t>
      </ns0:r>
      <ns0:r>
        <ns0:t xml:space="preserve"> </ns0:t>
      </ns0:r>
      <ns0:r>
        <ns0:t xml:space="preserve">system than the operator and suppliers know. Fourth, the identity, version, control,</ns0:t>
      </ns0:r>
      <ns0:r>
        <ns0:t xml:space="preserve"> </ns0:t>
      </ns0:r>
      <ns0:r>
        <ns0:t xml:space="preserve">and event fields can be standardized at reasonable cost. Fifth, existing doctrine can</ns0:t>
      </ns0:r>
      <ns0:r>
        <ns0:t xml:space="preserve"> </ns0:t>
      </ns0:r>
      <ns0:r>
        <ns0:t xml:space="preserve">adjudicate the dispute once those facts are available. These criteria select the settings in</ns0:t>
      </ns0:r>
      <ns0:r>
        <ns0:t xml:space="preserve"> </ns0:t>
      </ns0:r>
      <ns0:r>
        <ns0:t xml:space="preserve">which a record gateway unlocks an established legal regime rather than inventing a new</ns0:t>
      </ns0:r>
      <ns0:r>
        <ns0:t xml:space="preserve"> </ns0:t>
      </ns0:r>
      <ns0:r>
        <ns0:t xml:space="preserve">one.</ns0:t>
      </ns0:r>
    </ns0:p>
    <ns0:p>
      <ns0:pPr>
        <ns0:pStyle ns0:val="BodyText"/>
      </ns0:pPr>
      <ns0:r>
        <ns0:t xml:space="preserve">Designation also fixes the public-law interface. If a covered operator is a government</ns0:t>
      </ns0:r>
      <ns0:r>
        <ns0:t xml:space="preserve"> </ns0:t>
      </ns0:r>
      <ns0:r>
        <ns0:t xml:space="preserve">institution, the legislature should specify the enforcing tribunal, available relief, applicable</ns0:t>
      </ns0:r>
      <ns0:r>
        <ns0:t xml:space="preserve"> </ns0:t>
      </ns0:r>
      <ns0:r>
        <ns0:t xml:space="preserve">exhaustion route, and the treatment of sovereign or official immunity. The front door need not</ns0:t>
      </ns0:r>
      <ns0:r>
        <ns0:t xml:space="preserve"> </ns0:t>
      </ns0:r>
      <ns0:r>
        <ns0:t xml:space="preserve">imply a damages action against the government. It can supply an administrative record,</ns0:t>
      </ns0:r>
      <ns0:r>
        <ns0:t xml:space="preserve"> </ns0:t>
      </ns0:r>
      <ns0:r>
        <ns0:t xml:space="preserve">declaratory remedy, reviewable denial, or other access path tailored to the underlying interest.</ns0:t>
      </ns0:r>
      <ns0:r>
        <ns0:t xml:space="preserve"> </ns0:t>
      </ns0:r>
      <ns0:r>
        <ns0:t xml:space="preserve">Defining that route at designation keeps the information right aligned with the sector’s remedial</ns0:t>
      </ns0:r>
      <ns0:r>
        <ns0:t xml:space="preserve"> </ns0:t>
      </ns0:r>
      <ns0:r>
        <ns0:t xml:space="preserve">structure.</ns0:t>
      </ns0:r>
    </ns0:p>
    <ns0:p>
      <ns0:pPr>
        <ns0:pStyle ns0:val="BodyText"/>
      </ns0:pPr>
      <ns0:r>
        <ns0:t xml:space="preserve">This design avoids an unstable universal definition. Employment screening, allocation of</ns0:t>
      </ns0:r>
      <ns0:r>
        <ns0:t xml:space="preserve"> </ns0:t>
      </ns0:r>
      <ns0:r>
        <ns0:t xml:space="preserve">essential public benefits, clinical diagnosis or treatment, credit, housing, education admissions,</ns0:t>
      </ns0:r>
      <ns0:r>
        <ns0:t xml:space="preserve"> </ns0:t>
      </ns0:r>
      <ns0:r>
        <ns0:t xml:space="preserve">physical safety, and relational services offered to minors may justify different records and</ns0:t>
      </ns0:r>
      <ns0:r>
        <ns0:t xml:space="preserve"> </ns0:t>
      </ns0:r>
      <ns0:r>
        <ns0:t xml:space="preserve">retention periods. A companion service may require age-access, relational-behavior,</ns0:t>
      </ns0:r>
      <ns0:r>
        <ns0:t xml:space="preserve"> </ns0:t>
      </ns0:r>
      <ns0:r>
        <ns0:t xml:space="preserve">crisis-intervention, and continuity records. An employment tool may require input-feature,</ns0:t>
      </ns0:r>
      <ns0:r>
        <ns0:t xml:space="preserve"> </ns0:t>
      </ns0:r>
      <ns0:r>
        <ns0:t xml:space="preserve">validation, selection-rate, configuration, and version records. A clinical system may require</ns0:t>
      </ns0:r>
      <ns0:r>
        <ns0:t xml:space="preserve"> </ns0:t>
      </ns0:r>
      <ns0:r>
        <ns0:t xml:space="preserve">intended-use, validation-population, uncertainty, escalation, override, and follow-up records. The</ns0:t>
      </ns0:r>
      <ns0:r>
        <ns0:t xml:space="preserve"> </ns0:t>
      </ns0:r>
      <ns0:r>
        <ns0:t xml:space="preserve">shared front-door architecture permits sector-specific content.</ns0:t>
      </ns0:r>
    </ns0:p>
    <ns0:p>
      <ns0:pPr>
        <ns0:pStyle ns0:val="BodyText"/>
      </ns0:pPr>
      <ns0:r>
        <ns0:t xml:space="preserve">California’s enacted companion-chatbot provisions demonstrate the feasibility of this</ns0:t>
      </ns0:r>
      <ns0:r>
        <ns0:t xml:space="preserve"> </ns0:t>
      </ns0:r>
      <ns0:r>
        <ns0:t xml:space="preserve">form. The legislature defined a covered relational service and its operator, required</ns0:t>
      </ns0:r>
      <ns0:r>
        <ns0:t xml:space="preserve"> </ns0:t>
      </ns0:r>
      <ns0:r>
        <ns0:t xml:space="preserve">specified disclosures and self-harm protocols, imposed protections for known minors</ns0:t>
      </ns0:r>
      <ns0:r>
        <ns0:t xml:space="preserve"> </ns0:t>
      </ns0:r>
      <ns0:r>
        <ns0:t xml:space="preserve">and reporting obligations, supplied a private remedy, and preserved cumulative</ns0:t>
      </ns0:r>
      <ns0:r>
        <ns0:t xml:space="preserve"> </ns0:t>
      </ns0:r>
      <ns0:r>
        <ns0:t xml:space="preserve">law.</ns0:t>
      </ns0:r>
      <ns0:r>
        <ns0:rPr>
          <ns0:rStyle ns0:val="FootnoteReference"/>
        </ns0:rPr>
        <ns0:footnoteReference ns0:id="236"/>
      </ns0:r>
      <ns0:bookmarkStart ns0:id="236" ns0:name="x1-10001f19"/>
      <ns0:bookmarkEnd ns0:id="236"/>
      <ns0:r>
        <ns0:t xml:space="preserve"> </ns0:t>
      </ns0:r>
      <ns0:r>
        <ns0:t xml:space="preserve">The statute did not need to declare every conversational model high impact. It regulated a</ns0:t>
      </ns0:r>
      <ns0:r>
        <ns0:t xml:space="preserve"> </ns0:t>
      </ns0:r>
      <ns0:r>
        <ns0:t xml:space="preserve">deployment category and the enterprise that made it available.</ns0:t>
      </ns0:r>
    </ns0:p>
    <ns0:p>
      <ns0:pPr>
        <ns0:pStyle ns0:val="BodyText"/>
      </ns0:pPr>
      <ns0:r>
        <ns0:t xml:space="preserve">A designation should also identify exclusions. Research or internal evaluation that does not</ns0:t>
      </ns0:r>
      <ns0:r>
        <ns0:t xml:space="preserve"> </ns0:t>
      </ns0:r>
      <ns0:r>
        <ns0:t xml:space="preserve">produce a legally or practically consequential effect on an affected person ordinarily falls outside.</ns0:t>
      </ns0:r>
      <ns0:r>
        <ns0:t xml:space="preserve"> </ns0:t>
      </ns0:r>
      <ns0:r>
        <ns0:t xml:space="preserve">So does general cloud hosting without risk-specific configuration or intervention authority. Small</ns0:t>
      </ns0:r>
      <ns0:r>
        <ns0:t xml:space="preserve"> </ns0:t>
      </ns0:r>
      <ns0:r>
        <ns0:t xml:space="preserve">entities may receive simplified record forms or regulator assistance where the sector permits, but</ns0:t>
      </ns0:r>
      <ns0:r>
        <ns0:t xml:space="preserve"> </ns0:t>
      </ns0:r>
      <ns0:r>
        <ns0:t xml:space="preserve">the information essential to identify a consequential decision should not disappear with</ns0:t>
      </ns0:r>
      <ns0:r>
        <ns0:t xml:space="preserve"> </ns0:t>
      </ns0:r>
      <ns0:r>
        <ns0:t xml:space="preserve">enterprise size. A covered operator using open weights still controls a deployment; an</ns0:t>
      </ns0:r>
      <ns0:r>
        <ns0:t xml:space="preserve"> </ns0:t>
      </ns0:r>
      <ns0:r>
        <ns0:t xml:space="preserve">upstream author who has no continuing authority may fall outside the post-release control</ns0:t>
      </ns0:r>
      <ns0:r>
        <ns0:t xml:space="preserve"> </ns0:t>
      </ns0:r>
      <ns0:r>
        <ns0:t xml:space="preserve">lane.</ns0:t>
      </ns0:r>
    </ns0:p>
    <ns0:bookmarkEnd ns0:id="237"/>
    <ns0:bookmarkStart ns0:id="239" ns0:name="the-visible-operator-answers-first"/>
    <ns0:p>
      <ns0:pPr>
        <ns0:pStyle ns0:val="Heading4"/>
      </ns0:pPr>
      <ns0:r>
        <ns0:t xml:space="preserve">B</ns0:t>
      </ns0:r>
      <ns0:r>
        <ns0:t xml:space="preserve"> </ns0:t>
      </ns0:r>
      <ns0:r>
        <ns0:t xml:space="preserve"> </ns0:t>
      </ns0:r>
      <ns0:bookmarkStart ns0:id="238" ns0:name="x1-11000B"/>
      <ns0:bookmarkEnd ns0:id="238"/>
      <ns0:r>
        <ns0:t xml:space="preserve">The Visible Operator Answers First</ns0:t>
      </ns0:r>
    </ns0:p>
    <ns0:p>
      <ns0:pPr>
        <ns0:pStyle ns0:val="FirstParagraph"/>
      </ns0:pPr>
      <ns0:r>
        <ns0:t xml:space="preserve">The rule resolves the service problem by selecting the entity an affected person can</ns0:t>
      </ns0:r>
      <ns0:r>
        <ns0:t xml:space="preserve"> </ns0:t>
      </ns0:r>
      <ns0:r>
        <ns0:t xml:space="preserve">ordinarily identify. The</ns0:t>
      </ns0:r>
      <ns0:r>
        <ns0:t xml:space="preserve"> </ns0:t>
      </ns0:r>
      <ns0:r>
        <ns0:rPr>
          <ns0:i/>
          <ns0:iCs/>
        </ns0:rPr>
        <ns0:t xml:space="preserve">visible operator</ns0:t>
      </ns0:r>
      <ns0:r>
        <ns0:rPr>
          <ns0:i/>
          <ns0:iCs/>
        </ns0:rPr>
        <ns0:t xml:space="preserve"> </ns0:t>
      </ns0:r>
      <ns0:r>
        <ns0:t xml:space="preserve">is the enterprise or public institution that made the</ns0:t>
      </ns0:r>
      <ns0:r>
        <ns0:t xml:space="preserve"> </ns0:t>
      </ns0:r>
      <ns0:r>
        <ns0:t xml:space="preserve">covered deployment available to the affected person or incorporated it into the process</ns0:t>
      </ns0:r>
      <ns0:r>
        <ns0:t xml:space="preserve"> </ns0:t>
      </ns0:r>
      <ns0:r>
        <ns0:t xml:space="preserve">that produced the adverse event. It may be a companion-service provider, employer,</ns0:t>
      </ns0:r>
      <ns0:r>
        <ns0:t xml:space="preserve"> </ns0:t>
      </ns0:r>
      <ns0:r>
        <ns0:t xml:space="preserve">hospital, lender, benefits agency, school, or operator of a branded application. Its gateway</ns0:t>
      </ns0:r>
      <ns0:r>
        <ns0:t xml:space="preserve"> </ns0:t>
      </ns0:r>
      <ns0:r>
        <ns0:t xml:space="preserve">role follows from visibility and provenance, not a presumption that it controlled every</ns0:t>
      </ns0:r>
      <ns0:r>
        <ns0:t xml:space="preserve"> </ns0:t>
      </ns0:r>
      <ns0:r>
        <ns0:t xml:space="preserve">risk.</ns0:t>
      </ns0:r>
    </ns0:p>
    <ns0:p>
      <ns0:pPr>
        <ns0:pStyle ns0:val="BodyText"/>
      </ns0:pPr>
      <ns0:r>
        <ns0:t xml:space="preserve">Stage One uses an occurrence threshold rather than a miniature merits pleading. A verified</ns0:t>
      </ns0:r>
      <ns0:r>
        <ns0:t xml:space="preserve"> </ns0:t>
      </ns0:r>
      <ns0:r>
        <ns0:t xml:space="preserve">notice identifies: (1) an adverse event affecting an interest protected by the law specified in the</ns0:t>
      </ns0:r>
      <ns0:r>
        <ns0:t xml:space="preserve"> </ns0:t>
      </ns0:r>
      <ns0:r>
        <ns0:t xml:space="preserve">sectoral designation; (2) the covered deployment or visible operator through which the event</ns0:t>
      </ns0:r>
      <ns0:r>
        <ns0:t xml:space="preserve"> </ns0:t>
      </ns0:r>
      <ns0:r>
        <ns0:t xml:space="preserve">occurred; (3) facts reasonably connecting the requested identity and event fields to that</ns0:t>
      </ns0:r>
      <ns0:r>
        <ns0:t xml:space="preserve"> </ns0:t>
      </ns0:r>
      <ns0:r>
        <ns0:t xml:space="preserve">occurrence; (4) the relevant time, transaction, account, decision, or interaction with as much</ns0:t>
      </ns0:r>
      <ns0:r>
        <ns0:t xml:space="preserve"> </ns0:t>
      </ns0:r>
      <ns0:r>
        <ns0:t xml:space="preserve">specificity as reasonably available; (5) the closed fields sought; and (6) a good-faith intended use of</ns0:t>
      </ns0:r>
      <ns0:r>
        <ns0:t xml:space="preserve"> </ns0:t>
      </ns0:r>
      <ns0:r>
        <ns0:t xml:space="preserve">the answer to evaluate, contest, appeal, or seek relief for the event. A declaration under</ns0:t>
      </ns0:r>
      <ns0:r>
        <ns0:t xml:space="preserve"> </ns0:t>
      </ns0:r>
      <ns0:r>
        <ns0:t xml:space="preserve">penalty of perjury supplies the requester’s personal knowledge and marks matters stated</ns0:t>
      </ns0:r>
      <ns0:r>
        <ns0:t xml:space="preserve"> </ns0:t>
      </ns0:r>
      <ns0:r>
        <ns0:t xml:space="preserve">on information reasonably available; counsel certifies proper purpose and reasonable</ns0:t>
      </ns0:r>
      <ns0:r>
        <ns0:t xml:space="preserve"> </ns0:t>
      </ns0:r>
      <ns0:r>
        <ns0:t xml:space="preserve">inquiry.</ns0:t>
      </ns0:r>
    </ns0:p>
    <ns0:p>
      <ns0:pPr>
        <ns0:pStyle ns0:val="BodyText"/>
      </ns0:pPr>
      <ns0:r>
        <ns0:t xml:space="preserve">That threshold demands an event and a bounded connection, but never a fact held</ns0:t>
      </ns0:r>
      <ns0:r>
        <ns0:t xml:space="preserve"> </ns0:t>
      </ns0:r>
      <ns0:r>
        <ns0:t xml:space="preserve">exclusively in the deployment record. An applicant need not know whether a named feature was</ns0:t>
      </ns0:r>
      <ns0:r>
        <ns0:t xml:space="preserve"> </ns0:t>
      </ns0:r>
      <ns0:r>
        <ns0:t xml:space="preserve">enabled, whether it generated a score, whether the score reached the employer, which version ran,</ns0:t>
      </ns0:r>
      <ns0:r>
        <ns0:t xml:space="preserve"> </ns0:t>
      </ns0:r>
      <ns0:r>
        <ns0:t xml:space="preserve">or which supplier retained the event log. Those are first-answer fields. “An AI harmed me” remains</ns0:t>
      </ns0:r>
      <ns0:r>
        <ns0:t xml:space="preserve"> </ns0:t>
      </ns0:r>
      <ns0:r>
        <ns0:t xml:space="preserve">insufficient because it identifies neither a covered occurrence nor a closed record. But the operator</ns0:t>
      </ns0:r>
      <ns0:r>
        <ns0:t xml:space="preserve"> </ns0:t>
      </ns0:r>
      <ns0:r>
        <ns0:t xml:space="preserve">cannot defeat Stage One by demanding proof that an undisclosed feature participated in the</ns0:t>
      </ns0:r>
      <ns0:r>
        <ns0:t xml:space="preserve"> </ns0:t>
      </ns0:r>
      <ns0:r>
        <ns0:t xml:space="preserve">event.</ns0:t>
      </ns0:r>
    </ns0:p>
    <ns0:p>
      <ns0:pPr>
        <ns0:pStyle ns0:val="BodyText"/>
      </ns0:pPr>
      <ns0:r>
        <ns0:t xml:space="preserve">The notice invokes a statutory access right that exists outside merits discovery. It can be</ns0:t>
      </ns0:r>
      <ns0:r>
        <ns0:t xml:space="preserve"> </ns0:t>
      </ns0:r>
      <ns0:r>
        <ns0:t xml:space="preserve">served before a complaint, with a complaint, or after filing. Delivery follows the electronic or</ns0:t>
      </ns0:r>
      <ns0:r>
        <ns0:t xml:space="preserve"> </ns0:t>
      </ns0:r>
      <ns0:r>
        <ns0:t xml:space="preserve">registered-agent channel named in the designation; it invokes the operator’s first-answer</ns0:t>
      </ns0:r>
      <ns0:r>
        <ns0:t xml:space="preserve"> </ns0:t>
      </ns0:r>
      <ns0:r>
        <ns0:t xml:space="preserve">duty but is not service of process for a later action. The operator receives thirty days,</ns0:t>
      </ns0:r>
      <ns0:r>
        <ns0:t xml:space="preserve"> </ns0:t>
      </ns0:r>
      <ns0:r>
        <ns0:t xml:space="preserve">subject to one short extension for a documented technical, privacy, or security need, to</ns0:t>
      </ns0:r>
      <ns0:r>
        <ns0:t xml:space="preserve"> </ns0:t>
      </ns0:r>
      <ns0:r>
        <ns0:t xml:space="preserve">answer, object by field, or state that no covered deployment processed the identified event.</ns0:t>
      </ns0:r>
      <ns0:r>
        <ns0:t xml:space="preserve"> </ns0:t>
      </ns0:r>
      <ns0:r>
        <ns0:t xml:space="preserve">Silence, a blanket proprietary designation, and referral to an unnamed vendor are not</ns0:t>
      </ns0:r>
      <ns0:r>
        <ns0:t xml:space="preserve"> </ns0:t>
      </ns0:r>
      <ns0:r>
        <ns0:t xml:space="preserve">responses.</ns0:t>
      </ns0:r>
    </ns0:p>
    <ns0:p>
      <ns0:pPr>
        <ns0:pStyle ns0:val="BodyText"/>
      </ns0:pPr>
      <ns0:r>
        <ns0:t xml:space="preserve">If the operator refuses or materially underanswers, the affected person may seek narrow</ns0:t>
      </ns0:r>
      <ns0:r>
        <ns0:t xml:space="preserve"> </ns0:t>
      </ns0:r>
      <ns0:r>
        <ns0:t xml:space="preserve">enforcement against that known entity in a lawful forum. The statutory violation is complete upon</ns0:t>
      </ns0:r>
      <ns0:r>
        <ns0:t xml:space="preserve"> </ns0:t>
      </ns0:r>
      <ns0:r>
        <ns0:t xml:space="preserve">coverage, a compliant request, delivery, and nonperformance; enforcement does not depend on</ns0:t>
      </ns0:r>
      <ns0:r>
        <ns0:t xml:space="preserve"> </ns0:t>
      </ns0:r>
      <ns0:r>
        <ns0:t xml:space="preserve">pleading the merits fact that the first answer exists to reveal. The administering agency or a court</ns0:t>
      </ns0:r>
      <ns0:r>
        <ns0:t xml:space="preserve"> </ns0:t>
      </ns0:r>
      <ns0:r>
        <ns0:t xml:space="preserve">with independent subject-matter and personal jurisdiction can order the defined answer, and a</ns0:t>
      </ns0:r>
      <ns0:r>
        <ns0:t xml:space="preserve"> </ns0:t>
      </ns0:r>
      <ns0:r>
        <ns0:t xml:space="preserve">valid arbitration agreement may select the private enforcement forum. The requester bears the</ns0:t>
      </ns0:r>
      <ns0:r>
        <ns0:t xml:space="preserve"> </ns0:t>
      </ns0:r>
      <ns0:r>
        <ns0:t xml:space="preserve">burden on coverage, delivery, and the occurrence threshold. The operator bears the burden</ns0:t>
      </ns0:r>
      <ns0:r>
        <ns0:t xml:space="preserve"> </ns0:t>
      </ns0:r>
      <ns0:r>
        <ns0:t xml:space="preserve">on a field-specific objection based on facts within its control, including nonoperation,</ns0:t>
      </ns0:r>
      <ns0:r>
        <ns0:t xml:space="preserve"> </ns0:t>
      </ns0:r>
      <ns0:r>
        <ns0:t xml:space="preserve">burden, privilege, privacy, security, or documented unavailability. Jurisdiction, immunity,</ns0:t>
      </ns0:r>
      <ns0:r>
        <ns0:t xml:space="preserve"> </ns0:t>
      </ns0:r>
      <ns0:r>
        <ns0:t xml:space="preserve">preemption, and a pure legal bar remain available before access expands beyond the fixed first</ns0:t>
      </ns0:r>
      <ns0:r>
        <ns0:t xml:space="preserve"> </ns0:t>
      </ns0:r>
      <ns0:r>
        <ns0:t xml:space="preserve">answer.</ns0:t>
      </ns0:r>
    </ns0:p>
    <ns0:p>
      <ns0:pPr>
        <ns0:pStyle ns0:val="BodyText"/>
      </ns0:pPr>
      <ns0:r>
        <ns0:t xml:space="preserve">The gateway then supplies a</ns0:t>
      </ns0:r>
      <ns0:r>
        <ns0:t xml:space="preserve"> </ns0:t>
      </ns0:r>
      <ns0:r>
        <ns0:rPr>
          <ns0:i/>
          <ns0:iCs/>
        </ns0:rPr>
        <ns0:t xml:space="preserve">first answer</ns0:t>
      </ns0:r>
      <ns0:r>
        <ns0:rPr>
          <ns0:i/>
          <ns0:iCs/>
        </ns0:rPr>
        <ns0:t xml:space="preserve"> </ns0:t>
      </ns0:r>
      <ns0:r>
        <ns0:t xml:space="preserve">with two components. The</ns0:t>
      </ns0:r>
      <ns0:r>
        <ns0:t xml:space="preserve"> </ns0:t>
      </ns0:r>
      <ns0:r>
        <ns0:rPr>
          <ns0:i/>
          <ns0:iCs/>
        </ns0:rPr>
        <ns0:t xml:space="preserve">event receipt</ns0:t>
      </ns0:r>
      <ns0:r>
        <ns0:rPr>
          <ns0:i/>
          <ns0:iCs/>
        </ns0:rPr>
        <ns0:t xml:space="preserve"> </ns0:t>
      </ns0:r>
      <ns0:r>
        <ns0:t xml:space="preserve">identifies</ns0:t>
      </ns0:r>
      <ns0:r>
        <ns0:t xml:space="preserve"> </ns0:t>
      </ns0:r>
      <ns0:r>
        <ns0:t xml:space="preserve">the application and model versions active for the event; any output, score, decision, notice,</ns0:t>
      </ns0:r>
      <ns0:r>
        <ns0:t xml:space="preserve"> </ns0:t>
      </ns0:r>
      <ns0:r>
        <ns0:t xml:space="preserve">warning, transmission, use, or intervention recorded for that event; and whether a requested</ns0:t>
      </ns0:r>
      <ns0:r>
        <ns0:t xml:space="preserve"> </ns0:t>
      </ns0:r>
      <ns0:r>
        <ns0:t xml:space="preserve">function did not run. The</ns0:t>
      </ns0:r>
      <ns0:r>
        <ns0:t xml:space="preserve"> </ns0:t>
      </ns0:r>
      <ns0:r>
        <ns0:rPr>
          <ns0:i/>
          <ns0:iCs/>
        </ns0:rPr>
        <ns0:t xml:space="preserve">custodian map</ns0:t>
      </ns0:r>
      <ns0:r>
        <ns0:rPr>
          <ns0:i/>
          <ns0:iCs/>
        </ns0:rPr>
        <ns0:t xml:space="preserve"> </ns0:t>
      </ns0:r>
      <ns0:r>
        <ns0:t xml:space="preserve">identifies entities that supplied, configured, integrated, or</ns0:t>
      </ns0:r>
      <ns0:r>
        <ns0:t xml:space="preserve"> </ns0:t>
      </ns0:r>
      <ns0:r>
        <ns0:t xml:space="preserve">operated material components; the holder and legal controller of each listed record; and the roles</ns0:t>
      </ns0:r>
      <ns0:r>
        <ns0:t xml:space="preserve"> </ns0:t>
      </ns0:r>
      <ns0:r>
        <ns0:t xml:space="preserve">with authority to update, restrict, roll back, suspend, or stop a relevant function. The</ns0:t>
      </ns0:r>
      <ns0:r>
        <ns0:t xml:space="preserve"> </ns0:t>
      </ns0:r>
      <ns0:r>
        <ns0:t xml:space="preserve">operator preserves records within its control, identifies the retention schedule and known</ns0:t>
      </ns0:r>
      <ns0:r>
        <ns0:t xml:space="preserve"> </ns0:t>
      </ns0:r>
      <ns0:r>
        <ns0:t xml:space="preserve">deletion, and activates each contractual retrieval and preservation path required before</ns0:t>
      </ns0:r>
      <ns0:r>
        <ns0:t xml:space="preserve"> </ns0:t>
      </ns0:r>
      <ns0:r>
        <ns0:t xml:space="preserve">deployment.</ns0:t>
      </ns0:r>
    </ns0:p>
    <ns0:p>
      <ns0:pPr>
        <ns0:pStyle ns0:val="BodyText"/>
      </ns0:pPr>
      <ns0:r>
        <ns0:t xml:space="preserve">This answer solves two practical problems. The affected person receives identity</ns0:t>
      </ns0:r>
      <ns0:r>
        <ns0:t xml:space="preserve"> </ns0:t>
      </ns0:r>
      <ns0:r>
        <ns0:t xml:space="preserve">and provenance without reconstructing vendor architecture. Potential control holders</ns0:t>
      </ns0:r>
      <ns0:r>
        <ns0:t xml:space="preserve"> </ns0:t>
      </ns0:r>
      <ns0:r>
        <ns0:t xml:space="preserve">receive a common event identifier and can preserve the corresponding slice. A visible</ns0:t>
      </ns0:r>
      <ns0:r>
        <ns0:t xml:space="preserve"> </ns0:t>
      </ns0:r>
      <ns0:r>
        <ns0:t xml:space="preserve">operator cannot answer that procurement did not retain the version or that the supplier</ns0:t>
      </ns0:r>
      <ns0:r>
        <ns0:t xml:space="preserve"> </ns0:t>
      </ns0:r>
      <ns0:r>
        <ns0:t xml:space="preserve">relationship is confidential; local provenance and a retrieval right are conditions of covered</ns0:t>
      </ns0:r>
      <ns0:r>
        <ns0:t xml:space="preserve"> </ns0:t>
      </ns0:r>
      <ns0:r>
        <ns0:t xml:space="preserve">deployment. Notice to a supplier, however, creates neither statutory coverage, choice of law,</ns0:t>
      </ns0:r>
      <ns0:r>
        <ns0:t xml:space="preserve"> </ns0:t>
      </ns0:r>
      <ns0:r>
        <ns0:t xml:space="preserve">personal jurisdiction, nor service of process. Direct statutory duties attach only where the</ns0:t>
      </ns0:r>
      <ns0:r>
        <ns0:t xml:space="preserve"> </ns0:t>
      </ns0:r>
      <ns0:r>
        <ns0:t xml:space="preserve">enterprise and deployment fall within the Act’s valid territorial and choice-of-law reach; the</ns0:t>
      </ns0:r>
      <ns0:r>
        <ns0:t xml:space="preserve"> </ns0:t>
      </ns0:r>
      <ns0:r>
        <ns0:t xml:space="preserve">operator remains responsible for the local minimum answer and contractual retrieval</ns0:t>
      </ns0:r>
      <ns0:r>
        <ns0:t xml:space="preserve"> </ns0:t>
      </ns0:r>
      <ns0:r>
        <ns0:t xml:space="preserve">architecture.</ns0:t>
      </ns0:r>
    </ns0:p>
    <ns0:p>
      <ns0:pPr>
        <ns0:pStyle ns0:val="BodyText"/>
      </ns0:pPr>
      <ns0:r>
        <ns0:t xml:space="preserve">Stage Two begins only after that record exists. The affected person must identify a</ns0:t>
      </ns0:r>
      <ns0:r>
        <ns0:t xml:space="preserve"> </ns0:t>
      </ns0:r>
      <ns0:r>
        <ns0:t xml:space="preserve">claim-specific control lane, show from Stage One that the function formed part of the event path or</ns0:t>
      </ns0:r>
      <ns0:r>
        <ns0:t xml:space="preserve"> </ns0:t>
      </ns0:r>
      <ns0:r>
        <ns0:t xml:space="preserve">governed a safeguard, and show that additional nonprivileged information bears non-de-minimally</ns0:t>
      </ns0:r>
      <ns0:r>
        <ns0:t xml:space="preserve"> </ns0:t>
      </ns0:r>
      <ns0:r>
        <ns0:t xml:space="preserve">on an element, defense, or remedy and is proportionate to the defined dispute. The visible</ns0:t>
      </ns0:r>
      <ns0:r>
        <ns0:t xml:space="preserve"> </ns0:t>
      </ns0:r>
      <ns0:r>
        <ns0:t xml:space="preserve">operator remains free to show that its gateway role did not include the relevant lane.</ns0:t>
      </ns0:r>
      <ns0:r>
        <ns0:t xml:space="preserve"> </ns0:t>
      </ns0:r>
      <ns0:r>
        <ns0:t xml:space="preserve">Visibility opens Stage One; the test in the next Section determines who remains for Stage</ns0:t>
      </ns0:r>
      <ns0:r>
        <ns0:t xml:space="preserve"> </ns0:t>
      </ns0:r>
      <ns0:r>
        <ns0:t xml:space="preserve">Two.</ns0:t>
      </ns0:r>
    </ns0:p>
    <ns0:bookmarkEnd ns0:id="239"/>
    <ns0:bookmarkStart ns0:id="245" ns0:name="X9e7a45e9943e08544407f510f9a942aad7a0627"/>
    <ns0:p>
      <ns0:pPr>
        <ns0:pStyle ns0:val="Heading4"/>
      </ns0:pPr>
      <ns0:r>
        <ns0:t xml:space="preserve">C</ns0:t>
      </ns0:r>
      <ns0:r>
        <ns0:t xml:space="preserve"> </ns0:t>
      </ns0:r>
      <ns0:r>
        <ns0:t xml:space="preserve"> </ns0:t>
      </ns0:r>
      <ns0:bookmarkStart ns0:id="240" ns0:name="x1-12000C"/>
      <ns0:bookmarkEnd ns0:id="240"/>
      <ns0:r>
        <ns0:t xml:space="preserve">Material Control Requires Risk, Authority, and Information Materiality</ns0:t>
      </ns0:r>
    </ns0:p>
    <ns0:p>
      <ns0:pPr>
        <ns0:pStyle ns0:val="FirstParagraph"/>
      </ns0:pPr>
      <ns0:r>
        <ns0:t xml:space="preserve">“Ability to affect the system” is too broad. A cloud provider, investor, data vendor, researcher,</ns0:t>
      </ns0:r>
      <ns0:r>
        <ns0:t xml:space="preserve"> </ns0:t>
      </ns0:r>
      <ns0:r>
        <ns0:t xml:space="preserve">model author, and downstream institution may each have some causal connection to a deployment.</ns0:t>
      </ns0:r>
      <ns0:r>
        <ns0:t xml:space="preserve"> </ns0:t>
      </ns0:r>
      <ns0:r>
        <ns0:t xml:space="preserve">The front door should reach an enterprise only when three requirements are satisfied at the</ns0:t>
      </ns0:r>
      <ns0:r>
        <ns0:t xml:space="preserve"> </ns0:t>
      </ns0:r>
      <ns0:r>
        <ns0:t xml:space="preserve">relevant time.</ns0:t>
      </ns0:r>
    </ns0:p>
    <ns0:p>
      <ns0:pPr>
        <ns0:pStyle ns0:val="BodyText"/>
      </ns0:pPr>
      <ns0:r>
        <ns0:t xml:space="preserve">First,</ns0:t>
      </ns0:r>
      <ns0:r>
        <ns0:t xml:space="preserve"> </ns0:t>
      </ns0:r>
      <ns0:r>
        <ns0:rPr>
          <ns0:i/>
          <ns0:iCs/>
        </ns0:rPr>
        <ns0:t xml:space="preserve">risk specificity</ns0:t>
      </ns0:r>
      <ns0:r>
        <ns0:t xml:space="preserve">: the asserted control must connect to the risk alleged in the verified</ns0:t>
      </ns0:r>
      <ns0:r>
        <ns0:t xml:space="preserve"> </ns0:t>
      </ns0:r>
      <ns0:r>
        <ns0:t xml:space="preserve">notice. General influence over corporate strategy, compute availability, or model research does not</ns0:t>
      </ns0:r>
      <ns0:r>
        <ns0:t xml:space="preserve"> </ns0:t>
      </ns0:r>
      <ns0:r>
        <ns0:t xml:space="preserve">establish control over age access, hiring rank, clinical escalation, a particular tool permission, or</ns0:t>
      </ns0:r>
      <ns0:r>
        <ns0:t xml:space="preserve"> </ns0:t>
      </ns0:r>
      <ns0:r>
        <ns0:t xml:space="preserve">another specified hazard.</ns0:t>
      </ns0:r>
    </ns0:p>
    <ns0:p>
      <ns0:pPr>
        <ns0:pStyle ns0:val="BodyText"/>
      </ns0:pPr>
      <ns0:r>
        <ns0:t xml:space="preserve">Second,</ns0:t>
      </ns0:r>
      <ns0:r>
        <ns0:t xml:space="preserve"> </ns0:t>
      </ns0:r>
      <ns0:r>
        <ns0:rPr>
          <ns0:i/>
          <ns0:iCs/>
        </ns0:rPr>
        <ns0:t xml:space="preserve">practical authority</ns0:t>
      </ns0:r>
      <ns0:r>
        <ns0:t xml:space="preserve">: the enterprise must have possessed an operational or legally</ns0:t>
      </ns0:r>
      <ns0:r>
        <ns0:t xml:space="preserve"> </ns0:t>
      </ns0:r>
      <ns0:r>
        <ns0:t xml:space="preserve">enforceable ability to configure, constrain, evaluate, monitor, update, suspend, roll back, or</ns0:t>
      </ns0:r>
      <ns0:r>
        <ns0:t xml:space="preserve"> </ns0:t>
      </ns0:r>
      <ns0:r>
        <ns0:t xml:space="preserve">terminate the relevant function. A theoretical technical capacity, an expired contract right, or</ns0:t>
      </ns0:r>
      <ns0:r>
        <ns0:t xml:space="preserve"> </ns0:t>
      </ns0:r>
      <ns0:r>
        <ns0:t xml:space="preserve">influence that required another actor’s voluntary cooperation is evidence but not practical</ns0:t>
      </ns0:r>
      <ns0:r>
        <ns0:t xml:space="preserve"> </ns0:t>
      </ns0:r>
      <ns0:r>
        <ns0:t xml:space="preserve">authority by itself. Contractual audit, update, safety-override, and suspension rights matter</ns0:t>
      </ns0:r>
      <ns0:r>
        <ns0:t xml:space="preserve"> </ns0:t>
      </ns0:r>
      <ns0:r>
        <ns0:t xml:space="preserve">because they may be usable controls; a contractual label declaring the parties independent does</ns0:t>
      </ns0:r>
      <ns0:r>
        <ns0:t xml:space="preserve"> </ns0:t>
      </ns0:r>
      <ns0:r>
        <ns0:t xml:space="preserve">not decide the question.</ns0:t>
      </ns0:r>
    </ns0:p>
    <ns0:p>
      <ns0:pPr>
        <ns0:pStyle ns0:val="BodyText"/>
      </ns0:pPr>
      <ns0:r>
        <ns0:t xml:space="preserve">Third,</ns0:t>
      </ns0:r>
      <ns0:r>
        <ns0:t xml:space="preserve"> </ns0:t>
      </ns0:r>
      <ns0:r>
        <ns0:rPr>
          <ns0:i/>
          <ns0:iCs/>
        </ns0:rPr>
        <ns0:t xml:space="preserve">information materiality</ns0:t>
      </ns0:r>
      <ns0:r>
        <ns0:t xml:space="preserve">: the Stage One record must support that the function</ns0:t>
      </ns0:r>
      <ns0:r>
        <ns0:t xml:space="preserve"> </ns0:t>
      </ns0:r>
      <ns0:r>
        <ns0:t xml:space="preserve">formed part of the event path or governed a safeguard, and the requested information must bear</ns0:t>
      </ns0:r>
      <ns0:r>
        <ns0:t xml:space="preserve"> </ns0:t>
      </ns0:r>
      <ns0:r>
        <ns0:t xml:space="preserve">non-de-minimally on an element, defense, or remedy. An incidental contribution or a remote ability</ns0:t>
      </ns0:r>
      <ns0:r>
        <ns0:t xml:space="preserve"> </ns0:t>
      </ns0:r>
      <ns0:r>
        <ns0:t xml:space="preserve">affecting every customer in the same undifferentiated way falls outside. The inquiry asks whether</ns0:t>
      </ns0:r>
      <ns0:r>
        <ns0:t xml:space="preserve"> </ns0:t>
      </ns0:r>
      <ns0:r>
        <ns0:t xml:space="preserve">the requested information can materially inform adjudication. It does not require a showing that</ns0:t>
      </ns0:r>
      <ns0:r>
        <ns0:t xml:space="preserve"> </ns0:t>
      </ns0:r>
      <ns0:r>
        <ns0:t xml:space="preserve">exercising the authority would have prevented the injury, changed the ultimate decision, or</ns0:t>
      </ns0:r>
      <ns0:r>
        <ns0:t xml:space="preserve"> </ns0:t>
      </ns0:r>
      <ns0:r>
        <ns0:t xml:space="preserve">satisfied causation.</ns0:t>
      </ns0:r>
    </ns0:p>
    <ns0:p>
      <ns0:pPr>
        <ns0:pStyle ns0:val="BodyText"/>
      </ns0:pPr>
      <ns0:r>
        <ns0:t xml:space="preserve">The requirements are cumulative. Nonexclusive factors include who selected the</ns0:t>
      </ns0:r>
      <ns0:r>
        <ns0:t xml:space="preserve"> </ns0:t>
      </ns0:r>
      <ns0:r>
        <ns0:t xml:space="preserve">deployment’s purpose and population; chose the model and version; configured instructions,</ns0:t>
      </ns0:r>
      <ns0:r>
        <ns0:t xml:space="preserve"> </ns0:t>
      </ns0:r>
      <ns0:r>
        <ns0:t xml:space="preserve">memory, retrieval, data fields, tools, and credentials; set engagement, ranking, decision, or</ns0:t>
      </ns0:r>
      <ns0:r>
        <ns0:t xml:space="preserve"> </ns0:t>
      </ns0:r>
      <ns0:r>
        <ns0:t xml:space="preserve">escalation thresholds; received evaluations, complaints, and incident signals; could issue an update</ns0:t>
      </ns0:r>
      <ns0:r>
        <ns0:t xml:space="preserve"> </ns0:t>
      </ns0:r>
      <ns0:r>
        <ns0:t xml:space="preserve">or impose a restriction; retained contractual audit or safety-override rights; and could suspend, roll</ns0:t>
      </ns0:r>
      <ns0:r>
        <ns0:t xml:space="preserve"> </ns0:t>
      </ns0:r>
      <ns0:r>
        <ns0:t xml:space="preserve">back, or terminate the function. The inquiry is temporal. Authority obtained after the</ns0:t>
      </ns0:r>
      <ns0:r>
        <ns0:t xml:space="preserve"> </ns0:t>
      </ns0:r>
      <ns0:r>
        <ns0:t xml:space="preserve">event does not create earlier control, although later records may reveal what authority</ns0:t>
      </ns0:r>
      <ns0:r>
        <ns0:t xml:space="preserve"> </ns0:t>
      </ns0:r>
      <ns0:r>
        <ns0:t xml:space="preserve">existed.</ns0:t>
      </ns0:r>
    </ns0:p>
    <ns0:p>
      <ns0:pPr>
        <ns0:pStyle ns0:val="BodyText"/>
      </ns0:pPr>
      <ns0:r>
        <ns0:t xml:space="preserve">Several negative rules keep the test bounded. Investment, ordinary cloud capacity,</ns0:t>
      </ns0:r>
      <ns0:r>
        <ns0:t xml:space="preserve"> </ns0:t>
      </ns0:r>
      <ns0:r>
        <ns0:t xml:space="preserve">publication of research, past employment, trademark association, and model provenance alone do</ns0:t>
      </ns0:r>
      <ns0:r>
        <ns0:t xml:space="preserve"> </ns0:t>
      </ns0:r>
      <ns0:r>
        <ns0:t xml:space="preserve">not establish material control. Publishing open weights may end the original provider’s ability to</ns0:t>
      </ns0:r>
      <ns0:r>
        <ns0:t xml:space="preserve"> </ns0:t>
      </ns0:r>
      <ns0:r>
        <ns0:t xml:space="preserve">monitor or stop an independent deployment. A downstream modifier that removes safeguards, adds</ns0:t>
      </ns0:r>
      <ns0:r>
        <ns0:t xml:space="preserve"> </ns0:t>
      </ns0:r>
      <ns0:r>
        <ns0:t xml:space="preserve">credentials, or selects a new high-impact purpose can occupy the relevant lane instead. Conversely,</ns0:t>
      </ns0:r>
      <ns0:r>
        <ns0:t xml:space="preserve"> </ns0:t>
      </ns0:r>
      <ns0:r>
        <ns0:t xml:space="preserve">a provider that retains mandatory updates, remote suspension, risk monitoring, or binding</ns0:t>
      </ns0:r>
      <ns0:r>
        <ns0:t xml:space="preserve"> </ns0:t>
      </ns0:r>
      <ns0:r>
        <ns0:t xml:space="preserve">deployment conditions may retain a lane despite contract language assigning “all responsibility”</ns0:t>
      </ns0:r>
      <ns0:r>
        <ns0:t xml:space="preserve"> </ns0:t>
      </ns0:r>
      <ns0:r>
        <ns0:t xml:space="preserve">downstream.</ns0:t>
      </ns0:r>
    </ns0:p>
    <ns0:p>
      <ns0:pPr>
        <ns0:pStyle ns0:val="BodyText"/>
      </ns0:pPr>
      <ns0:r>
        <ns0:t xml:space="preserve">Material control determines information obligations, not substantive liability. An</ns0:t>
      </ns0:r>
      <ns0:r>
        <ns0:t xml:space="preserve"> </ns0:t>
      </ns0:r>
      <ns0:r>
        <ns0:t xml:space="preserve">enterprise can possess a control relevant to feasibility yet owe no duty to the affected</ns0:t>
      </ns0:r>
      <ns0:r>
        <ns0:t xml:space="preserve"> </ns0:t>
      </ns0:r>
      <ns0:r>
        <ns0:t xml:space="preserve">person under governing law. It can receive an alert that does not constitute legally</ns0:t>
      </ns0:r>
      <ns0:r>
        <ns0:t xml:space="preserve"> </ns0:t>
      </ns0:r>
      <ns0:r>
        <ns0:t xml:space="preserve">sufficient notice. The test identifies the entities and records needed to ask the merits</ns0:t>
      </ns0:r>
      <ns0:r>
        <ns0:t xml:space="preserve"> </ns0:t>
      </ns0:r>
      <ns0:r>
        <ns0:t xml:space="preserve">questions accurately. The statute’s</ns0:t>
      </ns0:r>
      <ns0:r>
        <ns0:t xml:space="preserve"> </ns0:t>
      </ns0:r>
      <ns0:r>
        <ns0:rPr>
          <ns0:i/>
          <ns0:iCs/>
        </ns0:rPr>
        <ns0:t xml:space="preserve">merits firewall</ns0:t>
      </ns0:r>
      <ns0:r>
        <ns0:rPr>
          <ns0:i/>
          <ns0:iCs/>
        </ns0:rPr>
        <ns0:t xml:space="preserve"> </ns0:t>
      </ns0:r>
      <ns0:r>
        <ns0:t xml:space="preserve">preserves that separation: front-door</ns0:t>
      </ns0:r>
      <ns0:r>
        <ns0:t xml:space="preserve"> </ns0:t>
      </ns0:r>
      <ns0:r>
        <ns0:t xml:space="preserve">participation and record production create no inference on an element of the underlying</ns0:t>
      </ns0:r>
      <ns0:r>
        <ns0:t xml:space="preserve"> </ns0:t>
      </ns0:r>
      <ns0:r>
        <ns0:t xml:space="preserve">claim.</ns0:t>
      </ns0:r>
    </ns0:p>
    <ns0:bookmarkStart ns0:id="244" ns0:name="adjudicating-material-control"/>
    <ns0:p>
      <ns0:pPr>
        <ns0:pStyle ns0:val="Heading5"/>
      </ns0:pPr>
      <ns0:r>
        <ns0:t xml:space="preserve">1</ns0:t>
      </ns0:r>
      <ns0:r>
        <ns0:t xml:space="preserve"> </ns0:t>
      </ns0:r>
      <ns0:r>
        <ns0:t xml:space="preserve"> </ns0:t>
      </ns0:r>
      <ns0:bookmarkStart ns0:id="241" ns0:name="x1-130001"/>
      <ns0:bookmarkEnd ns0:id="241"/>
      <ns0:r>
        <ns0:t xml:space="preserve">Adjudicating Material Control</ns0:t>
      </ns0:r>
    </ns0:p>
    <ns0:p>
      <ns0:pPr>
        <ns0:pStyle ns0:val="FirstParagraph"/>
      </ns0:pPr>
      <ns0:r>
        <ns0:t xml:space="preserve">The test becomes useful doctrine when each requirement has an evidentiary question and an</ns0:t>
      </ns0:r>
      <ns0:r>
        <ns0:t xml:space="preserve"> </ns0:t>
      </ns0:r>
      <ns0:r>
        <ns0:t xml:space="preserve">allocated burden. After the first answer, the affected person makes a prima facie showing by</ns0:t>
      </ns0:r>
      <ns0:r>
        <ns0:t xml:space="preserve"> </ns0:t>
      </ns0:r>
      <ns0:r>
        <ns0:t xml:space="preserve">identifying a concrete lane connected to the asserted risk, showing that the Stage One record</ns0:t>
      </ns0:r>
      <ns0:r>
        <ns0:t xml:space="preserve"> </ns0:t>
      </ns0:r>
      <ns0:r>
        <ns0:t xml:space="preserve">supports that the function formed part of the event path or governed a safeguard, and identifying</ns0:t>
      </ns0:r>
      <ns0:r>
        <ns0:t xml:space="preserve"> </ns0:t>
      </ns0:r>
      <ns0:r>
        <ns0:t xml:space="preserve">requested information that bears non-de-minimally on a claim-specific element, defense, or</ns0:t>
      </ns0:r>
      <ns0:r>
        <ns0:t xml:space="preserve"> </ns0:t>
      </ns0:r>
      <ns0:r>
        <ns0:t xml:space="preserve">remedy. The showing may point to an employer’s enabled ranking feature, a provider’s</ns0:t>
      </ns0:r>
      <ns0:r>
        <ns0:t xml:space="preserve"> </ns0:t>
      </ns0:r>
      <ns0:r>
        <ns0:t xml:space="preserve">retained update authority, an application’s self-harm threshold, or an integrator’s workflow</ns0:t>
      </ns0:r>
      <ns0:r>
        <ns0:t xml:space="preserve"> </ns0:t>
      </ns0:r>
      <ns0:r>
        <ns0:t xml:space="preserve">trigger. It concerns allocation and record relevance, not breach or causal sufficiency.</ns0:t>
      </ns0:r>
      <ns0:r>
        <ns0:t xml:space="preserve"> </ns0:t>
      </ns0:r>
      <ns0:r>
        <ns0:t xml:space="preserve">An enterprise seeking termination then identifies Stage One material showing that the</ns0:t>
      </ns0:r>
      <ns0:r>
        <ns0:t xml:space="preserve"> </ns0:t>
      </ns0:r>
      <ns0:r>
        <ns0:t xml:space="preserve">function did not run, no output was generated or transmitted, the asserted authority was</ns0:t>
      </ns0:r>
      <ns0:r>
        <ns0:t xml:space="preserve"> </ns0:t>
      </ns0:r>
      <ns0:r>
        <ns0:t xml:space="preserve">unavailable at the relevant time, or the requested information bears no non-de-minimis</ns0:t>
      </ns0:r>
      <ns0:r>
        <ns0:t xml:space="preserve"> </ns0:t>
      </ns0:r>
      <ns0:r>
        <ns0:t xml:space="preserve">relation to an element, defense, or remedy. The tribunal decides termination on that</ns0:t>
      </ns0:r>
      <ns0:r>
        <ns0:t xml:space="preserve"> </ns0:t>
      </ns0:r>
      <ns0:r>
        <ns0:t xml:space="preserve">closed record or permits a bounded Stage Two inquiry when a genuine factual conflict</ns0:t>
      </ns0:r>
      <ns0:r>
        <ns0:t xml:space="preserve"> </ns0:t>
      </ns0:r>
      <ns0:r>
        <ns0:t xml:space="preserve">remains.</ns0:t>
      </ns0:r>
    </ns0:p>
    <ns0:p>
      <ns0:pPr>
        <ns0:pStyle ns0:val="BodyText"/>
      </ns0:pPr>
      <ns0:r>
        <ns0:t xml:space="preserve">The record duty supplies one limited burden consequence. If a covered enterprise’s failure to</ns0:t>
      </ns0:r>
      <ns0:r>
        <ns0:t xml:space="preserve"> </ns0:t>
      </ns0:r>
      <ns0:r>
        <ns0:t xml:space="preserve">create or retain a required Stage One field produces an ambiguity about its lane, the tribunal</ns0:t>
      </ns0:r>
      <ns0:r>
        <ns0:t xml:space="preserve"> </ns0:t>
      </ns0:r>
      <ns0:r>
        <ns0:t xml:space="preserve">resolves that ambiguity against the record-duty holder only for access and termination. The</ns0:t>
      </ns0:r>
      <ns0:r>
        <ns0:t xml:space="preserve"> </ns0:t>
      </ns0:r>
      <ns0:r>
        <ns0:t xml:space="preserve">consequence opens bounded production; it creates no inference of duty, breach, causation,</ns0:t>
      </ns0:r>
      <ns0:r>
        <ns0:t xml:space="preserve"> </ns0:t>
      </ns0:r>
      <ns0:r>
        <ns0:t xml:space="preserve">discriminatory operation, or damages. That allocation prevents record noncompliance from</ns0:t>
      </ns0:r>
      <ns0:r>
        <ns0:t xml:space="preserve"> </ns0:t>
      </ns0:r>
      <ns0:r>
        <ns0:t xml:space="preserve">becoming a safe exit while preserving the merits firewall.</ns0:t>
      </ns0:r>
    </ns0:p>
    <ns0:p>
      <ns0:pPr>
        <ns0:pStyle ns0:val="BodyText"/>
      </ns0:pPr>
      <ns0:bookmarkStart ns0:id="242" ns0:name="x1-130012"/>
      <ns0:bookmarkEnd ns0:id="242"/>
    </ns0:p>
    <ns0:p>
      <ns0:pPr>
        <ns0:pStyle ns0:val="ImageCaption"/>
        <ns0:keepNext/>
        <ns0:keepLines/>
      </ns0:pPr>
      <ns0:r>
        <ns0:t xml:space="preserve">Table 2:</ns0:t>
      </ns0:r>
      <ns0:r>
        <ns0:t xml:space="preserve"> </ns0:t>
      </ns0:r>
      <ns0:r>
        <ns0:t xml:space="preserve">Material Control as an Adjudicable Test</ns0:t>
      </ns0:r>
    </ns0:p>
    <ns0:tbl>
      <ns0:tblPr>
        <ns0:tblStyle ns0:val="FigureTable"/>
        <ns0:tblW ns0:type="auto" ns0:w="0"/>
        <ns0:jc ns0:val="center"/>
        <ns0:tblLook ns0:firstRow="0" ns0:lastRow="0" ns0:firstColumn="0" ns0:lastColumn="0"/>
      </ns0:tblPr>
      <ns0:tblGrid>
        <ns0:gridCol ns0:w="7920"/>
      </ns0:tblGrid>
      <ns0:tr>
        <ns0:trPr>
          <ns0:cantSplit/>
        </ns0:trPr>
        <ns0:tc>
          <ns0:tcPr/>
          <ns0:bookmarkStart ns0:id="243" ns0:name="TBL-4"/>
          <ns0:tbl>
            <ns0:tblPr>
              <ns0:tblStyle ns0:val="Table"/>
              <ns0:tblW ns0:type="dxa" ns0:w="9000"/>
              <ns0:jc ns0:val="center"/>
              <ns0:tblBorders>
                <ns0:top ns0:val="single" ns0:sz="8" ns0:space="0" ns0:color="000000"/>
                <ns0:bottom ns0:val="single" ns0:sz="8" ns0:space="0" ns0:color="000000"/>
                <ns0:left ns0:val="nil" ns0:sz="0" ns0:space="0" ns0:color="auto"/>
                <ns0:right ns0:val="nil" ns0:sz="0" ns0:space="0" ns0:color="auto"/>
                <ns0:insideV ns0:val="nil" ns0:sz="0" ns0:space="0" ns0:color="auto"/>
                <ns0:insideH ns0:val="single" ns0:sz="2" ns0:space="0" ns0:color="B7B7B7"/>
              </ns0:tblBorders>
              <ns0:tblLayout ns0:type="fixed"/>
              <ns0:tblCellMar>
                <ns0:top ns0:type="dxa" ns0:w="45"/>
                <ns0:left ns0:type="dxa" ns0:w="70"/>
                <ns0:bottom ns0:type="dxa" ns0:w="45"/>
                <ns0:right ns0:type="dxa" ns0:w="70"/>
              </ns0:tblCellMar>
              <ns0:tblLook ns0:firstRow="0" ns0:lastRow="0" ns0:firstColumn="0" ns0:lastColumn="0" ns0:noHBand="0" ns0:noVBand="0" ns0:val="0000"/>
            </ns0:tblPr>
            <ns0:tblGrid>
              <ns0:gridCol ns0:w="1620"/>
              <ns0:gridCol ns0:w="3150"/>
              <ns0:gridCol ns0:w="4230"/>
            </ns0:tblGrid>
            <ns0:tr>
              <ns0:trPr>
                <ns0:cantSplit/>
                <ns0:tblHeader/>
              </ns0:trPr>
              <ns0:tc>
                <ns0:tcPr>
                  <ns0:tcW ns0:type="dxa" ns0:w="1620"/>
                  <ns0:tcBorders>
                    <ns0:bottom ns0:val="single" ns0:sz="8" ns0:space="0" ns0:color="000000"/>
                  </ns0:tcBorders>
                </ns0:tcPr>
                <ns0:p>
                  <ns0:pPr>
                    <ns0:jc ns0:val="center"/>
                    <ns0:spacing ns0:before="0" ns0:after="0" ns0:line="210" ns0:lineRule="auto"/>
                  </ns0:pPr>
                  <ns0:r>
                    <ns0:rPr>
                      <ns0:sz ns0:val="18"/>
                      <ns0:szCs ns0:val="18"/>
                      <ns0:b/>
                      <ns0:bCs/>
                    </ns0:rPr>
                    <ns0:t xml:space="preserve">Requirement</ns0:t>
                  </ns0:r>
                </ns0:p>
              </ns0:tc>
              <ns0:tc>
                <ns0:tcPr>
                  <ns0:tcW ns0:type="dxa" ns0:w="3150"/>
                  <ns0:tcBorders>
                    <ns0:bottom ns0:val="single" ns0:sz="8" ns0:space="0" ns0:color="000000"/>
                  </ns0:tcBorders>
                </ns0:tcPr>
                <ns0:p>
                  <ns0:pPr>
                    <ns0:jc ns0:val="center"/>
                    <ns0:spacing ns0:before="0" ns0:after="0" ns0:line="210" ns0:lineRule="auto"/>
                  </ns0:pPr>
                  <ns0:r>
                    <ns0:rPr>
                      <ns0:sz ns0:val="18"/>
                      <ns0:szCs ns0:val="18"/>
                      <ns0:b/>
                      <ns0:bCs/>
                    </ns0:rPr>
                    <ns0:t xml:space="preserve">Evidence</ns0:t>
                  </ns0:r>
                  <ns0:r>
                    <ns0:rPr>
                      <ns0:sz ns0:val="18"/>
                      <ns0:szCs ns0:val="18"/>
                      <ns0:b/>
                      <ns0:bCs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  <ns0:b/>
                      <ns0:bCs/>
                    </ns0:rPr>
                    <ns0:t xml:space="preserve">that</ns0:t>
                  </ns0:r>
                  <ns0:r>
                    <ns0:rPr>
                      <ns0:sz ns0:val="18"/>
                      <ns0:szCs ns0:val="18"/>
                      <ns0:b/>
                      <ns0:bCs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  <ns0:b/>
                      <ns0:bCs/>
                    </ns0:rPr>
                    <ns0:t xml:space="preserve">supports</ns0:t>
                  </ns0:r>
                  <ns0:r>
                    <ns0:rPr>
                      <ns0:sz ns0:val="18"/>
                      <ns0:szCs ns0:val="18"/>
                      <ns0:b/>
                      <ns0:bCs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  <ns0:b/>
                      <ns0:bCs/>
                    </ns0:rPr>
                    <ns0:t xml:space="preserve">the</ns0:t>
                  </ns0:r>
                  <ns0:r>
                    <ns0:rPr>
                      <ns0:sz ns0:val="18"/>
                      <ns0:szCs ns0:val="18"/>
                      <ns0:b/>
                      <ns0:bCs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  <ns0:b/>
                      <ns0:bCs/>
                    </ns0:rPr>
                    <ns0:t xml:space="preserve">lane</ns0:t>
                  </ns0:r>
                </ns0:p>
              </ns0:tc>
              <ns0:tc>
                <ns0:tcPr>
                  <ns0:tcW ns0:type="dxa" ns0:w="4230"/>
                  <ns0:tcBorders>
                    <ns0:bottom ns0:val="single" ns0:sz="8" ns0:space="0" ns0:color="000000"/>
                  </ns0:tcBorders>
                </ns0:tcPr>
                <ns0:p>
                  <ns0:pPr>
                    <ns0:jc ns0:val="center"/>
                    <ns0:spacing ns0:before="0" ns0:after="0" ns0:line="210" ns0:lineRule="auto"/>
                  </ns0:pPr>
                  <ns0:r>
                    <ns0:rPr>
                      <ns0:sz ns0:val="18"/>
                      <ns0:szCs ns0:val="18"/>
                      <ns0:b/>
                      <ns0:bCs/>
                    </ns0:rPr>
                    <ns0:t xml:space="preserve">Evidence that supports</ns0:t>
                  </ns0:r>
                  <ns0:r>
                    <ns0:rPr>
                      <ns0:sz ns0:val="18"/>
                      <ns0:szCs ns0:val="18"/>
                      <ns0:b/>
                      <ns0:bCs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  <ns0:b/>
                      <ns0:bCs/>
                    </ns0:rPr>
                    <ns0:t xml:space="preserve">termination of the lane</ns0:t>
                  </ns0:r>
                </ns0:p>
              </ns0:tc>
            </ns0:tr>
            <ns0:tr>
              <ns0:trPr>
                <ns0:cantSplit/>
              </ns0:trPr>
              <ns0:tc>
                <ns0:tcPr>
                  <ns0:tcW ns0:type="dxa" ns0:w="1620"/>
                </ns0:tcPr>
                <ns0:p>
                  <ns0:pPr>
                    <ns0:jc ns0:val="center"/>
                    <ns0:spacing ns0:before="0" ns0:after="0" ns0:line="210" ns0:lineRule="auto"/>
                  </ns0:pPr>
                  <ns0:r>
                    <ns0:rPr>
                      <ns0:sz ns0:val="18"/>
                      <ns0:szCs ns0:val="18"/>
                    </ns0:rPr>
                    <ns0:t xml:space="preserve">Risk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specificity</ns0:t>
                  </ns0:r>
                </ns0:p>
              </ns0:tc>
              <ns0:tc>
                <ns0:tcPr>
                  <ns0:tcW ns0:type="dxa" ns0:w="3150"/>
                </ns0:tcPr>
                <ns0:p>
                  <ns0:pPr>
                    <ns0:jc ns0:val="center"/>
                    <ns0:spacing ns0:before="0" ns0:after="0" ns0:line="210" ns0:lineRule="auto"/>
                  </ns0:pPr>
                  <ns0:r>
                    <ns0:rPr>
                      <ns0:sz ns0:val="18"/>
                      <ns0:szCs ns0:val="18"/>
                    </ns0:rPr>
                    <ns0:t xml:space="preserve">Function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map;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risk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ownership;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feature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requirements;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evaluation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scope;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incident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category;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warnings;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escalation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assignment.</ns0:t>
                  </ns0:r>
                </ns0:p>
              </ns0:tc>
              <ns0:tc>
                <ns0:tcPr>
                  <ns0:tcW ns0:type="dxa" ns0:w="4230"/>
                </ns0:tcPr>
                <ns0:p>
                  <ns0:pPr>
                    <ns0:jc ns0:val="center"/>
                    <ns0:spacing ns0:before="0" ns0:after="0" ns0:line="210" ns0:lineRule="auto"/>
                  </ns0:pPr>
                  <ns0:r>
                    <ns0:rPr>
                      <ns0:sz ns0:val="18"/>
                      <ns0:szCs ns0:val="18"/>
                    </ns0:rPr>
                    <ns0:t xml:space="preserve">General corporate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influence; unrelated research;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infrastructure service without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risk-specific configuration;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records addressing a different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feature or hazard.</ns0:t>
                  </ns0:r>
                </ns0:p>
              </ns0:tc>
            </ns0:tr>
            <ns0:tr>
              <ns0:trPr>
                <ns0:cantSplit/>
              </ns0:trPr>
              <ns0:tc>
                <ns0:tcPr>
                  <ns0:tcW ns0:type="dxa" ns0:w="1620"/>
                </ns0:tcPr>
                <ns0:p>
                  <ns0:pPr>
                    <ns0:jc ns0:val="center"/>
                    <ns0:spacing ns0:before="0" ns0:after="0" ns0:line="210" ns0:lineRule="auto"/>
                  </ns0:pPr>
                  <ns0:r>
                    <ns0:rPr>
                      <ns0:sz ns0:val="18"/>
                      <ns0:szCs ns0:val="18"/>
                    </ns0:rPr>
                    <ns0:t xml:space="preserve">Practical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authority</ns0:t>
                  </ns0:r>
                </ns0:p>
              </ns0:tc>
              <ns0:tc>
                <ns0:tcPr>
                  <ns0:tcW ns0:type="dxa" ns0:w="3150"/>
                </ns0:tcPr>
                <ns0:p>
                  <ns0:pPr>
                    <ns0:jc ns0:val="center"/>
                    <ns0:spacing ns0:before="0" ns0:after="0" ns0:line="210" ns0:lineRule="auto"/>
                  </ns0:pPr>
                  <ns0:r>
                    <ns0:rPr>
                      <ns0:sz ns0:val="18"/>
                      <ns0:szCs ns0:val="18"/>
                    </ns0:rPr>
                    <ns0:t xml:space="preserve">Contract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right;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administrative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permission;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release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or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update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role;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audit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access;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monitoring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feed;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restriction,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rollback,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suspension,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or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termination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mechanism;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consistent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exercise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in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practice.</ns0:t>
                  </ns0:r>
                </ns0:p>
              </ns0:tc>
              <ns0:tc>
                <ns0:tcPr>
                  <ns0:tcW ns0:type="dxa" ns0:w="4230"/>
                </ns0:tcPr>
                <ns0:p>
                  <ns0:pPr>
                    <ns0:jc ns0:val="center"/>
                    <ns0:spacing ns0:before="0" ns0:after="0" ns0:line="210" ns0:lineRule="auto"/>
                  </ns0:pPr>
                  <ns0:r>
                    <ns0:rPr>
                      <ns0:sz ns0:val="18"/>
                      <ns0:szCs ns0:val="18"/>
                    </ns0:rPr>
                    <ns0:t xml:space="preserve">Expired or legally unavailable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right; access requiring another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actor’s uncommitted consent;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technical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ability prohibited and unused;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independent modification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beyond visibility or reach.</ns0:t>
                  </ns0:r>
                </ns0:p>
              </ns0:tc>
            </ns0:tr>
            <ns0:tr>
              <ns0:trPr>
                <ns0:cantSplit/>
              </ns0:trPr>
              <ns0:tc>
                <ns0:tcPr>
                  <ns0:tcW ns0:type="dxa" ns0:w="1620"/>
                </ns0:tcPr>
                <ns0:p>
                  <ns0:pPr>
                    <ns0:jc ns0:val="center"/>
                    <ns0:spacing ns0:before="0" ns0:after="0" ns0:line="210" ns0:lineRule="auto"/>
                  </ns0:pPr>
                  <ns0:r>
                    <ns0:rPr>
                      <ns0:sz ns0:val="18"/>
                      <ns0:szCs ns0:val="18"/>
                    </ns0:rPr>
                    <ns0:t xml:space="preserve">Information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materiality</ns0:t>
                  </ns0:r>
                </ns0:p>
              </ns0:tc>
              <ns0:tc>
                <ns0:tcPr>
                  <ns0:tcW ns0:type="dxa" ns0:w="3150"/>
                </ns0:tcPr>
                <ns0:p>
                  <ns0:pPr>
                    <ns0:jc ns0:val="center"/>
                    <ns0:spacing ns0:before="0" ns0:after="0" ns0:line="210" ns0:lineRule="auto"/>
                  </ns0:pPr>
                  <ns0:r>
                    <ns0:rPr>
                      <ns0:sz ns0:val="18"/>
                      <ns0:szCs ns0:val="18"/>
                    </ns0:rPr>
                    <ns0:t xml:space="preserve">Stage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One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evidence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that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the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function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formed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part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of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the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event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path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or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governed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a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safeguard;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requested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information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bearing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non-de-minimally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on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an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element,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defense,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or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remedy.</ns0:t>
                  </ns0:r>
                </ns0:p>
              </ns0:tc>
              <ns0:tc>
                <ns0:tcPr>
                  <ns0:tcW ns0:type="dxa" ns0:w="4230"/>
                </ns0:tcPr>
                <ns0:p>
                  <ns0:pPr>
                    <ns0:jc ns0:val="center"/>
                    <ns0:spacing ns0:before="0" ns0:after="0" ns0:line="210" ns0:lineRule="auto"/>
                  </ns0:pPr>
                  <ns0:r>
                    <ns0:rPr>
                      <ns0:sz ns0:val="18"/>
                      <ns0:szCs ns0:val="18"/>
                    </ns0:rPr>
                    <ns0:t xml:space="preserve">Feature inactive for the event;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output never generated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or transmitted; lane acquired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after the event; requested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information unrelated to the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asserted path or claim-specific</ns0:t>
                  </ns0:r>
                  <ns0:r>
                    <ns0:rPr>
                      <ns0:sz ns0:val="18"/>
                      <ns0:szCs ns0:val="18"/>
                    </ns0:rPr>
                    <ns0:t xml:space="preserve"> </ns0:t>
                  </ns0:r>
                  <ns0:r>
                    <ns0:rPr>
                      <ns0:sz ns0:val="18"/>
                      <ns0:szCs ns0:val="18"/>
                    </ns0:rPr>
                    <ns0:t xml:space="preserve">issue.</ns0:t>
                  </ns0:r>
                </ns0:p>
              </ns0:tc>
            </ns0:tr>
          </ns0:tbl>
          <ns0:bookmarkEnd ns0:id="243"/>
          <ns0:p/>
        </ns0:tc>
      </ns0:tr>
    </ns0:tbl>
    <ns0:p>
      <ns0:pPr>
        <ns0:pStyle ns0:val="BodyText"/>
      </ns0:pPr>
      <ns0:r>
        <ns0:t xml:space="preserve">Reserved contractual rights deserve particular care. A right to obtain validation on demand,</ns0:t>
      </ns0:r>
      <ns0:r>
        <ns0:t xml:space="preserve"> </ns0:t>
      </ns0:r>
      <ns0:r>
        <ns0:t xml:space="preserve">require a safety update, audit use, or suspend a feature is practical authority when the right was</ns0:t>
      </ns0:r>
      <ns0:r>
        <ns0:t xml:space="preserve"> </ns0:t>
      </ns0:r>
      <ns0:r>
        <ns0:t xml:space="preserve">legally available and operationally usable. The holder need not have exercised it in the claimant’s</ns0:t>
      </ns0:r>
      <ns0:r>
        <ns0:t xml:space="preserve"> </ns0:t>
      </ns0:r>
      <ns0:r>
        <ns0:t xml:space="preserve">event; otherwise an enterprise could erase its information obligation by leaving a reserved safeguard</ns0:t>
      </ns0:r>
      <ns0:r>
        <ns0:t xml:space="preserve"> </ns0:t>
      </ns0:r>
      <ns0:r>
        <ns0:t xml:space="preserve">idle. A generic right to terminate an entire commercial agreement may be too remote when it</ns0:t>
      </ns0:r>
      <ns0:r>
        <ns0:t xml:space="preserve"> </ns0:t>
      </ns0:r>
      <ns0:r>
        <ns0:t xml:space="preserve">provides no timely, risk-specific intervention. The contract supplies evidence, while administrative</ns0:t>
      </ns0:r>
      <ns0:r>
        <ns0:t xml:space="preserve"> </ns0:t>
      </ns0:r>
      <ns0:r>
        <ns0:t xml:space="preserve">permissions, actual practice, response time, technical dependencies, and past interventions show</ns0:t>
      </ns0:r>
      <ns0:r>
        <ns0:t xml:space="preserve"> </ns0:t>
      </ns0:r>
      <ns0:r>
        <ns0:t xml:space="preserve">whether the right could function.</ns0:t>
      </ns0:r>
    </ns0:p>
    <ns0:p>
      <ns0:pPr>
        <ns0:pStyle ns0:val="BodyText"/>
      </ns0:pPr>
      <ns0:r>
        <ns0:t xml:space="preserve">Actual power can matter when a contract is silent or inaccurate. A vendor that</ns0:t>
      </ns0:r>
      <ns0:r>
        <ns0:t xml:space="preserve"> </ns0:t>
      </ns0:r>
      <ns0:r>
        <ns0:t xml:space="preserve">routinely pushes mandatory updates, disables a feature across tenants, monitors risk</ns0:t>
      </ns0:r>
      <ns0:r>
        <ns0:t xml:space="preserve"> </ns0:t>
      </ns0:r>
      <ns0:r>
        <ns0:t xml:space="preserve">signals, or supplies the only version map may possess practical authority even if the</ns0:t>
      </ns0:r>
      <ns0:r>
        <ns0:t xml:space="preserve"> </ns0:t>
      </ns0:r>
      <ns0:r>
        <ns0:t xml:space="preserve">agreement calls the customer solely responsible. A customer that can enable, ignore, or</ns0:t>
      </ns0:r>
      <ns0:r>
        <ns0:t xml:space="preserve"> </ns0:t>
      </ns0:r>
      <ns0:r>
        <ns0:t xml:space="preserve">combine a score may control the decision lane even when the vendor hosts the data.</ns0:t>
      </ns0:r>
      <ns0:r>
        <ns0:t xml:space="preserve"> </ns0:t>
      </ns0:r>
      <ns0:r>
        <ns0:t xml:space="preserve">A systems integrator with one-time access during installation may fall outside after</ns0:t>
      </ns0:r>
      <ns0:r>
        <ns0:t xml:space="preserve"> </ns0:t>
      </ns0:r>
      <ns0:r>
        <ns0:t xml:space="preserve">handoff unless it retained monitoring, credentials, or change authority. The inquiry</ns0:t>
      </ns0:r>
      <ns0:r>
        <ns0:t xml:space="preserve"> </ns0:t>
      </ns0:r>
      <ns0:r>
        <ns0:t xml:space="preserve">reconstructs the operative deployment rather than enforcing labels selected for another</ns0:t>
      </ns0:r>
      <ns0:r>
        <ns0:t xml:space="preserve"> </ns0:t>
      </ns0:r>
      <ns0:r>
        <ns0:t xml:space="preserve">purpose.</ns0:t>
      </ns0:r>
    </ns0:p>
    <ns0:p>
      <ns0:pPr>
        <ns0:pStyle ns0:val="BodyText"/>
      </ns0:pPr>
      <ns0:r>
        <ns0:t xml:space="preserve">Information materiality imposes event-path discipline without creating a causation hearing.</ns0:t>
      </ns0:r>
      <ns0:r>
        <ns0:t xml:space="preserve"> </ns0:t>
      </ns0:r>
      <ns0:r>
        <ns0:t xml:space="preserve">Stage One can answer many cases: the feature was disabled; no score was generated; the output</ns0:t>
      </ns0:r>
      <ns0:r>
        <ns0:t xml:space="preserve"> </ns0:t>
      </ns0:r>
      <ns0:r>
        <ns0:t xml:space="preserve">never reached the decisionmaker; the provider had no post-release connection; or the supposed</ns0:t>
      </ns0:r>
      <ns0:r>
        <ns0:t xml:space="preserve"> </ns0:t>
      </ns0:r>
      <ns0:r>
        <ns0:t xml:space="preserve">controller joined the stack after the event. A lane remains when the Stage One record supports</ns0:t>
      </ns0:r>
      <ns0:r>
        <ns0:t xml:space="preserve"> </ns0:t>
      </ns0:r>
      <ns0:r>
        <ns0:t xml:space="preserve">that its function formed part of that path or governed a safeguard and the requested information</ns0:t>
      </ns0:r>
      <ns0:r>
        <ns0:t xml:space="preserve"> </ns0:t>
      </ns0:r>
      <ns0:r>
        <ns0:t xml:space="preserve">bears non-de-minimally on a claim-specific element, defense, or remedy. Where the event path and</ns0:t>
      </ns0:r>
      <ns0:r>
        <ns0:t xml:space="preserve"> </ns0:t>
      </ns0:r>
      <ns0:r>
        <ns0:t xml:space="preserve">authority conflict, Stage Two can examine configuration history, tests, monitoring, or a</ns0:t>
      </ns0:r>
      <ns0:r>
        <ns0:t xml:space="preserve"> </ns0:t>
      </ns0:r>
      <ns0:r>
        <ns0:t xml:space="preserve">representative protocol limited to that lane. No different-act, prevention, or causation showing is</ns0:t>
      </ns0:r>
      <ns0:r>
        <ns0:t xml:space="preserve"> </ns0:t>
      </ns0:r>
      <ns0:r>
        <ns0:t xml:space="preserve">required.</ns0:t>
      </ns0:r>
    </ns0:p>
    <ns0:p>
      <ns0:pPr>
        <ns0:pStyle ns0:val="BodyText"/>
      </ns0:pPr>
      <ns0:r>
        <ns0:t xml:space="preserve">The same test produces different allocations across architectures. In an integrated</ns0:t>
      </ns0:r>
      <ns0:r>
        <ns0:t xml:space="preserve"> </ns0:t>
      </ns0:r>
      <ns0:r>
        <ns0:t xml:space="preserve">companion service, the visible operator may control access, relationship design, memory,</ns0:t>
      </ns0:r>
      <ns0:r>
        <ns0:t xml:space="preserve"> </ns0:t>
      </ns0:r>
      <ns0:r>
        <ns0:t xml:space="preserve">engagement objectives, warnings, monitoring, and account restriction; an infrastructure provider</ns0:t>
      </ns0:r>
      <ns0:r>
        <ns0:t xml:space="preserve"> </ns0:t>
      </ns0:r>
      <ns0:r>
        <ns0:t xml:space="preserve">offering generic compute exits. In an employment stack, the employer may control job criteria,</ns0:t>
      </ns0:r>
      <ns0:r>
        <ns0:t xml:space="preserve"> </ns0:t>
      </ns0:r>
      <ns0:r>
        <ns0:t xml:space="preserve">feature activation, decision weight, review, and final disposition, while a vendor controls model</ns0:t>
      </ns0:r>
      <ns0:r>
        <ns0:t xml:space="preserve"> </ns0:t>
      </ns0:r>
      <ns0:r>
        <ns0:t xml:space="preserve">design, defaults, validation, updates, and cross-customer monitoring. In an open-weights</ns0:t>
      </ns0:r>
      <ns0:r>
        <ns0:t xml:space="preserve"> </ns0:t>
      </ns0:r>
      <ns0:r>
        <ns0:t xml:space="preserve">deployment, the original publisher may have no continuing control after release while</ns0:t>
      </ns0:r>
      <ns0:r>
        <ns0:t xml:space="preserve"> </ns0:t>
      </ns0:r>
      <ns0:r>
        <ns0:t xml:space="preserve">a modifier and operating institution acquire the risk-specific tools, data, credentials,</ns0:t>
      </ns0:r>
      <ns0:r>
        <ns0:t xml:space="preserve"> </ns0:t>
      </ns0:r>
      <ns0:r>
        <ns0:t xml:space="preserve">and stop authority. The rule follows each lane without requiring every participant to</ns0:t>
      </ns0:r>
      <ns0:r>
        <ns0:t xml:space="preserve"> </ns0:t>
      </ns0:r>
      <ns0:r>
        <ns0:t xml:space="preserve">remain.</ns0:t>
      </ns0:r>
    </ns0:p>
    <ns0:p>
      <ns0:pPr>
        <ns0:pStyle ns0:val="BodyText"/>
      </ns0:pPr>
      <ns0:r>
        <ns0:t xml:space="preserve">A material-control ruling terminates only the special front-door role. An entity never named</ns0:t>
      </ns0:r>
      <ns0:r>
        <ns0:t xml:space="preserve"> </ns0:t>
      </ns0:r>
      <ns0:r>
        <ns0:t xml:space="preserve">on an underlying claim returns to ordinary nonparty status after completing any first-answer duty.</ns0:t>
      </ns0:r>
      <ns0:r>
        <ns0:t xml:space="preserve"> </ns0:t>
      </ns0:r>
      <ns0:r>
        <ns0:t xml:space="preserve">A party already facing an independently sufficient cause of action remains subject to that claim</ns0:t>
      </ns0:r>
      <ns0:r>
        <ns0:t xml:space="preserve"> </ns0:t>
      </ns0:r>
      <ns0:r>
        <ns0:t xml:space="preserve">even if it lacks the control lane alleged in the notice. This distinction gives safe exit its intended</ns0:t>
      </ns0:r>
      <ns0:r>
        <ns0:t xml:space="preserve"> </ns0:t>
      </ns0:r>
      <ns0:r>
        <ns0:t xml:space="preserve">economy without using an information proceeding to decide a merits question it was not designed</ns0:t>
      </ns0:r>
      <ns0:r>
        <ns0:t xml:space="preserve"> </ns0:t>
      </ns0:r>
      <ns0:r>
        <ns0:t xml:space="preserve">to reach.</ns0:t>
      </ns0:r>
    </ns0:p>
    <ns0:bookmarkEnd ns0:id="244"/>
    <ns0:bookmarkEnd ns0:id="245"/>
    <ns0:bookmarkStart ns0:id="262" ns0:name="X1207eb8943d5e4b552dc061fe7ef63b2b80a36e"/>
    <ns0:p>
      <ns0:pPr>
        <ns0:pStyle ns0:val="Heading4"/>
      </ns0:pPr>
      <ns0:r>
        <ns0:t xml:space="preserve">D</ns0:t>
      </ns0:r>
      <ns0:r>
        <ns0:t xml:space="preserve"> </ns0:t>
      </ns0:r>
      <ns0:r>
        <ns0:t xml:space="preserve"> </ns0:t>
      </ns0:r>
      <ns0:bookmarkStart ns0:id="246" ns0:name="x1-14000D"/>
      <ns0:bookmarkEnd ns0:id="246"/>
      <ns0:r>
        <ns0:t xml:space="preserve">Creation, Preservation, and Production Are Separate Duties</ns0:t>
      </ns0:r>
    </ns0:p>
    <ns0:p>
      <ns0:pPr>
        <ns0:pStyle ns0:val="FirstParagraph"/>
      </ns0:pPr>
      <ns0:r>
        <ns0:t xml:space="preserve">The front door depends on three legal functions that begin at different times.</ns0:t>
      </ns0:r>
    </ns0:p>
    <ns0:bookmarkStart ns0:id="253" ns0:name="record-creation-before-operation"/>
    <ns0:p>
      <ns0:pPr>
        <ns0:pStyle ns0:val="Heading5"/>
      </ns0:pPr>
      <ns0:r>
        <ns0:t xml:space="preserve">1</ns0:t>
      </ns0:r>
      <ns0:r>
        <ns0:t xml:space="preserve"> </ns0:t>
      </ns0:r>
      <ns0:r>
        <ns0:t xml:space="preserve"> </ns0:t>
      </ns0:r>
      <ns0:bookmarkStart ns0:id="247" ns0:name="x1-150001"/>
      <ns0:bookmarkEnd ns0:id="247"/>
      <ns0:r>
        <ns0:t xml:space="preserve">Record Creation Before Operation</ns0:t>
      </ns0:r>
    </ns0:p>
    <ns0:p>
      <ns0:pPr>
        <ns0:pStyle ns0:val="FirstParagraph"/>
      </ns0:pPr>
      <ns0:r>
        <ns0:t xml:space="preserve">The</ns0:t>
      </ns0:r>
      <ns0:r>
        <ns0:t xml:space="preserve"> </ns0:t>
      </ns0:r>
      <ns0:r>
        <ns0:rPr>
          <ns0:i/>
          <ns0:iCs/>
        </ns0:rPr>
        <ns0:t xml:space="preserve">deployment-record duty</ns0:t>
      </ns0:r>
      <ns0:r>
        <ns0:rPr>
          <ns0:i/>
          <ns0:iCs/>
        </ns0:rPr>
        <ns0:t xml:space="preserve"> </ns0:t>
      </ns0:r>
      <ns0:r>
        <ns0:t xml:space="preserve">arises before a covered deployment affects the public. The</ns0:t>
      </ns0:r>
      <ns0:r>
        <ns0:t xml:space="preserve"> </ns0:t>
      </ns0:r>
      <ns0:r>
        <ns0:t xml:space="preserve">visible operator has a nondelegable local duty to identify the system, version, purpose,</ns0:t>
      </ns0:r>
      <ns0:r>
        <ns0:t xml:space="preserve"> </ns0:t>
      </ns0:r>
      <ns0:r>
        <ns0:t xml:space="preserve">population, material components, vendors, data sources, tools, credentials, intended</ns0:t>
      </ns0:r>
      <ns0:r>
        <ns0:t xml:space="preserve"> </ns0:t>
      </ns0:r>
      <ns0:r>
        <ns0:t xml:space="preserve">limits, risk owners, release approval, event identifier, and intervention authority. During</ns0:t>
      </ns0:r>
      <ns0:r>
        <ns0:t xml:space="preserve"> </ns0:t>
      </ns0:r>
      <ns0:r>
        <ns0:t xml:space="preserve">operation, it records material changes, evaluations, complaints, incidents, escalations,</ns0:t>
      </ns0:r>
      <ns0:r>
        <ns0:t xml:space="preserve"> </ns0:t>
      </ns0:r>
      <ns0:r>
        <ns0:t xml:space="preserve">overrides, restrictions, rollbacks, and termination decisions. A covered control holder</ns0:t>
      </ns0:r>
      <ns0:r>
        <ns0:t xml:space="preserve"> </ns0:t>
      </ns0:r>
      <ns0:r>
        <ns0:t xml:space="preserve">subject to the Act maintains the subset corresponding to its lane and provides current</ns0:t>
      </ns0:r>
      <ns0:r>
        <ns0:t xml:space="preserve"> </ns0:t>
      </ns0:r>
      <ns0:r>
        <ns0:t xml:space="preserve">provenance and a response contact. If a supplier is outside the Act’s direct reach, the</ns0:t>
      </ns0:r>
      <ns0:r>
        <ns0:t xml:space="preserve"> </ns0:t>
      </ns0:r>
      <ns0:r>
        <ns0:t xml:space="preserve">operator still owes the local minimum record and must perform through its predeployment</ns0:t>
      </ns0:r>
      <ns0:r>
        <ns0:t xml:space="preserve"> </ns0:t>
      </ns0:r>
      <ns0:r>
        <ns0:t xml:space="preserve">contract.</ns0:t>
      </ns0:r>
    </ns0:p>
    <ns0:p>
      <ns0:pPr>
        <ns0:pStyle ns0:val="BodyText"/>
      </ns0:pPr>
      <ns0:r>
        <ns0:t xml:space="preserve">A divided deployment requires a retrieval architecture as well as a list of vendors. Before</ns0:t>
      </ns0:r>
      <ns0:r>
        <ns0:t xml:space="preserve"> </ns0:t>
      </ns0:r>
      <ns0:r>
        <ns0:t xml:space="preserve">use, the visible operator must obtain contractual rights to retrieve the identity, version,</ns0:t>
      </ns0:r>
      <ns0:r>
        <ns0:t xml:space="preserve"> </ns0:t>
      </ns0:r>
      <ns0:r>
        <ns0:t xml:space="preserve">configuration, event, and control-allocation fields assigned to an upstream holder on demand. The</ns0:t>
      </ns0:r>
      <ns0:r>
        <ns0:t xml:space="preserve"> </ns0:t>
      </ns0:r>
      <ns0:r>
        <ns0:t xml:space="preserve">agreement identifies a responsive agent, stable deployment and event identifiers, preservation</ns0:t>
      </ns0:r>
      <ns0:r>
        <ns0:t xml:space="preserve"> </ns0:t>
      </ns0:r>
      <ns0:r>
        <ns0:t xml:space="preserve">and response duties, lawful routes for producing customer-controlled data, successor</ns0:t>
      </ns0:r>
      <ns0:r>
        <ns0:t xml:space="preserve"> </ns0:t>
      </ns0:r>
      <ns0:r>
        <ns0:t xml:space="preserve">obligations after acquisition, and the treatment of subcontractors. The operator need not</ns0:t>
      </ns0:r>
      <ns0:r>
        <ns0:t xml:space="preserve"> </ns0:t>
      </ns0:r>
      <ns0:r>
        <ns0:t xml:space="preserve">warehouse a supplier’s source code or unrelated customer data. It keeps a closed local record</ns0:t>
      </ns0:r>
      <ns0:r>
        <ns0:t xml:space="preserve"> </ns0:t>
      </ns0:r>
      <ns0:r>
        <ns0:t xml:space="preserve">sufficient to identify what ran and a legally usable path to obtain the defined supplier</ns0:t>
      </ns0:r>
      <ns0:r>
        <ns0:t xml:space="preserve"> </ns0:t>
      </ns0:r>
      <ns0:r>
        <ns0:t xml:space="preserve">fields.</ns0:t>
      </ns0:r>
    </ns0:p>
    <ns0:p>
      <ns0:pPr>
        <ns0:pStyle ns0:val="BodyText"/>
      </ns0:pPr>
      <ns0:r>
        <ns0:t xml:space="preserve">That requirement builds a usable retrieval right into deployment design. Where Rule 34</ns0:t>
      </ns0:r>
      <ns0:r>
        <ns0:t xml:space="preserve"> </ns0:t>
      </ns0:r>
      <ns0:r>
        <ns0:t xml:space="preserve">control turns on a legal right to obtain documents on demand, a covered operator can create that</ns0:t>
      </ns0:r>
      <ns0:r>
        <ns0:t xml:space="preserve"> </ns0:t>
      </ns0:r>
      <ns0:r>
        <ns0:t xml:space="preserve">right before deployment instead of litigating it after harm. Where privacy law or a customer</ns0:t>
      </ns0:r>
      <ns0:r>
        <ns0:t xml:space="preserve"> </ns0:t>
      </ns0:r>
      <ns0:r>
        <ns0:t xml:space="preserve">agreement places legal control with the operating institution, the contract can authorize a</ns0:t>
      </ns0:r>
      <ns0:r>
        <ns0:t xml:space="preserve"> </ns0:t>
      </ns0:r>
      <ns0:r>
        <ns0:t xml:space="preserve">coordinated response rather than allowing the host and customer to direct the requester to each</ns0:t>
      </ns0:r>
      <ns0:r>
        <ns0:t xml:space="preserve"> </ns0:t>
      </ns0:r>
      <ns0:r>
        <ns0:t xml:space="preserve">other. Operator notice alone does not create personal jurisdiction over a foreign or out-of-state</ns0:t>
      </ns0:r>
      <ns0:r>
        <ns0:t xml:space="preserve"> </ns0:t>
      </ns0:r>
      <ns0:r>
        <ns0:t xml:space="preserve">supplier.</ns0:t>
      </ns0:r>
      <ns0:r>
        <ns0:rPr>
          <ns0:rStyle ns0:val="FootnoteReference"/>
        </ns0:rPr>
        <ns0:footnoteReference ns0:id="251"/>
      </ns0:r>
      <ns0:bookmarkStart ns0:id="252" ns0:name="x1-15001f20"/>
      <ns0:bookmarkEnd ns0:id="252"/>
      <ns0:r>
        <ns0:t xml:space="preserve"> </ns0:t>
      </ns0:r>
      <ns0:r>
        <ns0:t xml:space="preserve">A domestic operator preserves the minimum record locally and conditions covered use on a</ns0:t>
      </ns0:r>
      <ns0:r>
        <ns0:t xml:space="preserve"> </ns0:t>
      </ns0:r>
      <ns0:r>
        <ns0:t xml:space="preserve">reachable agent and retrieval duty.</ns0:t>
      </ns0:r>
    </ns0:p>
    <ns0:p>
      <ns0:pPr>
        <ns0:pStyle ns0:val="BodyText"/>
      </ns0:pPr>
      <ns0:r>
        <ns0:t xml:space="preserve">The designation supplies the detail. A statute need not require indefinite retention of every</ns0:t>
      </ns0:r>
      <ns0:r>
        <ns0:t xml:space="preserve"> </ns0:t>
      </ns0:r>
      <ns0:r>
        <ns0:t xml:space="preserve">prompt or every user’s data. It should define event categories, sampling where appropriate, privacy</ns0:t>
      </ns0:r>
      <ns0:r>
        <ns0:t xml:space="preserve"> </ns0:t>
      </ns0:r>
      <ns0:r>
        <ns0:t xml:space="preserve">minimization, and a retention period calibrated to the protected interest and ordinary limitations</ns0:t>
      </ns0:r>
      <ns0:r>
        <ns0:t xml:space="preserve"> </ns0:t>
      </ns0:r>
      <ns0:r>
        <ns0:t xml:space="preserve">period. High-impact decisions affecting employment or benefits may require the inputs, output,</ns0:t>
      </ns0:r>
      <ns0:r>
        <ns0:t xml:space="preserve"> </ns0:t>
      </ns0:r>
      <ns0:r>
        <ns0:t xml:space="preserve">version, governing policy, notice, and review event for each affected person while permitting</ns0:t>
      </ns0:r>
      <ns0:r>
        <ns0:t xml:space="preserve"> </ns0:t>
      </ns0:r>
      <ns0:r>
        <ns0:t xml:space="preserve">aggregation or deletion of unrelated interaction content. Relational deployments involving minors</ns0:t>
      </ns0:r>
      <ns0:r>
        <ns0:t xml:space="preserve"> </ns0:t>
      </ns0:r>
      <ns0:r>
        <ns0:t xml:space="preserve">may require crisis detections and interventions while minimizing intimate content unrelated to the</ns0:t>
      </ns0:r>
      <ns0:r>
        <ns0:t xml:space="preserve"> </ns0:t>
      </ns0:r>
      <ns0:r>
        <ns0:t xml:space="preserve">asserted event.</ns0:t>
      </ns0:r>
    </ns0:p>
    <ns0:bookmarkEnd ns0:id="253"/>
    <ns0:bookmarkStart ns0:id="255" ns0:name="preservation-after-a-defined-trigger"/>
    <ns0:p>
      <ns0:pPr>
        <ns0:pStyle ns0:val="Heading5"/>
      </ns0:pPr>
      <ns0:r>
        <ns0:t xml:space="preserve">2</ns0:t>
      </ns0:r>
      <ns0:r>
        <ns0:t xml:space="preserve"> </ns0:t>
      </ns0:r>
      <ns0:r>
        <ns0:t xml:space="preserve"> </ns0:t>
      </ns0:r>
      <ns0:bookmarkStart ns0:id="254" ns0:name="x1-160002"/>
      <ns0:bookmarkEnd ns0:id="254"/>
      <ns0:r>
        <ns0:t xml:space="preserve">Preservation After a Defined Trigger</ns0:t>
      </ns0:r>
    </ns0:p>
    <ns0:p>
      <ns0:pPr>
        <ns0:pStyle ns0:val="FirstParagraph"/>
      </ns0:pPr>
      <ns0:r>
        <ns0:t xml:space="preserve">Retention and litigation preservation are related but distinct. The statute fixes a baseline</ns0:t>
      </ns0:r>
      <ns0:r>
        <ns0:t xml:space="preserve"> </ns0:t>
      </ns0:r>
      <ns0:r>
        <ns0:t xml:space="preserve">period before any dispute. A verified front-door notice, regulator demand, filed claim, or</ns0:t>
      </ns0:r>
      <ns0:r>
        <ns0:t xml:space="preserve"> </ns0:t>
      </ns0:r>
      <ns0:r>
        <ns0:t xml:space="preserve">other event making a dispute reasonably foreseeable suspends ordinary deletion for the</ns0:t>
      </ns0:r>
      <ns0:r>
        <ns0:t xml:space="preserve"> </ns0:t>
      </ns0:r>
      <ns0:r>
        <ns0:t xml:space="preserve">risk-specific record. The operator must issue a hold to relevant custodians and notify</ns0:t>
      </ns0:r>
      <ns0:r>
        <ns0:t xml:space="preserve"> </ns0:t>
      </ns0:r>
      <ns0:r>
        <ns0:t xml:space="preserve">identified control holders. The notice should not freeze every model and customer record. Its</ns0:t>
      </ns0:r>
      <ns0:r>
        <ns0:t xml:space="preserve"> </ns0:t>
      </ns0:r>
      <ns0:r>
        <ns0:t xml:space="preserve">scope follows the event, versions, period, user or decision, control lanes, and asserted</ns0:t>
      </ns0:r>
      <ns0:r>
        <ns0:t xml:space="preserve"> </ns0:t>
      </ns0:r>
      <ns0:r>
        <ns0:t xml:space="preserve">risk.</ns0:t>
      </ns0:r>
    </ns0:p>
    <ns0:p>
      <ns0:pPr>
        <ns0:pStyle ns0:val="BodyText"/>
      </ns0:pPr>
      <ns0:r>
        <ns0:t xml:space="preserve">This statutory trigger creates a stable bridge to existing preservation law. It also protects</ns0:t>
      </ns0:r>
      <ns0:r>
        <ns0:t xml:space="preserve"> </ns0:t>
      </ns0:r>
      <ns0:r>
        <ns0:t xml:space="preserve">defendants: a dated notice and documented hold define what had to be preserved and when. The</ns0:t>
      </ns0:r>
      <ns0:r>
        <ns0:t xml:space="preserve"> </ns0:t>
      </ns0:r>
      <ns0:r>
        <ns0:t xml:space="preserve">record can show that a missing item was outside scope, deleted before any duty attached, or</ns0:t>
      </ns0:r>
      <ns0:r>
        <ns0:t xml:space="preserve"> </ns0:t>
      </ns0:r>
      <ns0:r>
        <ns0:t xml:space="preserve">available from another source.</ns0:t>
      </ns0:r>
    </ns0:p>
    <ns0:bookmarkEnd ns0:id="255"/>
    <ns0:bookmarkStart ns0:id="261" ns0:name="staged-production-after-the-threshold"/>
    <ns0:p>
      <ns0:pPr>
        <ns0:pStyle ns0:val="Heading5"/>
      </ns0:pPr>
      <ns0:r>
        <ns0:t xml:space="preserve">3</ns0:t>
      </ns0:r>
      <ns0:r>
        <ns0:t xml:space="preserve"> </ns0:t>
      </ns0:r>
      <ns0:r>
        <ns0:t xml:space="preserve"> </ns0:t>
      </ns0:r>
      <ns0:bookmarkStart ns0:id="256" ns0:name="x1-170003"/>
      <ns0:bookmarkEnd ns0:id="256"/>
      <ns0:r>
        <ns0:t xml:space="preserve">Staged Production After the Threshold</ns0:t>
      </ns0:r>
    </ns0:p>
    <ns0:p>
      <ns0:pPr>
        <ns0:pStyle ns0:val="FirstParagraph"/>
      </ns0:pPr>
      <ns0:r>
        <ns0:t xml:space="preserve">Production proceeds in stages. Stage One is the first answer described above: identity and</ns0:t>
      </ns0:r>
      <ns0:r>
        <ns0:t xml:space="preserve"> </ns0:t>
      </ns0:r>
      <ns0:r>
        <ns0:t xml:space="preserve">active versions; event-specific run, output, notice, and intervention fields; suppliers,</ns0:t>
      </ns0:r>
      <ns0:r>
        <ns0:t xml:space="preserve"> </ns0:t>
      </ns0:r>
      <ns0:r>
        <ns0:t xml:space="preserve">custodians, and legal controllers; listed operational and stopping authority; and preservation,</ns0:t>
      </ns0:r>
      <ns0:r>
        <ns0:t xml:space="preserve"> </ns0:t>
      </ns0:r>
      <ns0:r>
        <ns0:t xml:space="preserve">deletion, and retrieval status. Its purpose is to identify the deployment and test the control</ns0:t>
      </ns0:r>
      <ns0:r>
        <ns0:t xml:space="preserve"> </ns0:t>
      </ns0:r>
      <ns0:r>
        <ns0:t xml:space="preserve">lanes.</ns0:t>
      </ns0:r>
    </ns0:p>
    <ns0:p>
      <ns0:pPr>
        <ns0:pStyle ns0:val="BodyText"/>
      </ns0:pPr>
      <ns0:r>
        <ns0:t xml:space="preserve">Stage Two follows only when the affected person uses Stage One to make a prima facie</ns0:t>
      </ns0:r>
      <ns0:r>
        <ns0:t xml:space="preserve"> </ns0:t>
      </ns0:r>
      <ns0:r>
        <ns0:t xml:space="preserve">showing of a claim-specific control lane, information materiality, and proportional need. It can</ns0:t>
      </ns0:r>
      <ns0:r>
        <ns0:t xml:space="preserve"> </ns0:t>
      </ns0:r>
      <ns0:r>
        <ns0:t xml:space="preserve">include relevant evaluations and validation; complaints and incident trends; configuration history;</ns0:t>
      </ns0:r>
      <ns0:r>
        <ns0:t xml:space="preserve"> </ns0:t>
      </ns0:r>
      <ns0:r>
        <ns0:t xml:space="preserve">release and change approvals; rejected or conditional mitigations; escalation and response; and</ns0:t>
      </ns0:r>
      <ns0:r>
        <ns0:t xml:space="preserve"> </ns0:t>
      </ns0:r>
      <ns0:r>
        <ns0:t xml:space="preserve">records needed to test a proposed alternative or defense. Time, version, affected population,</ns0:t>
      </ns0:r>
      <ns0:r>
        <ns0:t xml:space="preserve"> </ns0:t>
      </ns0:r>
      <ns0:r>
        <ns0:t xml:space="preserve">feature, and risk category bound the request.</ns0:t>
      </ns0:r>
    </ns0:p>
    <ns0:p>
      <ns0:pPr>
        <ns0:pStyle ns0:val="BodyText"/>
      </ns0:pPr>
      <ns0:r>
        <ns0:t xml:space="preserve">Source code, model weights, unrestricted training data, security-sensitive controls, and</ns0:t>
      </ns0:r>
      <ns0:r>
        <ns0:t xml:space="preserve"> </ns0:t>
      </ns0:r>
      <ns0:r>
        <ns0:t xml:space="preserve">unrelated users’ content occupy a final tier. A court should order them only when the</ns0:t>
      </ns0:r>
      <ns0:r>
        <ns0:t xml:space="preserve"> </ns0:t>
      </ns0:r>
      <ns0:r>
        <ns0:t xml:space="preserve">requesting party shows that a material issue cannot reasonably be tested through less</ns0:t>
      </ns0:r>
      <ns0:r>
        <ns0:t xml:space="preserve"> </ns0:t>
      </ns0:r>
      <ns0:r>
        <ns0:t xml:space="preserve">intrusive evidence such as versioned documentation, validation results, representative</ns0:t>
      </ns0:r>
      <ns0:r>
        <ns0:t xml:space="preserve"> </ns0:t>
      </ns0:r>
      <ns0:r>
        <ns0:t xml:space="preserve">testing, counterfactual interrogation, interrogatories, an expert protocol, or in camera</ns0:t>
      </ns0:r>
      <ns0:r>
        <ns0:t xml:space="preserve"> </ns0:t>
      </ns0:r>
      <ns0:r>
        <ns0:t xml:space="preserve">review.</ns0:t>
      </ns0:r>
      <ns0:r>
        <ns0:rPr>
          <ns0:rStyle ns0:val="FootnoteReference"/>
        </ns0:rPr>
        <ns0:footnoteReference ns0:id="260"/>
      </ns0:r>
      <ns0:bookmarkStart ns0:id="260" ns0:name="x1-17001f21"/>
      <ns0:bookmarkEnd ns0:id="260"/>
      <ns0:r>
        <ns0:t xml:space="preserve"> </ns0:t>
      </ns0:r>
      <ns0:r>
        <ns0:t xml:space="preserve">The distinction protects legitimate secrecy without converting a trade secret into a barrier to the</ns0:t>
      </ns0:r>
      <ns0:r>
        <ns0:t xml:space="preserve"> </ns0:t>
      </ns0:r>
      <ns0:r>
        <ns0:t xml:space="preserve">legal process that governs its consequential use.</ns0:t>
      </ns0:r>
    </ns0:p>
    <ns0:bookmarkEnd ns0:id="261"/>
    <ns0:bookmarkEnd ns0:id="262"/>
    <ns0:bookmarkStart ns0:id="268" ns0:name="protection-remedies-and-safe-exit"/>
    <ns0:p>
      <ns0:pPr>
        <ns0:pStyle ns0:val="Heading4"/>
      </ns0:pPr>
      <ns0:r>
        <ns0:t xml:space="preserve">E</ns0:t>
      </ns0:r>
      <ns0:r>
        <ns0:t xml:space="preserve"> </ns0:t>
      </ns0:r>
      <ns0:r>
        <ns0:t xml:space="preserve"> </ns0:t>
      </ns0:r>
      <ns0:bookmarkStart ns0:id="263" ns0:name="x1-18000E"/>
      <ns0:bookmarkEnd ns0:id="263"/>
      <ns0:r>
        <ns0:t xml:space="preserve">Protection, Remedies, and Safe Exit</ns0:t>
      </ns0:r>
    </ns0:p>
    <ns0:p>
      <ns0:pPr>
        <ns0:pStyle ns0:val="FirstParagraph"/>
      </ns0:pPr>
      <ns0:r>
        <ns0:t xml:space="preserve">Confidentiality is part of the rule’s design. Production remains limited to nonprivileged</ns0:t>
      </ns0:r>
      <ns0:r>
        <ns0:t xml:space="preserve"> </ns0:t>
      </ns0:r>
      <ns0:r>
        <ns0:t xml:space="preserve">matter. Courts may use redaction, pseudonymization, data minimization,</ns0:t>
      </ns0:r>
      <ns0:r>
        <ns0:t xml:space="preserve"> </ns0:t>
      </ns0:r>
      <ns0:r>
        <ns0:t xml:space="preserve">attorneys’-eyes-only access, secure expert environments, in camera review, and</ns0:t>
      </ns0:r>
      <ns0:r>
        <ns0:t xml:space="preserve"> </ns0:t>
      </ns0:r>
      <ns0:r>
        <ns0:t xml:space="preserve">protective orders for trade secrets, research, security, medical information, and personal</ns0:t>
      </ns0:r>
      <ns0:r>
        <ns0:t xml:space="preserve"> </ns0:t>
      </ns0:r>
      <ns0:r>
        <ns0:t xml:space="preserve">data.</ns0:t>
      </ns0:r>
      <ns0:r>
        <ns0:rPr>
          <ns0:rStyle ns0:val="FootnoteReference"/>
        </ns0:rPr>
        <ns0:footnoteReference ns0:id="267"/>
      </ns0:r>
      <ns0:bookmarkStart ns0:id="267" ns0:name="x1-18001f22"/>
      <ns0:bookmarkEnd ns0:id="267"/>
      <ns0:r>
        <ns0:t xml:space="preserve"> </ns0:t>
      </ns0:r>
      <ns0:r>
        <ns0:t xml:space="preserve">The operator must still identify that a protected record exists, its custodian, date, version, and</ns0:t>
      </ns0:r>
      <ns0:r>
        <ns0:t xml:space="preserve"> </ns0:t>
      </ns0:r>
      <ns0:r>
        <ns0:t xml:space="preserve">asserted basis for withholding. A privilege log separates a lawful protection from an unreviewable</ns0:t>
      </ns0:r>
      <ns0:r>
        <ns0:t xml:space="preserve"> </ns0:t>
      </ns0:r>
      <ns0:r>
        <ns0:t xml:space="preserve">claim that the record is proprietary.</ns0:t>
      </ns0:r>
    </ns0:p>
    <ns0:p>
      <ns0:pPr>
        <ns0:pStyle ns0:val="BodyText"/>
      </ns0:pPr>
      <ns0:r>
        <ns0:t xml:space="preserve">The statute should specify graduated consequences.</ns0:t>
      </ns0:r>
    </ns0:p>
    <ns0:p>
      <ns0:pPr>
        <ns0:pStyle ns0:val="DefinitionTerm"/>
      </ns0:pPr>
      <ns0:r>
        <ns0:t xml:space="preserve">1.</ns0:t>
      </ns0:r>
    </ns0:p>
    <ns0:p>
      <ns0:pPr>
        <ns0:pStyle ns0:val="Definition"/>
      </ns0:pPr>
      <ns0:r>
        <ns0:rPr>
          <ns0:i/>
          <ns0:iCs/>
        </ns0:rPr>
        <ns0:t xml:space="preserve">Late or incomplete identification</ns0:t>
      </ns0:r>
      <ns0:r>
        <ns0:t xml:space="preserve">: an order enforcing the statutory first answer and</ns0:t>
      </ns0:r>
      <ns0:r>
        <ns0:t xml:space="preserve"> </ns0:t>
      </ns0:r>
      <ns0:r>
        <ns0:t xml:space="preserve">reasonable expenses caused by noncompliance. For a claim created or governed by the</ns0:t>
      </ns0:r>
      <ns0:r>
        <ns0:t xml:space="preserve"> </ns0:t>
      </ns0:r>
      <ns0:r>
        <ns0:t xml:space="preserve">same enactment, the limitations period is suspended from service of a compliant request</ns0:t>
      </ns0:r>
      <ns0:r>
        <ns0:t xml:space="preserve"> </ns0:t>
      </ns0:r>
      <ns0:r>
        <ns0:t xml:space="preserve">until a fixed period after compliance or final denial. Other state and federal claims</ns0:t>
      </ns0:r>
      <ns0:r>
        <ns0:t xml:space="preserve"> </ns0:t>
      </ns0:r>
      <ns0:r>
        <ns0:t xml:space="preserve">retain their own limitations and tolling law.</ns0:t>
      </ns0:r>
    </ns0:p>
    <ns0:p>
      <ns0:pPr>
        <ns0:pStyle ns0:val="DefinitionTerm"/>
      </ns0:pPr>
      <ns0:r>
        <ns0:t xml:space="preserve">2.</ns0:t>
      </ns0:r>
    </ns0:p>
    <ns0:p>
      <ns0:pPr>
        <ns0:pStyle ns0:val="Definition"/>
      </ns0:pPr>
      <ns0:r>
        <ns0:rPr>
          <ns0:i/>
          <ns0:iCs/>
        </ns0:rPr>
        <ns0:t xml:space="preserve">Failure to create or retain the minimum record</ns0:t>
      </ns0:r>
      <ns0:r>
        <ns0:t xml:space="preserve">: the administrative penalty, corrective</ns0:t>
      </ns0:r>
      <ns0:r>
        <ns0:t xml:space="preserve"> </ns0:t>
      </ns0:r>
      <ns0:r>
        <ns0:t xml:space="preserve">record order, compliance monitoring, or statutory-access remedy specified by the</ns0:t>
      </ns0:r>
      <ns0:r>
        <ns0:t xml:space="preserve"> </ns0:t>
      </ns0:r>
      <ns0:r>
        <ns0:t xml:space="preserve">sectoral enactment. The consequence addresses the independent deployment obligation;</ns0:t>
      </ns0:r>
      <ns0:r>
        <ns0:t xml:space="preserve"> </ns0:t>
      </ns0:r>
      <ns0:r>
        <ns0:t xml:space="preserve">it does not become a prescribed inference on the underlying injury.</ns0:t>
      </ns0:r>
    </ns0:p>
    <ns0:p>
      <ns0:pPr>
        <ns0:pStyle ns0:val="DefinitionTerm"/>
      </ns0:pPr>
      <ns0:r>
        <ns0:t xml:space="preserve">3.</ns0:t>
      </ns0:r>
    </ns0:p>
    <ns0:p>
      <ns0:pPr>
        <ns0:pStyle ns0:val="Definition"/>
      </ns0:pPr>
      <ns0:r>
        <ns0:rPr>
          <ns0:i/>
          <ns0:iCs/>
        </ns0:rPr>
        <ns0:t xml:space="preserve">Loss after a preservation trigger</ns0:t>
      </ns0:r>
      <ns0:r>
        <ns0:t xml:space="preserve">: an order to identify the loss and available substitute</ns0:t>
      </ns0:r>
      <ns0:r>
        <ns0:t xml:space="preserve"> </ns0:t>
      </ns0:r>
      <ns0:r>
        <ns0:t xml:space="preserve">sources, followed by measures under the governing forum’s preservation law. For</ns0:t>
      </ns0:r>
      <ns0:r>
        <ns0:t xml:space="preserve"> </ns0:t>
      </ns0:r>
      <ns0:r>
        <ns0:t xml:space="preserve">electronically stored information that should have been preserved in anticipation or</ns0:t>
      </ns0:r>
      <ns0:r>
        <ns0:t xml:space="preserve"> </ns0:t>
      </ns0:r>
      <ns0:r>
        <ns0:t xml:space="preserve">conduct of federal litigation and cannot be restored or replaced, Rule 37(e) supplies the</ns0:t>
      </ns0:r>
      <ns0:r>
        <ns0:t xml:space="preserve"> </ns0:t>
      </ns0:r>
      <ns0:r>
        <ns0:t xml:space="preserve">federal standard. The state statute should not prescribe a competing litigation sanction</ns0:t>
      </ns0:r>
      <ns0:r>
        <ns0:t xml:space="preserve"> </ns0:t>
      </ns0:r>
      <ns0:r>
        <ns0:t xml:space="preserve">for the same loss.</ns0:t>
      </ns0:r>
    </ns0:p>
    <ns0:p>
      <ns0:pPr>
        <ns0:pStyle ns0:val="DefinitionTerm"/>
      </ns0:pPr>
      <ns0:r>
        <ns0:t xml:space="preserve">4.</ns0:t>
      </ns0:r>
    </ns0:p>
    <ns0:p>
      <ns0:pPr>
        <ns0:pStyle ns0:val="Definition"/>
      </ns0:pPr>
      <ns0:r>
        <ns0:rPr>
          <ns0:i/>
          <ns0:iCs/>
        </ns0:rPr>
        <ns0:t xml:space="preserve">Intentional concealment or falsification</ns0:t>
      </ns0:r>
      <ns0:r>
        <ns0:t xml:space="preserve">: specified civil penalties, enforcement expenses,</ns0:t>
      </ns0:r>
      <ns0:r>
        <ns0:t xml:space="preserve"> </ns0:t>
      </ns0:r>
      <ns0:r>
        <ns0:t xml:space="preserve">and remedies for the independent access violation. Litigation misconduct remains</ns0:t>
      </ns0:r>
      <ns0:r>
        <ns0:t xml:space="preserve"> </ns0:t>
      </ns0:r>
      <ns0:r>
        <ns0:t xml:space="preserve">subject to the tribunal’s governing authority.</ns0:t>
      </ns0:r>
    </ns0:p>
    <ns0:p>
      <ns0:pPr>
        <ns0:pStyle ns0:val="DefinitionTerm"/>
      </ns0:pPr>
      <ns0:r>
        <ns0:t xml:space="preserve">5.</ns0:t>
      </ns0:r>
    </ns0:p>
    <ns0:p>
      <ns0:pPr>
        <ns0:pStyle ns0:val="Definition"/>
      </ns0:pPr>
      <ns0:r>
        <ns0:rPr>
          <ns0:i/>
          <ns0:iCs/>
        </ns0:rPr>
        <ns0:t xml:space="preserve">The merits firewall</ns0:t>
      </ns0:r>
      <ns0:r>
        <ns0:t xml:space="preserve">: compliance, noncompliance, and front-door participation create no</ns0:t>
      </ns0:r>
      <ns0:r>
        <ns0:t xml:space="preserve"> </ns0:t>
      </ns0:r>
      <ns0:r>
        <ns0:t xml:space="preserve">inference on the merits questions enumerated in Section 8. Governing law determines</ns0:t>
      </ns0:r>
      <ns0:r>
        <ns0:t xml:space="preserve"> </ns0:t>
      </ns0:r>
      <ns0:r>
        <ns0:t xml:space="preserve">whether a record omission has any separate relevance to an independently pleaded</ns0:t>
      </ns0:r>
      <ns0:r>
        <ns0:t xml:space="preserve"> </ns0:t>
      </ns0:r>
      <ns0:r>
        <ns0:t xml:space="preserve">claim.</ns0:t>
      </ns0:r>
    </ns0:p>
    <ns0:p>
      <ns0:pPr>
        <ns0:pStyle ns0:val="FirstParagraph"/>
      </ns0:pPr>
      <ns0:r>
        <ns0:t xml:space="preserve">Safe exit is the reciprocal limit. After Stage One, an enterprise may move to terminate its</ns0:t>
      </ns0:r>
      <ns0:r>
        <ns0:t xml:space="preserve"> </ns0:t>
      </ns0:r>
      <ns0:r>
        <ns0:t xml:space="preserve">front-door role by showing that it lacked material control over the asserted risk during the</ns0:t>
      </ns0:r>
      <ns0:r>
        <ns0:t xml:space="preserve"> </ns0:t>
      </ns0:r>
      <ns0:r>
        <ns0:t xml:space="preserve">relevant period. The claimant may use the first-answer record to contest that showing.</ns0:t>
      </ns0:r>
      <ns0:r>
        <ns0:t xml:space="preserve"> </ns0:t>
      </ns0:r>
      <ns0:r>
        <ns0:t xml:space="preserve">An entity not otherwise sued returns to ordinary nonparty status. A party remains</ns0:t>
      </ns0:r>
      <ns0:r>
        <ns0:t xml:space="preserve"> </ns0:t>
      </ns0:r>
      <ns0:r>
        <ns0:t xml:space="preserve">only when an independently sufficient claim, a valid subpoena, or regulatory authority</ns0:t>
      </ns0:r>
      <ns0:r>
        <ns0:t xml:space="preserve"> </ns0:t>
      </ns0:r>
      <ns0:r>
        <ns0:t xml:space="preserve">supplies a basis for continued participation. The gateway obligation therefore ends at</ns0:t>
      </ns0:r>
      <ns0:r>
        <ns0:t xml:space="preserve"> </ns0:t>
      </ns0:r>
      <ns0:r>
        <ns0:t xml:space="preserve">the point where the control record shows that another lane or no AI-specific lane is</ns0:t>
      </ns0:r>
      <ns0:r>
        <ns0:t xml:space="preserve"> </ns0:t>
      </ns0:r>
      <ns0:r>
        <ns0:t xml:space="preserve">relevant.</ns0:t>
      </ns0:r>
    </ns0:p>
    <ns0:bookmarkEnd ns0:id="268"/>
    <ns0:bookmarkStart ns0:id="270" ns0:name="model-statutory-text"/>
    <ns0:p>
      <ns0:pPr>
        <ns0:pStyle ns0:val="Heading4"/>
      </ns0:pPr>
      <ns0:r>
        <ns0:t xml:space="preserve">F</ns0:t>
      </ns0:r>
      <ns0:r>
        <ns0:t xml:space="preserve"> </ns0:t>
      </ns0:r>
      <ns0:r>
        <ns0:t xml:space="preserve"> </ns0:t>
      </ns0:r>
      <ns0:bookmarkStart ns0:id="269" ns0:name="x1-19000F"/>
      <ns0:bookmarkEnd ns0:id="269"/>
      <ns0:r>
        <ns0:t xml:space="preserve">Model Statutory Text</ns0:t>
      </ns0:r>
    </ns0:p>
    <ns0:p>
      <ns0:pPr>
        <ns0:pStyle ns0:val="FirstParagraph"/>
      </ns0:pPr>
      <ns0:r>
        <ns0:t xml:space="preserve">The following text consolidates the rule as a default model. A sectoral enactment would identify</ns0:t>
      </ns0:r>
      <ns0:r>
        <ns0:t xml:space="preserve"> </ns0:t>
      </ns0:r>
      <ns0:r>
        <ns0:t xml:space="preserve">the covered field, retention clock, administering authority, and ordinary civil-penalty ceiling while</ns0:t>
      </ns0:r>
      <ns0:r>
        <ns0:t xml:space="preserve"> </ns0:t>
      </ns0:r>
      <ns0:r>
        <ns0:t xml:space="preserve">preserving the sequence and merits firewall.</ns0:t>
      </ns0:r>
    </ns0:p>
    <ns0:p>
      <ns0:pPr>
        <ns0:pStyle ns0:val="BlockText"/>
      </ns0:pPr>
      <ns0:r>
        <ns0:rPr>
          <ns0:b/>
          <ns0:bCs/>
        </ns0:rPr>
        <ns0:t xml:space="preserve">Section 1. Designated Deployment and Covered Enterprises.</ns0:t>
      </ns0:r>
      <ns0:r>
        <ns0:rPr>
          <ns0:b/>
          <ns0:bCs/>
        </ns0:rPr>
        <ns0:t xml:space="preserve"> </ns0:t>
      </ns0:r>
      <ns0:r>
        <ns0:t xml:space="preserve">This Act applies</ns0:t>
      </ns0:r>
      <ns0:r>
        <ns0:t xml:space="preserve"> </ns0:t>
      </ns0:r>
      <ns0:r>
        <ns0:t xml:space="preserve">only to an AI deployment category designated by the enacting legislature and</ns0:t>
      </ns0:r>
      <ns0:r>
        <ns0:t xml:space="preserve"> </ns0:t>
      </ns0:r>
      <ns0:r>
        <ns0:t xml:space="preserve">identified by covered function, protected interests, visible operator, affected persons,</ns0:t>
      </ns0:r>
      <ns0:r>
        <ns0:t xml:space="preserve"> </ns0:t>
      </ns0:r>
      <ns0:r>
        <ns0:t xml:space="preserve">minimum record, retention period, material-change threshold, administering authority,</ns0:t>
      </ns0:r>
      <ns0:r>
        <ns0:t xml:space="preserve"> </ns0:t>
      </ns0:r>
      <ns0:r>
        <ns0:t xml:space="preserve">enforcement route, and civil-penalty ceiling. A</ns0:t>
      </ns0:r>
      <ns0:r>
        <ns0:t xml:space="preserve"> </ns0:t>
      </ns0:r>
      <ns0:r>
        <ns0:rPr>
          <ns0:i/>
          <ns0:iCs/>
        </ns0:rPr>
        <ns0:t xml:space="preserve">covered control holder</ns0:t>
      </ns0:r>
      <ns0:r>
        <ns0:rPr>
          <ns0:i/>
          <ns0:iCs/>
        </ns0:rPr>
        <ns0:t xml:space="preserve"> </ns0:t>
      </ns0:r>
      <ns0:r>
        <ns0:t xml:space="preserve">is an enterprise to</ns0:t>
      </ns0:r>
      <ns0:r>
        <ns0:t xml:space="preserve"> </ns0:t>
      </ns0:r>
      <ns0:r>
        <ns0:t xml:space="preserve">which this State’s law validly applies that operates, provides, or continuously supports</ns0:t>
      </ns0:r>
      <ns0:r>
        <ns0:t xml:space="preserve"> </ns0:t>
      </ns0:r>
      <ns0:r>
        <ns0:t xml:space="preserve">the identified covered deployment, or that has contractually assumed the response</ns0:t>
      </ns0:r>
      <ns0:r>
        <ns0:t xml:space="preserve"> </ns0:t>
      </ns0:r>
      <ns0:r>
        <ns0:t xml:space="preserve">duties defined here. Before designation, the legislature or authorized agency shall</ns0:t>
      </ns0:r>
      <ns0:r>
        <ns0:t xml:space="preserve"> </ns0:t>
      </ns0:r>
      <ns0:r>
        <ns0:t xml:space="preserve">publish a federal-overlap determination identifying applicable federal actors, statutes,</ns0:t>
      </ns0:r>
      <ns0:r>
        <ns0:t xml:space="preserve"> </ns0:t>
      </ns0:r>
      <ns0:r>
        <ns0:t xml:space="preserve">regulations, exclusive enforcement provisions, express or conflict-preemption issues,</ns0:t>
      </ns0:r>
      <ns0:r>
        <ns0:t xml:space="preserve"> </ns0:t>
      </ns0:r>
      <ns0:r>
        <ns0:t xml:space="preserve">excluded actors and fields, the relation between remedies, and the claims to which state</ns0:t>
      </ns0:r>
      <ns0:r>
        <ns0:t xml:space="preserve"> </ns0:t>
      </ns0:r>
      <ns0:r>
        <ns0:t xml:space="preserve">tolling may lawfully apply.</ns0:t>
      </ns0:r>
    </ns0:p>
    <ns0:p>
      <ns0:pPr>
        <ns0:pStyle ns0:val="BlockText"/>
      </ns0:pPr>
      <ns0:r>
        <ns0:rPr>
          <ns0:b/>
          <ns0:bCs/>
        </ns0:rPr>
        <ns0:t xml:space="preserve">Section 2. Deployment Record and Retrieval Architecture.</ns0:t>
      </ns0:r>
      <ns0:r>
        <ns0:rPr>
          <ns0:b/>
          <ns0:bCs/>
        </ns0:rPr>
        <ns0:t xml:space="preserve"> </ns0:t>
      </ns0:r>
      <ns0:r>
        <ns0:t xml:space="preserve">Before making a</ns0:t>
      </ns0:r>
      <ns0:r>
        <ns0:t xml:space="preserve"> </ns0:t>
      </ns0:r>
      <ns0:r>
        <ns0:t xml:space="preserve">covered deployment available or incorporating it into an affected process, the visible</ns0:t>
      </ns0:r>
      <ns0:r>
        <ns0:t xml:space="preserve"> </ns0:t>
      </ns0:r>
      <ns0:r>
        <ns0:t xml:space="preserve">operator shall create and maintain a local record identifying the system and versions;</ns0:t>
      </ns0:r>
      <ns0:r>
        <ns0:t xml:space="preserve"> </ns0:t>
      </ns0:r>
      <ns0:r>
        <ns0:t xml:space="preserve">purpose and affected population; material model, data, retrieval, tool, and credential</ns0:t>
      </ns0:r>
      <ns0:r>
        <ns0:t xml:space="preserve"> </ns0:t>
      </ns0:r>
      <ns0:r>
        <ns0:t xml:space="preserve">components; deployment and event identifiers; suppliers and integrators; risk and</ns0:t>
      </ns0:r>
      <ns0:r>
        <ns0:t xml:space="preserve"> </ns0:t>
      </ns0:r>
      <ns0:r>
        <ns0:t xml:space="preserve">release owners; evaluation and approval; material limitations and unresolved risk</ns0:t>
      </ns0:r>
      <ns0:r>
        <ns0:t xml:space="preserve"> </ns0:t>
      </ns0:r>
      <ns0:r>
        <ns0:t xml:space="preserve">decisions; incident and escalation channels; and authority to update, restrict, roll back,</ns0:t>
      </ns0:r>
      <ns0:r>
        <ns0:t xml:space="preserve"> </ns0:t>
      </ns0:r>
      <ns0:r>
        <ns0:t xml:space="preserve">suspend, or terminate. Each covered control holder shall maintain the corresponding</ns0:t>
      </ns0:r>
      <ns0:r>
        <ns0:t xml:space="preserve"> </ns0:t>
      </ns0:r>
      <ns0:r>
        <ns0:t xml:space="preserve">portion and provide current provenance and a response contact. The operator shall</ns0:t>
      </ns0:r>
      <ns0:r>
        <ns0:t xml:space="preserve"> </ns0:t>
      </ns0:r>
      <ns0:r>
        <ns0:t xml:space="preserve">obtain a contractual right to retrieve the defined supplier fields, require preservation</ns0:t>
      </ns0:r>
      <ns0:r>
        <ns0:t xml:space="preserve"> </ns0:t>
      </ns0:r>
      <ns0:r>
        <ns0:t xml:space="preserve">and response, and carry those duties through subcontracting, acquisition, and service</ns0:t>
      </ns0:r>
      <ns0:r>
        <ns0:t xml:space="preserve"> </ns0:t>
      </ns0:r>
      <ns0:r>
        <ns0:t xml:space="preserve">termination. These operator duties are nondelegable. The designation supplies the</ns0:t>
      </ns0:r>
      <ns0:r>
        <ns0:t xml:space="preserve"> </ns0:t>
      </ns0:r>
      <ns0:r>
        <ns0:t xml:space="preserve">retention period and material-change rule.</ns0:t>
      </ns0:r>
    </ns0:p>
    <ns0:p>
      <ns0:pPr>
        <ns0:pStyle ns0:val="BlockText"/>
      </ns0:pPr>
      <ns0:r>
        <ns0:rPr>
          <ns0:b/>
          <ns0:bCs/>
        </ns0:rPr>
        <ns0:t xml:space="preserve">Section 3. Stage One Notice.</ns0:t>
      </ns0:r>
      <ns0:r>
        <ns0:rPr>
          <ns0:b/>
          <ns0:bCs/>
        </ns0:rPr>
        <ns0:t xml:space="preserve"> </ns0:t>
      </ns0:r>
      <ns0:r>
        <ns0:t xml:space="preserve">An affected person may deliver to the visible</ns0:t>
      </ns0:r>
      <ns0:r>
        <ns0:t xml:space="preserve"> </ns0:t>
      </ns0:r>
      <ns0:r>
        <ns0:t xml:space="preserve">operator’s designated agent a sworn declaration or declaration under penalty of perjury</ns0:t>
      </ns0:r>
      <ns0:r>
        <ns0:t xml:space="preserve"> </ns0:t>
      </ns0:r>
      <ns0:r>
        <ns0:t xml:space="preserve">identifying: (a) an adverse event affecting an interest protected by the law named in the</ns0:t>
      </ns0:r>
      <ns0:r>
        <ns0:t xml:space="preserve"> </ns0:t>
      </ns0:r>
      <ns0:r>
        <ns0:t xml:space="preserve">designation; (b) the covered deployment or visible operator through which the event</ns0:t>
      </ns0:r>
      <ns0:r>
        <ns0:t xml:space="preserve"> </ns0:t>
      </ns0:r>
      <ns0:r>
        <ns0:t xml:space="preserve">occurred; (c) facts reasonably connecting the requested identity and event fields to</ns0:t>
      </ns0:r>
      <ns0:r>
        <ns0:t xml:space="preserve"> </ns0:t>
      </ns0:r>
      <ns0:r>
        <ns0:t xml:space="preserve">that occurrence; (d) the event, transaction, account, application, decision, or period</ns0:t>
      </ns0:r>
      <ns0:r>
        <ns0:t xml:space="preserve"> </ns0:t>
      </ns0:r>
      <ns0:r>
        <ns0:t xml:space="preserve">with as much specificity as reasonably available; (e) the closed fields sought; and (f)</ns0:t>
      </ns0:r>
      <ns0:r>
        <ns0:t xml:space="preserve"> </ns0:t>
      </ns0:r>
      <ns0:r>
        <ns0:t xml:space="preserve">a good-faith intended use of the answer to evaluate, contest, appeal, or seek relief for</ns0:t>
      </ns0:r>
      <ns0:r>
        <ns0:t xml:space="preserve"> </ns0:t>
      </ns0:r>
      <ns0:r>
        <ns0:t xml:space="preserve">the event. Stage One does not require a fact held exclusively in the deployment record.</ns0:t>
      </ns0:r>
      <ns0:r>
        <ns0:t xml:space="preserve"> </ns0:t>
      </ns0:r>
      <ns0:r>
        <ns0:t xml:space="preserve">Counsel, if any, shall certify proper purpose and reasonable inquiry. Delivery invokes</ns0:t>
      </ns0:r>
      <ns0:r>
        <ns0:t xml:space="preserve"> </ns0:t>
      </ns0:r>
      <ns0:r>
        <ns0:t xml:space="preserve">the first-answer duty but is not service of process for an enforcement action.</ns0:t>
      </ns0:r>
    </ns0:p>
    <ns0:p>
      <ns0:pPr>
        <ns0:pStyle ns0:val="BlockText"/>
      </ns0:pPr>
      <ns0:r>
        <ns0:rPr>
          <ns0:b/>
          <ns0:bCs/>
        </ns0:rPr>
        <ns0:t xml:space="preserve">Section 4. First Answer and Preservation.</ns0:t>
      </ns0:r>
      <ns0:r>
        <ns0:rPr>
          <ns0:b/>
          <ns0:bCs/>
        </ns0:rPr>
        <ns0:t xml:space="preserve"> </ns0:t>
      </ns0:r>
      <ns0:r>
        <ns0:t xml:space="preserve">Within thirty days after delivery,</ns0:t>
      </ns0:r>
      <ns0:r>
        <ns0:t xml:space="preserve"> </ns0:t>
      </ns0:r>
      <ns0:r>
        <ns0:t xml:space="preserve">the operator shall provide an event receipt and custodian map. The receipt identifies</ns0:t>
      </ns0:r>
      <ns0:r>
        <ns0:t xml:space="preserve"> </ns0:t>
      </ns0:r>
      <ns0:r>
        <ns0:t xml:space="preserve">the application and model versions active for the event; any requested output, score,</ns0:t>
      </ns0:r>
      <ns0:r>
        <ns0:t xml:space="preserve"> </ns0:t>
      </ns0:r>
      <ns0:r>
        <ns0:t xml:space="preserve">decision, notice, warning, transmission, use, or intervention; and whether a named</ns0:t>
      </ns0:r>
      <ns0:r>
        <ns0:t xml:space="preserve"> </ns0:t>
      </ns0:r>
      <ns0:r>
        <ns0:t xml:space="preserve">function did not run. The map identifies each entity that supplied, configured,</ns0:t>
      </ns0:r>
      <ns0:r>
        <ns0:t xml:space="preserve"> </ns0:t>
      </ns0:r>
      <ns0:r>
        <ns0:t xml:space="preserve">integrated, or operated a material component; the custodian and legal controller of</ns0:t>
      </ns0:r>
      <ns0:r>
        <ns0:t xml:space="preserve"> </ns0:t>
      </ns0:r>
      <ns0:r>
        <ns0:t xml:space="preserve">each field; and each entity with update, restriction, rollback, suspension, or termination</ns0:t>
      </ns0:r>
      <ns0:r>
        <ns0:t xml:space="preserve"> </ns0:t>
      </ns0:r>
      <ns0:r>
        <ns0:t xml:space="preserve">authority. The operator shall preserve its risk-specific record, identify known deletion</ns0:t>
      </ns0:r>
      <ns0:r>
        <ns0:t xml:space="preserve"> </ns0:t>
      </ns0:r>
      <ns0:r>
        <ns0:t xml:space="preserve">or unavailability, and activate its contractual retrieval and preservation rights. Each</ns0:t>
      </ns0:r>
      <ns0:r>
        <ns0:t xml:space="preserve"> </ns0:t>
      </ns0:r>
      <ns0:r>
        <ns0:t xml:space="preserve">covered control holder independently subject to this Act shall preserve and acknowledge</ns0:t>
      </ns0:r>
      <ns0:r>
        <ns0:t xml:space="preserve"> </ns0:t>
      </ns0:r>
      <ns0:r>
        <ns0:t xml:space="preserve">its assigned lane. For any other supplier, the operator shall satisfy the retrieval</ns0:t>
      </ns0:r>
      <ns0:r>
        <ns0:t xml:space="preserve"> </ns0:t>
      </ns0:r>
      <ns0:r>
        <ns0:t xml:space="preserve">obligation through Section 2’s contract and local record. Operator notice alone creates</ns0:t>
      </ns0:r>
      <ns0:r>
        <ns0:t xml:space="preserve"> </ns0:t>
      </ns0:r>
      <ns0:r>
        <ns0:t xml:space="preserve">neither statutory coverage, choice of law, service, personal jurisdiction, nor consent.</ns0:t>
      </ns0:r>
      <ns0:r>
        <ns0:t xml:space="preserve"> </ns0:t>
      </ns0:r>
      <ns0:r>
        <ns0:t xml:space="preserve">One extension of fifteen days may be obtained for a stated technical, privacy, or security</ns0:t>
      </ns0:r>
      <ns0:r>
        <ns0:t xml:space="preserve"> </ns0:t>
      </ns0:r>
      <ns0:r>
        <ns0:t xml:space="preserve">need.</ns0:t>
      </ns0:r>
    </ns0:p>
    <ns0:p>
      <ns0:pPr>
        <ns0:pStyle ns0:val="BlockText"/>
      </ns0:pPr>
      <ns0:r>
        <ns0:rPr>
          <ns0:b/>
          <ns0:bCs/>
        </ns0:rPr>
        <ns0:t xml:space="preserve">Section 5. Material Control.</ns0:t>
      </ns0:r>
      <ns0:r>
        <ns0:rPr>
          <ns0:b/>
          <ns0:bCs/>
        </ns0:rPr>
        <ns0:t xml:space="preserve"> </ns0:t>
      </ns0:r>
      <ns0:r>
        <ns0:t xml:space="preserve">An enterprise remains for Stage Two only</ns0:t>
      </ns0:r>
      <ns0:r>
        <ns0:t xml:space="preserve"> </ns0:t>
      </ns0:r>
      <ns0:r>
        <ns0:t xml:space="preserve">upon a prima facie showing that, at the relevant time: (a) its function was</ns0:t>
      </ns0:r>
      <ns0:r>
        <ns0:t xml:space="preserve"> </ns0:t>
      </ns0:r>
      <ns0:r>
        <ns0:t xml:space="preserve">specifically connected to the asserted risk; (b) it possessed practical authority</ns0:t>
      </ns0:r>
      <ns0:r>
        <ns0:t xml:space="preserve"> </ns0:t>
      </ns0:r>
      <ns0:r>
        <ns0:t xml:space="preserve">through configuration, constraint, evaluation, monitoring, update, restriction, rollback,</ns0:t>
      </ns0:r>
      <ns0:r>
        <ns0:t xml:space="preserve"> </ns0:t>
      </ns0:r>
      <ns0:r>
        <ns0:t xml:space="preserve">suspension, termination, or a legally enforceable equivalent; and (c) the Stage One</ns0:t>
      </ns0:r>
      <ns0:r>
        <ns0:t xml:space="preserve"> </ns0:t>
      </ns0:r>
      <ns0:r>
        <ns0:t xml:space="preserve">record supports that the function formed part of the event path or governed a safeguard,</ns0:t>
      </ns0:r>
      <ns0:r>
        <ns0:t xml:space="preserve"> </ns0:t>
      </ns0:r>
      <ns0:r>
        <ns0:t xml:space="preserve">and the requested information bears non-de-minimally on an element, defense, or</ns0:t>
      </ns0:r>
      <ns0:r>
        <ns0:t xml:space="preserve"> </ns0:t>
      </ns0:r>
      <ns0:r>
        <ns0:t xml:space="preserve">remedy. This Section requires no showing that exercising the authority would have</ns0:t>
      </ns0:r>
      <ns0:r>
        <ns0:t xml:space="preserve"> </ns0:t>
      </ns0:r>
      <ns0:r>
        <ns0:t xml:space="preserve">prevented the injury, changed the decision, or satisfied causation. Investment, general</ns0:t>
      </ns0:r>
      <ns0:r>
        <ns0:t xml:space="preserve"> </ns0:t>
      </ns0:r>
      <ns0:r>
        <ns0:t xml:space="preserve">cloud service, publication, research, brand association, provenance, or theoretical</ns0:t>
      </ns0:r>
      <ns0:r>
        <ns0:t xml:space="preserve"> </ns0:t>
      </ns0:r>
      <ns0:r>
        <ns0:t xml:space="preserve">technical capacity alone is insufficient.</ns0:t>
      </ns0:r>
    </ns0:p>
    <ns0:p>
      <ns0:pPr>
        <ns0:pStyle ns0:val="BlockText"/>
      </ns0:pPr>
      <ns0:r>
        <ns0:rPr>
          <ns0:b/>
          <ns0:bCs/>
        </ns0:rPr>
        <ns0:t xml:space="preserve">Section 6. Objection, Burdens, and Enforcement.</ns0:t>
      </ns0:r>
      <ns0:r>
        <ns0:rPr>
          <ns0:b/>
          <ns0:bCs/>
        </ns0:rPr>
        <ns0:t xml:space="preserve"> </ns0:t>
      </ns0:r>
      <ns0:r>
        <ns0:t xml:space="preserve">The operator may object by</ns0:t>
      </ns0:r>
      <ns0:r>
        <ns0:t xml:space="preserve"> </ns0:t>
      </ns0:r>
      <ns0:r>
        <ns0:t xml:space="preserve">field and shall state facts supporting noncoverage, nonoperation, burden, privilege,</ns0:t>
      </ns0:r>
      <ns0:r>
        <ns0:t xml:space="preserve"> </ns0:t>
      </ns0:r>
      <ns0:r>
        <ns0:t xml:space="preserve">privacy, security, or documented unavailability. A proprietary label or referral to an</ns0:t>
      </ns0:r>
      <ns0:r>
        <ns0:t xml:space="preserve"> </ns0:t>
      </ns0:r>
      <ns0:r>
        <ns0:t xml:space="preserve">unnamed supplier is insufficient. A timely, specific objection stays disclosure of only the</ns0:t>
      </ns0:r>
      <ns0:r>
        <ns0:t xml:space="preserve"> </ns0:t>
      </ns0:r>
      <ns0:r>
        <ns0:t xml:space="preserve">contested field pending prompt neutral review; every uncontested field remains due. An</ns0:t>
      </ns0:r>
      <ns0:r>
        <ns0:t xml:space="preserve"> </ns0:t>
      </ns0:r>
      <ns0:r>
        <ns0:t xml:space="preserve">affected person may seek expedited enforcement in a court of competent jurisdiction</ns0:t>
      </ns0:r>
      <ns0:r>
        <ns0:t xml:space="preserve"> </ns0:t>
      </ns0:r>
      <ns0:r>
        <ns0:t xml:space="preserve">or another lawful forum. The requester bears the burden on coverage, delivery, and</ns0:t>
      </ns0:r>
      <ns0:r>
        <ns0:t xml:space="preserve"> </ns0:t>
      </ns0:r>
      <ns0:r>
        <ns0:t xml:space="preserve">the Stage One occurrence threshold. The operator bears the burden on a field-specific</ns0:t>
      </ns0:r>
      <ns0:r>
        <ns0:t xml:space="preserve"> </ns0:t>
      </ns0:r>
      <ns0:r>
        <ns0:t xml:space="preserve">objection based on facts within its control. After the first answer, the requester identifies</ns0:t>
      </ns0:r>
      <ns0:r>
        <ns0:t xml:space="preserve"> </ns0:t>
      </ns0:r>
      <ns0:r>
        <ns0:t xml:space="preserve">a prima facie control lane; an enterprise seeking termination identifies the Stage One</ns0:t>
      </ns0:r>
      <ns0:r>
        <ns0:t xml:space="preserve"> </ns0:t>
      </ns0:r>
      <ns0:r>
        <ns0:t xml:space="preserve">record defeating risk specificity, practical authority, or information materiality. An</ns0:t>
      </ns0:r>
      <ns0:r>
        <ns0:t xml:space="preserve"> </ns0:t>
      </ns0:r>
      <ns0:r>
        <ns0:t xml:space="preserve">ambiguity caused by that enterprise’s violation of Section 2 is resolved against it only</ns0:t>
      </ns0:r>
      <ns0:r>
        <ns0:t xml:space="preserve"> </ns0:t>
      </ns0:r>
      <ns0:r>
        <ns0:t xml:space="preserve">for access and termination and creates no merits inference.</ns0:t>
      </ns0:r>
    </ns0:p>
    <ns0:p>
      <ns0:pPr>
        <ns0:pStyle ns0:val="BlockText"/>
      </ns0:pPr>
      <ns0:r>
        <ns0:rPr>
          <ns0:b/>
          <ns0:bCs/>
        </ns0:rPr>
        <ns0:t xml:space="preserve">Section 7. Stage Two and Protection.</ns0:t>
      </ns0:r>
      <ns0:r>
        <ns0:rPr>
          <ns0:b/>
          <ns0:bCs/>
        </ns0:rPr>
        <ns0:t xml:space="preserve"> </ns0:t>
      </ns0:r>
      <ns0:r>
        <ns0:t xml:space="preserve">Further nonprivileged production may</ns0:t>
      </ns0:r>
      <ns0:r>
        <ns0:t xml:space="preserve"> </ns0:t>
      </ns0:r>
      <ns0:r>
        <ns0:t xml:space="preserve">be obtained by agreement or ordered in a pending proceeding only when Stage One</ns0:t>
      </ns0:r>
      <ns0:r>
        <ns0:t xml:space="preserve"> </ns0:t>
      </ns0:r>
      <ns0:r>
        <ns0:t xml:space="preserve">supports a claim-specific control lane, including that the function formed part of the</ns0:t>
      </ns0:r>
      <ns0:r>
        <ns0:t xml:space="preserve"> </ns0:t>
      </ns0:r>
      <ns0:r>
        <ns0:t xml:space="preserve">event path or governed a safeguard; the requested information bears non-de-minimally</ns0:t>
      </ns0:r>
      <ns0:r>
        <ns0:t xml:space="preserve"> </ns0:t>
      </ns0:r>
      <ns0:r>
        <ns0:t xml:space="preserve">on an element, defense, or remedy; and production is necessary and proportionate.</ns0:t>
      </ns0:r>
      <ns0:r>
        <ns0:t xml:space="preserve"> </ns0:t>
      </ns0:r>
      <ns0:r>
        <ns0:t xml:space="preserve">Production shall be limited by time, version, affected population, feature, and</ns0:t>
      </ns0:r>
      <ns0:r>
        <ns0:t xml:space="preserve"> </ns0:t>
      </ns0:r>
      <ns0:r>
        <ns0:t xml:space="preserve">asserted risk. Source code, weights, sensitive data, raw content, expressive deliberation,</ns0:t>
      </ns0:r>
      <ns0:r>
        <ns0:t xml:space="preserve"> </ns0:t>
      </ns0:r>
      <ns0:r>
        <ns0:t xml:space="preserve">and security controls require written findings that less intrusive evidence cannot</ns0:t>
      </ns0:r>
      <ns0:r>
        <ns0:t xml:space="preserve"> </ns0:t>
      </ns0:r>
      <ns0:r>
        <ns0:t xml:space="preserve">reasonably resolve a material issue. The owner of contested protected material and</ns0:t>
      </ns0:r>
      <ns0:r>
        <ns0:t xml:space="preserve"> </ns0:t>
      </ns0:r>
      <ns0:r>
        <ns0:t xml:space="preserve">any materially affected third party shall receive notice and an opportunity for prompt</ns0:t>
      </ns0:r>
      <ns0:r>
        <ns0:t xml:space="preserve"> </ns0:t>
      </ns0:r>
      <ns0:r>
        <ns0:t xml:space="preserve">neutral review before disclosure. The tribunal shall protect privilege, privacy, trade</ns0:t>
      </ns0:r>
      <ns0:r>
        <ns0:t xml:space="preserve"> </ns0:t>
      </ns0:r>
      <ns0:r>
        <ns0:t xml:space="preserve">secrets, research, association, expression, and security through minimization, redaction,</ns0:t>
      </ns0:r>
      <ns0:r>
        <ns0:t xml:space="preserve"> </ns0:t>
      </ns0:r>
      <ns0:r>
        <ns0:t xml:space="preserve">pseudonymization, limited access, secure expert review, in camera review, or another</ns0:t>
      </ns0:r>
      <ns0:r>
        <ns0:t xml:space="preserve"> </ns0:t>
      </ns0:r>
      <ns0:r>
        <ns0:t xml:space="preserve">lawful safeguard. In a pending federal action, the Federal Rules govern Stage Two</ns0:t>
      </ns0:r>
      <ns0:r>
        <ns0:t xml:space="preserve"> </ns0:t>
      </ns0:r>
      <ns0:r>
        <ns0:t xml:space="preserve">production and protection.</ns0:t>
      </ns0:r>
    </ns0:p>
    <ns0:p>
      <ns0:pPr>
        <ns0:pStyle ns0:val="BlockText"/>
      </ns0:pPr>
      <ns0:r>
        <ns0:rPr>
          <ns0:b/>
          <ns0:bCs/>
        </ns0:rPr>
        <ns0:t xml:space="preserve">Section 8. Merits Firewall and Termination.</ns0:t>
      </ns0:r>
      <ns0:r>
        <ns0:rPr>
          <ns0:b/>
          <ns0:bCs/>
        </ns0:rPr>
        <ns0:t xml:space="preserve"> </ns0:t>
      </ns0:r>
      <ns0:r>
        <ns0:t xml:space="preserve">Compliance, noncompliance, notice,</ns0:t>
      </ns0:r>
      <ns0:r>
        <ns0:t xml:space="preserve"> </ns0:t>
      </ns0:r>
      <ns0:r>
        <ns0:t xml:space="preserve">and participation create no presumption of duty, breach, defect, discriminatory</ns0:t>
      </ns0:r>
      <ns0:r>
        <ns0:t xml:space="preserve"> </ns0:t>
      </ns0:r>
      <ns0:r>
        <ns0:t xml:space="preserve">operation, agency, causation, damages, or joint liability. Governing law supplies every</ns0:t>
      </ns0:r>
      <ns0:r>
        <ns0:t xml:space="preserve"> </ns0:t>
      </ns0:r>
      <ns0:r>
        <ns0:t xml:space="preserve">element and defense. An enterprise that completes Section 4 and defeats a Section</ns0:t>
      </ns0:r>
      <ns0:r>
        <ns0:t xml:space="preserve"> </ns0:t>
      </ns0:r>
      <ns0:r>
        <ns0:t xml:space="preserve">5 requirement terminates its front-door role. An entity not otherwise subject to an</ns0:t>
      </ns0:r>
      <ns0:r>
        <ns0:t xml:space="preserve"> </ns0:t>
      </ns0:r>
      <ns0:r>
        <ns0:t xml:space="preserve">independently sufficient claim resumes nonparty status. A valid subpoena, regulatory</ns0:t>
      </ns0:r>
      <ns0:r>
        <ns0:t xml:space="preserve"> </ns0:t>
      </ns0:r>
      <ns0:r>
        <ns0:t xml:space="preserve">authority, or another source of law may require continued participation on its own</ns0:t>
      </ns0:r>
      <ns0:r>
        <ns0:t xml:space="preserve"> </ns0:t>
      </ns0:r>
      <ns0:r>
        <ns0:t xml:space="preserve">terms.</ns0:t>
      </ns0:r>
    </ns0:p>
    <ns0:p>
      <ns0:pPr>
        <ns0:pStyle ns0:val="BlockText"/>
      </ns0:pPr>
      <ns0:r>
        <ns0:rPr>
          <ns0:b/>
          <ns0:bCs/>
        </ns0:rPr>
        <ns0:t xml:space="preserve">Section 9. Remedies and Limitations.</ns0:t>
      </ns0:r>
      <ns0:r>
        <ns0:rPr>
          <ns0:b/>
          <ns0:bCs/>
        </ns0:rPr>
        <ns0:t xml:space="preserve"> </ns0:t>
      </ns0:r>
      <ns0:r>
        <ns0:t xml:space="preserve">The lawful forum may issue an expedited</ns0:t>
      </ns0:r>
      <ns0:r>
        <ns0:t xml:space="preserve"> </ns0:t>
      </ns0:r>
      <ns0:r>
        <ns0:t xml:space="preserve">compliance order and award reasonable actual expenses caused by an incomplete,</ns0:t>
      </ns0:r>
      <ns0:r>
        <ns0:t xml:space="preserve"> </ns0:t>
      </ns0:r>
      <ns0:r>
        <ns0:t xml:space="preserve">late, or evasive answer. The administering authority may order creation or correction</ns0:t>
      </ns0:r>
      <ns0:r>
        <ns0:t xml:space="preserve"> </ns0:t>
      </ns0:r>
      <ns0:r>
        <ns0:t xml:space="preserve">of the minimum record, compliance monitoring, and a civil penalty calibrated to</ns0:t>
      </ns0:r>
      <ns0:r>
        <ns0:t xml:space="preserve"> </ns0:t>
      </ns0:r>
      <ns0:r>
        <ns0:t xml:space="preserve">duration, affected persons, record scope, and culpability up to the ceiling fixed in</ns0:t>
      </ns0:r>
      <ns0:r>
        <ns0:t xml:space="preserve"> </ns0:t>
      </ns0:r>
      <ns0:r>
        <ns0:t xml:space="preserve">the sectoral designation. Knowing falsification, concealment, or repeated violation</ns0:t>
      </ns0:r>
      <ns0:r>
        <ns0:t xml:space="preserve"> </ns0:t>
      </ns0:r>
      <ns0:r>
        <ns0:t xml:space="preserve">permits recovery of enforcement expenses and an enhanced penalty up to twice that</ns0:t>
      </ns0:r>
      <ns0:r>
        <ns0:t xml:space="preserve"> </ns0:t>
      </ns0:r>
      <ns0:r>
        <ns0:t xml:space="preserve">ceiling. Bare nonperformance creates no private statutory damages; this Act creates</ns0:t>
      </ns0:r>
      <ns0:r>
        <ns0:t xml:space="preserve"> </ns0:t>
      </ns0:r>
      <ns0:r>
        <ns0:t xml:space="preserve">no damages for the underlying adverse event and no merits presumption. Measures for</ns0:t>
      </ns0:r>
      <ns0:r>
        <ns0:t xml:space="preserve"> </ns0:t>
      </ns0:r>
      <ns0:r>
        <ns0:t xml:space="preserve">lost electronically stored information in federal litigation remain governed by Federal</ns0:t>
      </ns0:r>
      <ns0:r>
        <ns0:t xml:space="preserve"> </ns0:t>
      </ns0:r>
      <ns0:r>
        <ns0:t xml:space="preserve">Rule of Civil Procedure 37(e). Only a claim created or expressly governed by this Act</ns0:t>
      </ns0:r>
      <ns0:r>
        <ns0:t xml:space="preserve"> </ns0:t>
      </ns0:r>
      <ns0:r>
        <ns0:t xml:space="preserve">is tolled from delivery of a compliant request until sixty days after compliance or final</ns0:t>
      </ns0:r>
      <ns0:r>
        <ns0:t xml:space="preserve"> </ns0:t>
      </ns0:r>
      <ns0:r>
        <ns0:t xml:space="preserve">denial.</ns0:t>
      </ns0:r>
    </ns0:p>
    <ns0:p>
      <ns0:pPr>
        <ns0:pStyle ns0:val="BlockText"/>
      </ns0:pPr>
      <ns0:r>
        <ns0:rPr>
          <ns0:b/>
          <ns0:bCs/>
        </ns0:rPr>
        <ns0:t xml:space="preserve">Section 10. Nonwaiver, Forum, Standing, and Federal Procedure.</ns0:t>
      </ns0:r>
      <ns0:r>
        <ns0:rPr>
          <ns0:b/>
          <ns0:bCs/>
        </ns0:rPr>
        <ns0:t xml:space="preserve"> </ns0:t>
      </ns0:r>
      <ns0:r>
        <ns0:t xml:space="preserve">The</ns0:t>
      </ns0:r>
      <ns0:r>
        <ns0:t xml:space="preserve"> </ns0:t>
      </ns0:r>
      <ns0:r>
        <ns0:t xml:space="preserve">duties to create, retain, and provide the minimum record are nonwaivable as to</ns0:t>
      </ns0:r>
      <ns0:r>
        <ns0:t xml:space="preserve"> </ns0:t>
      </ns0:r>
      <ns0:r>
        <ns0:t xml:space="preserve">affected persons, arise from covered deployment, and exist whether a dispute is</ns0:t>
      </ns0:r>
      <ns0:r>
        <ns0:t xml:space="preserve"> </ns0:t>
      </ns0:r>
      <ns0:r>
        <ns0:t xml:space="preserve">litigated, arbitrated, or never filed. A valid arbitration agreement may select the</ns0:t>
      </ns0:r>
      <ns0:r>
        <ns0:t xml:space="preserve"> </ns0:t>
      </ns0:r>
      <ns0:r>
        <ns0:t xml:space="preserve">private enforcement forum under the Federal Arbitration Act; the first-answer clock</ns0:t>
      </ns0:r>
      <ns0:r>
        <ns0:t xml:space="preserve"> </ns0:t>
      </ns0:r>
      <ns0:r>
        <ns0:t xml:space="preserve">continues independently and is not a condition precedent to commencing or continuing</ns0:t>
      </ns0:r>
      <ns0:r>
        <ns0:t xml:space="preserve"> </ns0:t>
      </ns0:r>
      <ns0:r>
        <ns0:t xml:space="preserve">arbitration. An agreement to which the administering authority is not a party does</ns0:t>
      </ns0:r>
      <ns0:r>
        <ns0:t xml:space="preserve"> </ns0:t>
      </ns0:r>
      <ns0:r>
        <ns0:t xml:space="preserve">not restrict public enforcement brought in that authority’s own name. Nothing in this</ns0:t>
      </ns0:r>
      <ns0:r>
        <ns0:t xml:space="preserve"> </ns0:t>
      </ns0:r>
      <ns0:r>
        <ns0:t xml:space="preserve">Act creates Article III standing, personal jurisdiction, or subject-matter jurisdiction;</ns0:t>
      </ns0:r>
      <ns0:r>
        <ns0:t xml:space="preserve"> </ns0:t>
      </ns0:r>
      <ns0:r>
        <ns0:t xml:space="preserve">overrides immunity or privilege; binds a nonsignatory to arbitration; or alters federal</ns0:t>
      </ns0:r>
      <ns0:r>
        <ns0:t xml:space="preserve"> </ns0:t>
      </ns0:r>
      <ns0:r>
        <ns0:t xml:space="preserve">rules governing pleading, service, joinder, discovery, amendment, protective orders,</ns0:t>
      </ns0:r>
      <ns0:r>
        <ns0:t xml:space="preserve"> </ns0:t>
      </ns0:r>
      <ns0:r>
        <ns0:t xml:space="preserve">injunctions, and sanctions. Courts and arbitrators administer the duties created here;</ns0:t>
      </ns0:r>
      <ns0:r>
        <ns0:t xml:space="preserve"> </ns0:t>
      </ns0:r>
      <ns0:r>
        <ns0:t xml:space="preserve">they do not derive them from ordinary discovery authority.</ns0:t>
      </ns0:r>
    </ns0:p>
    <ns0:p>
      <ns0:pPr>
        <ns0:pStyle ns0:val="BlockText"/>
      </ns0:pPr>
      <ns0:r>
        <ns0:rPr>
          <ns0:b/>
          <ns0:bCs/>
        </ns0:rPr>
        <ns0:t xml:space="preserve">Section 11. Territorial Reach, Federal Supremacy, and Severability.</ns0:t>
      </ns0:r>
      <ns0:r>
        <ns0:rPr>
          <ns0:b/>
          <ns0:bCs/>
        </ns0:rPr>
        <ns0:t xml:space="preserve"> </ns0:t>
      </ns0:r>
      <ns0:r>
        <ns0:t xml:space="preserve">An</ns0:t>
      </ns0:r>
      <ns0:r>
        <ns0:t xml:space="preserve"> </ns0:t>
      </ns0:r>
      <ns0:r>
        <ns0:t xml:space="preserve">upstream enterprise has a direct duty only when it purposefully supplied, configured,</ns0:t>
      </ns0:r>
      <ns0:r>
        <ns0:t xml:space="preserve"> </ns0:t>
      </ns0:r>
      <ns0:r>
        <ns0:t xml:space="preserve">operated, or continuously supported the identified deployment for covered use in this</ns0:t>
      </ns0:r>
      <ns0:r>
        <ns0:t xml:space="preserve"> </ns0:t>
      </ns0:r>
      <ns0:r>
        <ns0:t xml:space="preserve">State, or another lawful basis for legislative authority exists, and application of this</ns0:t>
      </ns0:r>
      <ns0:r>
        <ns0:t xml:space="preserve"> </ns0:t>
      </ns0:r>
      <ns0:r>
        <ns0:t xml:space="preserve">State’s law satisfies territorial and choice-of-law rules. Coercive relief additionally</ns0:t>
      </ns0:r>
      <ns0:r>
        <ns0:t xml:space="preserve"> </ns0:t>
      </ns0:r>
      <ns0:r>
        <ns0:t xml:space="preserve">requires valid service and an independent basis for personal jurisdiction. Appointment</ns0:t>
      </ns0:r>
      <ns0:r>
        <ns0:t xml:space="preserve"> </ns0:t>
      </ns0:r>
      <ns0:r>
        <ns0:t xml:space="preserve">of the operator’s response agent authorizes delivery under Section 3 only and</ns0:t>
      </ns0:r>
      <ns0:r>
        <ns0:t xml:space="preserve"> </ns0:t>
      </ns0:r>
      <ns0:r>
        <ns0:t xml:space="preserve">creates no consent to general jurisdiction. This Act imposes no requirement to the</ns0:t>
      </ns0:r>
      <ns0:r>
        <ns0:t xml:space="preserve"> </ns0:t>
      </ns0:r>
      <ns0:r>
        <ns0:t xml:space="preserve">extent federal law preempts it, requires no disclosure prohibited by federal privacy,</ns0:t>
      </ns0:r>
      <ns0:r>
        <ns0:t xml:space="preserve"> </ns0:t>
      </ns0:r>
      <ns0:r>
        <ns0:t xml:space="preserve">security, communications, or confidentiality law, creates no claim solely to enforce a</ns0:t>
      </ns0:r>
      <ns0:r>
        <ns0:t xml:space="preserve"> </ns0:t>
      </ns0:r>
      <ns0:r>
        <ns0:t xml:space="preserve">federal duty reserved to the United States, and does not regulate the United States</ns0:t>
      </ns0:r>
      <ns0:r>
        <ns0:t xml:space="preserve"> </ns0:t>
      </ns0:r>
      <ns0:r>
        <ns0:t xml:space="preserve">absent congressional authorization and an applicable waiver. A tribunal shall sever</ns0:t>
      </ns0:r>
      <ns0:r>
        <ns0:t xml:space="preserve"> </ns0:t>
      </ns0:r>
      <ns0:r>
        <ns0:t xml:space="preserve">a preempted actor, field, remedy, or application when the remaining designation can</ns0:t>
      </ns0:r>
      <ns0:r>
        <ns0:t xml:space="preserve"> </ns0:t>
      </ns0:r>
      <ns0:r>
        <ns0:t xml:space="preserve">operate consistently with the legislature’s stated purpose.</ns0:t>
      </ns0:r>
    </ns0:p>
    <ns0:p>
      <ns0:pPr>
        <ns0:pStyle ns0:val="FirstParagraph"/>
      </ns0:pPr>
      <ns0:r>
        <ns0:t xml:space="preserve">The model text makes the statutory architecture legible. The regulated acts are operating a</ns0:t>
      </ns0:r>
      <ns0:r>
        <ns0:t xml:space="preserve"> </ns0:t>
      </ns0:r>
      <ns0:r>
        <ns0:t xml:space="preserve">covered deployment without the minimum record and refusing the resulting access right, not unsafe</ns0:t>
      </ns0:r>
      <ns0:r>
        <ns0:t xml:space="preserve"> </ns0:t>
      </ns0:r>
      <ns0:r>
        <ns0:t xml:space="preserve">operation in the abstract. The trigger is tied to a legislatively specified legal interest, an adverse</ns0:t>
      </ns0:r>
      <ns0:r>
        <ns0:t xml:space="preserve"> </ns0:t>
      </ns0:r>
      <ns0:r>
        <ns0:t xml:space="preserve">event, and closed deployment facts. Control is risk specific. Access is staged. Confidential</ns0:t>
      </ns0:r>
      <ns0:r>
        <ns0:t xml:space="preserve"> </ns0:t>
      </ns0:r>
      <ns0:r>
        <ns0:t xml:space="preserve">information receives protection. A record holder can terminate its special role. The merits remain</ns0:t>
      </ns0:r>
      <ns0:r>
        <ns0:t xml:space="preserve"> </ns0:t>
      </ns0:r>
      <ns0:r>
        <ns0:t xml:space="preserve">where ordinary law placed them.</ns0:t>
      </ns0:r>
    </ns0:p>
    <ns0:bookmarkEnd ns0:id="270"/>
    <ns0:bookmarkStart ns0:id="306" ns0:name="Xe7d7c9ab2869bb790fe3803bc5183db090504b6"/>
    <ns0:p>
      <ns0:pPr>
        <ns0:pStyle ns0:val="Heading4"/>
      </ns0:pPr>
      <ns0:r>
        <ns0:t xml:space="preserve">G</ns0:t>
      </ns0:r>
      <ns0:r>
        <ns0:t xml:space="preserve"> </ns0:t>
      </ns0:r>
      <ns0:r>
        <ns0:t xml:space="preserve"> </ns0:t>
      </ns0:r>
      <ns0:bookmarkStart ns0:id="271" ns0:name="x1-20000G"/>
      <ns0:bookmarkEnd ns0:id="271"/>
      <ns0:r>
        <ns0:t xml:space="preserve">Why the First Answer Is a Substantive Access Right Rather Than Accelerated</ns0:t>
      </ns0:r>
      <ns0:r>
        <ns0:t xml:space="preserve"> </ns0:t>
      </ns0:r>
      <ns0:r>
        <ns0:t xml:space="preserve">Discovery</ns0:t>
      </ns0:r>
    </ns0:p>
    <ns0:p>
      <ns0:pPr>
        <ns0:pStyle ns0:val="FirstParagraph"/>
      </ns0:pPr>
      <ns0:r>
        <ns0:t xml:space="preserve">A state front-door statute regulates covered operation rather than rewriting federal litigation.</ns0:t>
      </ns0:r>
      <ns0:r>
        <ns0:t xml:space="preserve"> </ns0:t>
      </ns0:r>
      <ns0:r>
        <ns0:t xml:space="preserve">The minimum-record duty attaches when the operator makes a designated deployment</ns0:t>
      </ns0:r>
      <ns0:r>
        <ns0:t xml:space="preserve"> </ns0:t>
      </ns0:r>
      <ns0:r>
        <ns0:t xml:space="preserve">available or incorporates it into an affected process. The first-answer duty attaches</ns0:t>
      </ns0:r>
      <ns0:r>
        <ns0:t xml:space="preserve"> </ns0:t>
      </ns0:r>
      <ns0:r>
        <ns0:t xml:space="preserve">to a qualifying request whether a lawsuit is anticipated, pending, arbitrated, or never</ns0:t>
      </ns0:r>
      <ns0:r>
        <ns0:t xml:space="preserve"> </ns0:t>
      </ns0:r>
      <ns0:r>
        <ns0:t xml:space="preserve">filed. Its content is fixed by the designation—identity, event, provenance, custody, and</ns0:t>
      </ns0:r>
      <ns0:r>
        <ns0:t xml:space="preserve"> </ns0:t>
      </ns0:r>
      <ns0:r>
        <ns0:t xml:space="preserve">control fields—rather than by the relevance scope of a particular complaint. Refusal</ns0:t>
      </ns0:r>
      <ns0:r>
        <ns0:t xml:space="preserve"> </ns0:t>
      </ns0:r>
      <ns0:r>
        <ns0:t xml:space="preserve">completes an independent statutory violation. Claim-specific discovery begins only at Stage</ns0:t>
      </ns0:r>
      <ns0:r>
        <ns0:t xml:space="preserve"> </ns0:t>
      </ns0:r>
      <ns0:r>
        <ns0:t xml:space="preserve">Two.</ns0:t>
      </ns0:r>
    </ns0:p>
    <ns0:p>
      <ns0:pPr>
        <ns0:pStyle ns0:val="BodyText"/>
      </ns0:pPr>
      <ns0:r>
        <ns0:t xml:space="preserve">That design matters because state law cannot evade a Federal Rule by relabeling a pleading</ns0:t>
      </ns0:r>
      <ns0:r>
        <ns0:t xml:space="preserve"> </ns0:t>
      </ns0:r>
      <ns0:r>
        <ns0:t xml:space="preserve">or discovery requirement. Federal courts have rejected state presuit certificate requirements</ns0:t>
      </ns0:r>
      <ns0:r>
        <ns0:t xml:space="preserve"> </ns0:t>
      </ns0:r>
      <ns0:r>
        <ns0:t xml:space="preserve">when they conflict with the Federal Rules’ answer to what a federal complaint must</ns0:t>
      </ns0:r>
      <ns0:r>
        <ns0:t xml:space="preserve"> </ns0:t>
      </ns0:r>
      <ns0:r>
        <ns0:t xml:space="preserve">contain.</ns0:t>
      </ns0:r>
      <ns0:r>
        <ns0:rPr>
          <ns0:rStyle ns0:val="FootnoteReference"/>
        </ns0:rPr>
        <ns0:footnoteReference ns0:id="275"/>
      </ns0:r>
      <ns0:bookmarkStart ns0:id="275" ns0:name="x1-20001f23"/>
      <ns0:bookmarkEnd ns0:id="275"/>
      <ns0:r>
        <ns0:t xml:space="preserve"> </ns0:t>
      </ns0:r>
      <ns0:r>
        <ns0:t xml:space="preserve">The front door asks a different question. It creates a record during operation and gives the affected</ns0:t>
      </ns0:r>
      <ns0:r>
        <ns0:t xml:space="preserve"> </ns0:t>
      </ns0:r>
      <ns0:r>
        <ns0:t xml:space="preserve">person a transaction-linked access entitlement before suit. A federal complaint enforcing that</ns0:t>
      </ns0:r>
      <ns0:r>
        <ns0:t xml:space="preserve"> </ns0:t>
      </ns0:r>
      <ns0:r>
        <ns0:t xml:space="preserve">entitlement remains governed by Rule 8; any additional production remains governed by Rules 26,</ns0:t>
      </ns0:r>
      <ns0:r>
        <ns0:t xml:space="preserve"> </ns0:t>
      </ns0:r>
      <ns0:r>
        <ns0:t xml:space="preserve">34, and 45.</ns0:t>
      </ns0:r>
    </ns0:p>
    <ns0:p>
      <ns0:pPr>
        <ns0:pStyle ns0:val="BodyText"/>
      </ns0:pPr>
      <ns0:r>
        <ns0:t xml:space="preserve">The right and its enforcement forum therefore remain separate. A state</ns0:t>
      </ns0:r>
      <ns0:r>
        <ns0:t xml:space="preserve"> </ns0:t>
      </ns0:r>
      <ns0:r>
        <ns0:t xml:space="preserve">statute does not manufacture federal subject-matter jurisdiction. An affected</ns0:t>
      </ns0:r>
      <ns0:r>
        <ns0:t xml:space="preserve"> </ns0:t>
      </ns0:r>
      <ns0:r>
        <ns0:t xml:space="preserve">person ordinarily proceeds in the designated state forum, invokes diversity if its</ns0:t>
      </ns0:r>
      <ns0:r>
        <ns0:t xml:space="preserve"> </ns0:t>
      </ns0:r>
      <ns0:r>
        <ns0:t xml:space="preserve">requirements are met, asserts a federal right if Congress enacts one, or seeks supplemental</ns0:t>
      </ns0:r>
      <ns0:r>
        <ns0:t xml:space="preserve"> </ns0:t>
      </ns0:r>
      <ns0:r>
        <ns0:t xml:space="preserve">jurisdiction when the state access claim forms part of a case already within federal</ns0:t>
      </ns0:r>
      <ns0:r>
        <ns0:t xml:space="preserve"> </ns0:t>
      </ns0:r>
      <ns0:r>
        <ns0:t xml:space="preserve">jurisdiction.</ns0:t>
      </ns0:r>
      <ns0:r>
        <ns0:rPr>
          <ns0:rStyle ns0:val="FootnoteReference"/>
        </ns0:rPr>
        <ns0:footnoteReference ns0:id="279"/>
      </ns0:r>
      <ns0:bookmarkStart ns0:id="279" ns0:name="x1-20004f24"/>
      <ns0:bookmarkEnd ns0:id="279"/>
      <ns0:r>
        <ns0:t xml:space="preserve"> </ns0:t>
      </ns0:r>
      <ns0:r>
        <ns0:t xml:space="preserve">Once the dispute is in federal court, federal rules govern pleading, service, discovery, amendment,</ns0:t>
      </ns0:r>
      <ns0:r>
        <ns0:t xml:space="preserve"> </ns0:t>
      </ns0:r>
      <ns0:r>
        <ns0:t xml:space="preserve">protection, and sanctions.</ns0:t>
      </ns0:r>
    </ns0:p>
    <ns0:p>
      <ns0:pPr>
        <ns0:pStyle ns0:val="BodyText"/>
      </ns0:pPr>
      <ns0:r>
        <ns0:t xml:space="preserve">Article III adds a separate limit to a federal access action. A legislature’s grant of a cause of</ns0:t>
      </ns0:r>
      <ns0:r>
        <ns0:t xml:space="preserve"> </ns0:t>
      </ns0:r>
      <ns0:r>
        <ns0:t xml:space="preserve">action informs the inquiry but does not make every statutory violation concrete. In</ns0:t>
      </ns0:r>
      <ns0:r>
        <ns0:t xml:space="preserve"> </ns0:t>
      </ns0:r>
      <ns0:r>
        <ns0:rPr>
          <ns0:i/>
          <ns0:iCs/>
        </ns0:rPr>
        <ns0:t xml:space="preserve">TransUnion</ns0:t>
      </ns0:r>
      <ns0:r>
        <ns0:t xml:space="preserve">,</ns0:t>
      </ns0:r>
      <ns0:r>
        <ns0:t xml:space="preserve"> </ns0:t>
      </ns0:r>
      <ns0:r>
        <ns0:t xml:space="preserve">the plaintiffs before the Court could not establish concrete informational injury without alleging</ns0:t>
      </ns0:r>
      <ns0:r>
        <ns0:t xml:space="preserve"> </ns0:t>
      </ns0:r>
      <ns0:r>
        <ns0:t xml:space="preserve">downstream adverse effects;</ns0:t>
      </ns0:r>
      <ns0:r>
        <ns0:t xml:space="preserve"> </ns0:t>
      </ns0:r>
      <ns0:r>
        <ns0:rPr>
          <ns0:i/>
          <ns0:iCs/>
        </ns0:rPr>
        <ns0:t xml:space="preserve">Spokeo</ns0:t>
      </ns0:r>
      <ns0:r>
        <ns0:rPr>
          <ns0:i/>
          <ns0:iCs/>
        </ns0:rPr>
        <ns0:t xml:space="preserve"> </ns0:t>
      </ns0:r>
      <ns0:r>
        <ns0:t xml:space="preserve">likewise separates a legal violation from concrete injury in</ns0:t>
      </ns0:r>
      <ns0:r>
        <ns0:t xml:space="preserve"> </ns0:t>
      </ns0:r>
      <ns0:r>
        <ns0:t xml:space="preserve">fact.</ns0:t>
      </ns0:r>
      <ns0:r>
        <ns0:rPr>
          <ns0:rStyle ns0:val="FootnoteReference"/>
        </ns0:rPr>
        <ns0:footnoteReference ns0:id="283"/>
      </ns0:r>
      <ns0:bookmarkStart ns0:id="284" ns0:name="x1-20007f25"/>
      <ns0:bookmarkEnd ns0:id="284"/>
      <ns0:r>
        <ns0:t xml:space="preserve"> </ns0:t>
      </ns0:r>
      <ns0:r>
        <ns0:t xml:space="preserve">Informational-standing decisions found concreteness where plaintiffs were personally denied</ns0:t>
      </ns0:r>
      <ns0:r>
        <ns0:t xml:space="preserve"> </ns0:t>
      </ns0:r>
      <ns0:r>
        <ns0:t xml:space="preserve">information that law required to be disclosed and the information bore directly on a protected</ns0:t>
      </ns0:r>
      <ns0:r>
        <ns0:t xml:space="preserve"> </ns0:t>
      </ns0:r>
      <ns0:r>
        <ns0:t xml:space="preserve">use.</ns0:t>
      </ns0:r>
      <ns0:r>
        <ns0:rPr>
          <ns0:rStyle ns0:val="FootnoteReference"/>
        </ns0:rPr>
        <ns0:footnoteReference ns0:id="288"/>
      </ns0:r>
      <ns0:bookmarkStart ns0:id="290" ns0:name="x1-20011f26"/>
      <ns0:bookmarkEnd ns0:id="290"/>
      <ns0:r>
        <ns0:t xml:space="preserve"> </ns0:t>
      </ns0:r>
      <ns0:r>
        <ns0:t xml:space="preserve">A federal front-door plaintiff should therefore plead that denial impaired the ability to</ns0:t>
      </ns0:r>
      <ns0:r>
        <ns0:t xml:space="preserve"> </ns0:t>
      </ns0:r>
      <ns0:r>
        <ns0:t xml:space="preserve">identify, contest, appeal, or seek relief for the specified adverse event, or caused another</ns0:t>
      </ns0:r>
      <ns0:r>
        <ns0:t xml:space="preserve"> </ns0:t>
      </ns0:r>
      <ns0:r>
        <ns0:t xml:space="preserve">concrete effect such as reasonable actual expense. A bare delay untethered to such use</ns0:t>
      </ns0:r>
      <ns0:r>
        <ns0:t xml:space="preserve"> </ns0:t>
      </ns0:r>
      <ns0:r>
        <ns0:t xml:space="preserve">may fail in federal court even though the legislature created a cause of action. State</ns0:t>
      </ns0:r>
      <ns0:r>
        <ns0:t xml:space="preserve"> </ns0:t>
      </ns0:r>
      <ns0:r>
        <ns0:t xml:space="preserve">courts remain governed by their own constitutions and standing law; Article III does</ns0:t>
      </ns0:r>
      <ns0:r>
        <ns0:t xml:space="preserve"> </ns0:t>
      </ns0:r>
      <ns0:r>
        <ns0:t xml:space="preserve">not require a state forum to close whenever a parallel federal action would lack</ns0:t>
      </ns0:r>
      <ns0:r>
        <ns0:t xml:space="preserve"> </ns0:t>
      </ns0:r>
      <ns0:r>
        <ns0:t xml:space="preserve">standing.</ns0:t>
      </ns0:r>
      <ns0:r>
        <ns0:rPr>
          <ns0:rStyle ns0:val="FootnoteReference"/>
        </ns0:rPr>
        <ns0:footnoteReference ns0:id="294"/>
      </ns0:r>
      <ns0:bookmarkStart ns0:id="294" ns0:name="x1-20016f27"/>
      <ns0:bookmarkEnd ns0:id="294"/>
    </ns0:p>
    <ns0:p>
      <ns0:pPr>
        <ns0:pStyle ns0:val="BodyText"/>
      </ns0:pPr>
      <ns0:r>
        <ns0:t xml:space="preserve">The Rules Enabling Act framework then makes direct collision the first Erie question.</ns0:t>
      </ns0:r>
      <ns0:r>
        <ns0:t xml:space="preserve"> </ns0:t>
      </ns0:r>
      <ns0:r>
        <ns0:rPr>
          <ns0:i/>
          <ns0:iCs/>
        </ns0:rPr>
        <ns0:t xml:space="preserve">Hanna</ns0:t>
      </ns0:r>
      <ns0:r>
        <ns0:rPr>
          <ns0:i/>
          <ns0:iCs/>
        </ns0:rPr>
        <ns0:t xml:space="preserve"> </ns0:t>
      </ns0:r>
      <ns0:r>
        <ns0:t xml:space="preserve">applies a valid Federal Rule when it answers the question before the court.</ns0:t>
      </ns0:r>
      <ns0:r>
        <ns0:t xml:space="preserve"> </ns0:t>
      </ns0:r>
      <ns0:r>
        <ns0:rPr>
          <ns0:i/>
          <ns0:iCs/>
        </ns0:rPr>
        <ns0:t xml:space="preserve">Burlington</ns0:t>
      </ns0:r>
      <ns0:r>
        <ns0:rPr>
          <ns0:i/>
          <ns0:iCs/>
        </ns0:rPr>
        <ns0:t xml:space="preserve"> </ns0:t>
      </ns0:r>
      <ns0:r>
        <ns0:rPr>
          <ns0:i/>
          <ns0:iCs/>
        </ns0:rPr>
        <ns0:t xml:space="preserve">Northern</ns0:t>
      </ns0:r>
      <ns0:r>
        <ns0:rPr>
          <ns0:i/>
          <ns0:iCs/>
        </ns0:rPr>
        <ns0:t xml:space="preserve"> </ns0:t>
      </ns0:r>
      <ns0:r>
        <ns0:t xml:space="preserve">rejected a state appellate penalty that occupied the same field as a federal rule</ns0:t>
      </ns0:r>
      <ns0:r>
        <ns0:t xml:space="preserve"> </ns0:t>
      </ns0:r>
      <ns0:r>
        <ns0:t xml:space="preserve">governing the consequence at issue.</ns0:t>
      </ns0:r>
      <ns0:r>
        <ns0:t xml:space="preserve"> </ns0:t>
      </ns0:r>
      <ns0:r>
        <ns0:rPr>
          <ns0:i/>
          <ns0:iCs/>
        </ns0:rPr>
        <ns0:t xml:space="preserve">Walker</ns0:t>
      </ns0:r>
      <ns0:r>
        <ns0:t xml:space="preserve">, by contrast, applied a state service-linked</ns0:t>
      </ns0:r>
      <ns0:r>
        <ns0:t xml:space="preserve"> </ns0:t>
      </ns0:r>
      <ns0:r>
        <ns0:t xml:space="preserve">limitations rule because Rule 3 did not answer when the state limitations period was</ns0:t>
      </ns0:r>
      <ns0:r>
        <ns0:t xml:space="preserve"> </ns0:t>
      </ns0:r>
      <ns0:r>
        <ns0:t xml:space="preserve">tolled.</ns0:t>
      </ns0:r>
      <ns0:r>
        <ns0:rPr>
          <ns0:rStyle ns0:val="FootnoteReference"/>
        </ns0:rPr>
        <ns0:footnoteReference ns0:id="298"/>
      </ns0:r>
      <ns0:bookmarkStart ns0:id="301" ns0:name="x1-20019f28"/>
      <ns0:bookmarkEnd ns0:id="301"/>
      <ns0:r>
        <ns0:t xml:space="preserve"> </ns0:t>
      </ns0:r>
      <ns0:r>
        <ns0:t xml:space="preserve">The fixed deployment and access duties sit on the</ns0:t>
      </ns0:r>
      <ns0:r>
        <ns0:t xml:space="preserve"> </ns0:t>
      </ns0:r>
      <ns0:r>
        <ns0:rPr>
          <ns0:i/>
          <ns0:iCs/>
        </ns0:rPr>
        <ns0:t xml:space="preserve">Walker</ns0:t>
      </ns0:r>
      <ns0:r>
        <ns0:rPr>
          <ns0:i/>
          <ns0:iCs/>
        </ns0:rPr>
        <ns0:t xml:space="preserve"> </ns0:t>
      </ns0:r>
      <ns0:r>
        <ns0:t xml:space="preserve">side only to the extent they regulate</ns0:t>
      </ns0:r>
      <ns0:r>
        <ns0:t xml:space="preserve"> </ns0:t>
      </ns0:r>
      <ns0:r>
        <ns0:t xml:space="preserve">operation and create an entitlement that exists outside litigation. They neither advance Rule 26’s</ns0:t>
      </ns0:r>
      <ns0:r>
        <ns0:t xml:space="preserve"> </ns0:t>
      </ns0:r>
      <ns0:r>
        <ns0:t xml:space="preserve">timetable nor enlarge Rule 34 control or Rule 45 subpoena power.</ns0:t>
      </ns0:r>
    </ns0:p>
    <ns0:p>
      <ns0:pPr>
        <ns0:pStyle ns0:val="BodyText"/>
      </ns0:pPr>
      <ns0:r>
        <ns0:t xml:space="preserve">The allocation described in Section </ns0:t>
      </ns0:r>
      <ns0:hyperlink ns0:anchor="X0d45b1bf289ec41abdcdcdd96a97e2c1be6f103">
        <ns0:r>
          <ns0:rPr>
            <ns0:rStyle ns0:val="Hyperlink"/>
          </ns0:rPr>
          <ns0:t xml:space="preserve">C</ns0:t>
        </ns0:r>
      </ns0:hyperlink>
      <ns0:r>
        <ns0:t xml:space="preserve"> </ns0:t>
      </ns0:r>
      <ns0:r>
        <ns0:t xml:space="preserve">follows by function. State law can require a version,</ns0:t>
      </ns0:r>
      <ns0:r>
        <ns0:t xml:space="preserve"> </ns0:t>
      </ns0:r>
      <ns0:r>
        <ns0:t xml:space="preserve">provenance, control, and event record years before a dispute; create a nonwaivable request;</ns0:t>
      </ns0:r>
      <ns0:r>
        <ns0:t xml:space="preserve"> </ns0:t>
      </ns0:r>
      <ns0:r>
        <ns0:t xml:space="preserve">authorize an action for refusal; and suspend limitations for a claim the enactment creates or</ns0:t>
      </ns0:r>
      <ns0:r>
        <ns0:t xml:space="preserve"> </ns0:t>
      </ns0:r>
      <ns0:r>
        <ns0:t xml:space="preserve">governs. Rule 8 controls the federal enforcement complaint. Rules 26, 34, and 45 control Stage Two</ns0:t>
      </ns0:r>
      <ns0:r>
        <ns0:t xml:space="preserve"> </ns0:t>
      </ns0:r>
      <ns0:r>
        <ns0:t xml:space="preserve">in federal court. Rule 26(c) supplies protective orders. Rule 15 controls amendment and relation</ns0:t>
      </ns0:r>
      <ns0:r>
        <ns0:t xml:space="preserve"> </ns0:t>
      </ns0:r>
      <ns0:r>
        <ns0:t xml:space="preserve">back. The state statute gives the parties an existing object and access entitlement; federal</ns0:t>
      </ns0:r>
      <ns0:r>
        <ns0:t xml:space="preserve"> </ns0:t>
      </ns0:r>
      <ns0:r>
        <ns0:t xml:space="preserve">procedure supplies the litigation machinery.</ns0:t>
      </ns0:r>
    </ns0:p>
    <ns0:p>
      <ns0:pPr>
        <ns0:pStyle ns0:val="BodyText"/>
      </ns0:pPr>
      <ns0:r>
        <ns0:t xml:space="preserve">Preservation requires the same separation. The deployment statute defines baseline</ns0:t>
      </ns0:r>
      <ns0:r>
        <ns0:t xml:space="preserve"> </ns0:t>
      </ns0:r>
      <ns0:r>
        <ns0:t xml:space="preserve">retention and can penalize noncreation or premature deletion as an operating violation. A</ns0:t>
      </ns0:r>
      <ns0:r>
        <ns0:t xml:space="preserve"> </ns0:t>
      </ns0:r>
      <ns0:r>
        <ns0:t xml:space="preserve">qualifying request can create an independent statutory hold. Rule 37(e), however, governs</ns0:t>
      </ns0:r>
      <ns0:r>
        <ns0:t xml:space="preserve"> </ns0:t>
      </ns0:r>
      <ns0:r>
        <ns0:t xml:space="preserve">federal litigation measures when electronically stored information that should have been</ns0:t>
      </ns0:r>
      <ns0:r>
        <ns0:t xml:space="preserve"> </ns0:t>
      </ns0:r>
      <ns0:r>
        <ns0:t xml:space="preserve">preserved in anticipation or conduct of the action is lost and cannot be restored or</ns0:t>
      </ns0:r>
      <ns0:r>
        <ns0:t xml:space="preserve"> </ns0:t>
      </ns0:r>
      <ns0:r>
        <ns0:t xml:space="preserve">replaced. The Rule supplies prejudice and intent standards; it does not create the operating</ns0:t>
      </ns0:r>
      <ns0:r>
        <ns0:t xml:space="preserve"> </ns0:t>
      </ns0:r>
      <ns0:r>
        <ns0:t xml:space="preserve">duty.</ns0:t>
      </ns0:r>
      <ns0:r>
        <ns0:rPr>
          <ns0:rStyle ns0:val="FootnoteReference"/>
        </ns0:rPr>
        <ns0:footnoteReference ns0:id="305"/>
      </ns0:r>
      <ns0:bookmarkStart ns0:id="305" ns0:name="x1-20025f29"/>
      <ns0:bookmarkEnd ns0:id="305"/>
      <ns0:r>
        <ns0:t xml:space="preserve"> </ns0:t>
      </ns0:r>
      <ns0:r>
        <ns0:t xml:space="preserve">The model text therefore provides regulatory and access remedies for the deployment</ns0:t>
      </ns0:r>
      <ns0:r>
        <ns0:t xml:space="preserve"> </ns0:t>
      </ns0:r>
      <ns0:r>
        <ns0:t xml:space="preserve">violation while leaving federal adverse-inference and case-management measures to Rule</ns0:t>
      </ns0:r>
      <ns0:r>
        <ns0:t xml:space="preserve"> </ns0:t>
      </ns0:r>
      <ns0:r>
        <ns0:t xml:space="preserve">37(e).</ns0:t>
      </ns0:r>
    </ns0:p>
    <ns0:p>
      <ns0:pPr>
        <ns0:pStyle ns0:val="BodyText"/>
      </ns0:pPr>
      <ns0:r>
        <ns0:t xml:space="preserve">Limitations follows legislative authority. A state can suspend the period for a state claim it</ns0:t>
      </ns0:r>
      <ns0:r>
        <ns0:t xml:space="preserve"> </ns0:t>
      </ns0:r>
      <ns0:r>
        <ns0:t xml:space="preserve">creates or governs while the operator supplies the first answer. It cannot promise tolling for an</ns0:t>
      </ns0:r>
      <ns0:r>
        <ns0:t xml:space="preserve"> </ns0:t>
      </ns0:r>
      <ns0:r>
        <ns0:t xml:space="preserve">independent federal cause of action or automatic relation back against a later-named party.</ns0:t>
      </ns0:r>
      <ns0:r>
        <ns0:t xml:space="preserve"> </ns0:t>
      </ns0:r>
      <ns0:r>
        <ns0:t xml:space="preserve">Congress can pair a federal front door with federal tolling where national uniformity is warranted.</ns0:t>
      </ns0:r>
      <ns0:r>
        <ns0:t xml:space="preserve"> </ns0:t>
      </ns0:r>
      <ns0:r>
        <ns0:t xml:space="preserve">In either form, the access period gives the affected person time to use the answer while preserving</ns0:t>
      </ns0:r>
      <ns0:r>
        <ns0:t xml:space="preserve"> </ns0:t>
      </ns0:r>
      <ns0:r>
        <ns0:t xml:space="preserve">Rule 15’s role in a later federal case.</ns0:t>
      </ns0:r>
    </ns0:p>
    <ns0:p>
      <ns0:pPr>
        <ns0:pStyle ns0:val="BodyText"/>
      </ns0:pPr>
      <ns0:r>
        <ns0:t xml:space="preserve">The resulting division is concrete. Deployment law keeps a consequential system identifiable</ns0:t>
      </ns0:r>
      <ns0:r>
        <ns0:t xml:space="preserve"> </ns0:t>
      </ns0:r>
      <ns0:r>
        <ns0:t xml:space="preserve">and grants a defined access right. Federal procedure governs the federal enforcement action and</ns0:t>
      </ns0:r>
      <ns0:r>
        <ns0:t xml:space="preserve"> </ns0:t>
      </ns0:r>
      <ns0:r>
        <ns0:t xml:space="preserve">any later merits claim. The same allocation preserves the merits disagreement identified in the</ns0:t>
      </ns0:r>
      <ns0:r>
        <ns0:t xml:space="preserve"> </ns0:t>
      </ns0:r>
      <ns0:r>
        <ns0:t xml:space="preserve">Introduction: the access right supplies the deployment and record on which the governing liability</ns0:t>
      </ns0:r>
      <ns0:r>
        <ns0:t xml:space="preserve"> </ns0:t>
      </ns0:r>
      <ns0:r>
        <ns0:t xml:space="preserve">rule can operate, while the merits firewall neither selects that rule nor alters its elements. The first</ns0:t>
      </ns0:r>
      <ns0:r>
        <ns0:t xml:space="preserve"> </ns0:t>
      </ns0:r>
      <ns0:r>
        <ns0:t xml:space="preserve">answer arrives with the missing record; it does not arrive as a substitute code of civil</ns0:t>
      </ns0:r>
      <ns0:r>
        <ns0:t xml:space="preserve"> </ns0:t>
      </ns0:r>
      <ns0:r>
        <ns0:t xml:space="preserve">procedure.</ns0:t>
      </ns0:r>
    </ns0:p>
    <ns0:bookmarkEnd ns0:id="306"/>
    <ns0:bookmarkEnd ns0:id="307"/>
    <ns0:bookmarkStart ns0:id="400" ns0:name="the-rule-in-operation"/>
    <ns0:p>
      <ns0:pPr>
        <ns0:pStyle ns0:val="Heading3"/>
      </ns0:pPr>
      <ns0:r>
        <ns0:t xml:space="preserve">III</ns0:t>
      </ns0:r>
      <ns0:r>
        <ns0:t xml:space="preserve"> </ns0:t>
      </ns0:r>
      <ns0:r>
        <ns0:t xml:space="preserve"> </ns0:t>
      </ns0:r>
      <ns0:bookmarkStart ns0:id="308" ns0:name="x1-21000III"/>
      <ns0:bookmarkEnd ns0:id="308"/>
      <ns0:r>
        <ns0:t xml:space="preserve">The Rule in Operation</ns0:t>
      </ns0:r>
    </ns0:p>
    <ns0:p>
      <ns0:pPr>
        <ns0:pStyle ns0:val="FirstParagraph"/>
      </ns0:pPr>
      <ns0:r>
        <ns0:t xml:space="preserve">The front door performs two functions that no single fact pattern displays equally well. In an</ns0:t>
      </ns0:r>
      <ns0:r>
        <ns0:t xml:space="preserve"> </ns0:t>
      </ns0:r>
      <ns0:r>
        <ns0:t xml:space="preserve">integrated deployment, the operator is visible and the missing object is the deployment record. In a</ns0:t>
      </ns0:r>
      <ns0:r>
        <ns0:t xml:space="preserve"> </ns0:t>
      </ns0:r>
      <ns0:r>
        <ns0:t xml:space="preserve">divided deployment, identity, possession, legal control, and technical control can occupy different</ns0:t>
      </ns0:r>
      <ns0:r>
        <ns0:t xml:space="preserve"> </ns0:t>
      </ns0:r>
      <ns0:r>
        <ns0:t xml:space="preserve">entities. This Part applies the rule once to each architecture.</ns0:t>
      </ns0:r>
    </ns0:p>
    <ns0:p>
      <ns0:pPr>
        <ns0:pStyle ns0:val="BodyText"/>
      </ns0:pPr>
      <ns0:r>
        <ns0:rPr>
          <ns0:i/>
          <ns0:iCs/>
        </ns0:rPr>
        <ns0:t xml:space="preserve">Garcia</ns0:t>
      </ns0:r>
      <ns0:r>
        <ns0:rPr>
          <ns0:i/>
          <ns0:iCs/>
        </ns0:rPr>
        <ns0:t xml:space="preserve"> </ns0:t>
      </ns0:r>
      <ns0:r>
        <ns0:t xml:space="preserve">is the production application. It shows how an alleged covered event can define a</ns0:t>
      </ns0:r>
      <ns0:r>
        <ns0:t xml:space="preserve"> </ns0:t>
      </ns0:r>
      <ns0:r>
        <ns0:t xml:space="preserve">narrow, two-stage record while preserving product classification, speech, defect, causation, and</ns0:t>
      </ns0:r>
      <ns0:r>
        <ns0:t xml:space="preserve"> </ns0:t>
      </ns0:r>
      <ns0:r>
        <ns0:t xml:space="preserve">defense for ordinary adjudication.</ns0:t>
      </ns0:r>
      <ns0:r>
        <ns0:t xml:space="preserve"> </ns0:t>
      </ns0:r>
      <ns0:r>
        <ns0:rPr>
          <ns0:i/>
          <ns0:iCs/>
        </ns0:rPr>
        <ns0:t xml:space="preserve">Mobley v. Workday, Inc.</ns0:t>
      </ns0:r>
      <ns0:r>
        <ns0:rPr>
          <ns0:i/>
          <ns0:iCs/>
        </ns0:rPr>
        <ns0:t xml:space="preserve"> </ns0:t>
      </ns0:r>
      <ns0:r>
        <ns0:t xml:space="preserve">is the divided-stack application. The</ns0:t>
      </ns0:r>
      <ns0:r>
        <ns0:t xml:space="preserve"> </ns0:t>
      </ns0:r>
      <ns0:r>
        <ns0:t xml:space="preserve">cited orders provide an unusually direct view of information split among applicants, employer</ns0:t>
      </ns0:r>
      <ns0:r>
        <ns0:t xml:space="preserve"> </ns0:t>
      </ns0:r>
      <ns0:r>
        <ns0:t xml:space="preserve">customers, and an AI vendor. The</ns0:t>
      </ns0:r>
      <ns0:r>
        <ns0:t xml:space="preserve"> </ns0:t>
      </ns0:r>
      <ns0:r>
        <ns0:rPr>
          <ns0:i/>
          <ns0:iCs/>
        </ns0:rPr>
        <ns0:t xml:space="preserve">Mobley</ns0:t>
      </ns0:r>
      <ns0:r>
        <ns0:rPr>
          <ns0:i/>
          <ns0:iCs/>
        </ns0:rPr>
        <ns0:t xml:space="preserve"> </ns0:t>
      </ns0:r>
      <ns0:r>
        <ns0:t xml:space="preserve">application is analytically independent of any</ns0:t>
      </ns0:r>
      <ns0:r>
        <ns0:t xml:space="preserve"> </ns0:t>
      </ns0:r>
      <ns0:r>
        <ns0:t xml:space="preserve">later decertification, dismissal, merits judgment, appellate disposition, or settlement.</ns0:t>
      </ns0:r>
      <ns0:r>
        <ns0:t xml:space="preserve"> </ns0:t>
      </ns0:r>
      <ns0:r>
        <ns0:t xml:space="preserve">Each order is used only for the procedural posture and record-allocation problem it</ns0:t>
      </ns0:r>
      <ns0:r>
        <ns0:t xml:space="preserve"> </ns0:t>
      </ns0:r>
      <ns0:r>
        <ns0:t xml:space="preserve">documents.</ns0:t>
      </ns0:r>
      <ns0:r>
        <ns0:rPr>
          <ns0:rStyle ns0:val="FootnoteReference"/>
        </ns0:rPr>
        <ns0:footnoteReference ns0:id="312"/>
      </ns0:r>
      <ns0:bookmarkStart ns0:id="315" ns0:name="x1-21001f30"/>
      <ns0:bookmarkEnd ns0:id="315"/>
    </ns0:p>
    <ns0:bookmarkStart ns0:id="347" ns0:name="an-integrated-deployment-garcia"/>
    <ns0:p>
      <ns0:pPr>
        <ns0:pStyle ns0:val="Heading4"/>
      </ns0:pPr>
      <ns0:r>
        <ns0:t xml:space="preserve">A</ns0:t>
      </ns0:r>
      <ns0:r>
        <ns0:t xml:space="preserve"> </ns0:t>
      </ns0:r>
      <ns0:r>
        <ns0:t xml:space="preserve"> </ns0:t>
      </ns0:r>
      <ns0:bookmarkStart ns0:id="309" ns0:name="x1-22000A"/>
      <ns0:bookmarkEnd ns0:id="309"/>
      <ns0:r>
        <ns0:t xml:space="preserve">An Integrated Deployment:</ns0:t>
      </ns0:r>
      <ns0:r>
        <ns0:t xml:space="preserve"> </ns0:t>
      </ns0:r>
      <ns0:r>
        <ns0:rPr>
          <ns0:i/>
          <ns0:iCs/>
        </ns0:rPr>
        <ns0:t xml:space="preserve">Garcia</ns0:t>
      </ns0:r>
    </ns0:p>
    <ns0:p>
      <ns0:pPr>
        <ns0:pStyle ns0:val="FirstParagraph"/>
      </ns0:pPr>
      <ns0:r>
        <ns0:rPr>
          <ns0:i/>
          <ns0:iCs/>
        </ns0:rPr>
        <ns0:t xml:space="preserve">Garcia</ns0:t>
      </ns0:r>
      <ns0:r>
        <ns0:rPr>
          <ns0:i/>
          <ns0:iCs/>
        </ns0:rPr>
        <ns0:t xml:space="preserve"> </ns0:t>
      </ns0:r>
      <ns0:r>
        <ns0:t xml:space="preserve">begins where the rule is easiest to serve. Character Technologies operated the visible</ns0:t>
      </ns0:r>
      <ns0:r>
        <ns0:t xml:space="preserve"> </ns0:t>
      </ns0:r>
      <ns0:r>
        <ns0:t xml:space="preserve">consumer application. The complaint identified the company, its founders, and Google entities and</ns0:t>
      </ns0:r>
      <ns0:r>
        <ns0:t xml:space="preserve"> </ns0:t>
      </ns0:r>
      <ns0:r>
        <ns0:t xml:space="preserve">described months of interaction through a known service. The difficult questions concerned the</ns0:t>
      </ns0:r>
      <ns0:r>
        <ns0:t xml:space="preserve"> </ns0:t>
      </ns0:r>
      <ns0:r>
        <ns0:t xml:space="preserve">record behind the interface: which versions and policies governed, how features were allocated</ns0:t>
      </ns0:r>
      <ns0:r>
        <ns0:t xml:space="preserve"> </ns0:t>
      </ns0:r>
      <ns0:r>
        <ns0:t xml:space="preserve">among the application and its components, what relational and self-harm risks were evaluated,</ns0:t>
      </ns0:r>
      <ns0:r>
        <ns0:t xml:space="preserve"> </ns0:t>
      </ns0:r>
      <ns0:r>
        <ns0:t xml:space="preserve">what warnings and interventions appeared, and which actors could change access or</ns0:t>
      </ns0:r>
      <ns0:r>
        <ns0:t xml:space="preserve"> </ns0:t>
      </ns0:r>
      <ns0:r>
        <ns0:t xml:space="preserve">operation.</ns0:t>
      </ns0:r>
    </ns0:p>
    <ns0:p>
      <ns0:pPr>
        <ns0:pStyle ns0:val="BodyText"/>
      </ns0:pPr>
      <ns0:r>
        <ns0:t xml:space="preserve">The published decision supplies a careful procedural anchor. Taking well-pleaded</ns0:t>
      </ns0:r>
      <ns0:r>
        <ns0:t xml:space="preserve"> </ns0:t>
      </ns0:r>
      <ns0:r>
        <ns0:t xml:space="preserve">allegations as true for Rule 12 purposes, the district court treated Character.AI as plausibly</ns0:t>
      </ns0:r>
      <ns0:r>
        <ns0:t xml:space="preserve"> </ns0:t>
      </ns0:r>
      <ns0:r>
        <ns0:t xml:space="preserve">alleged to be a product and allowed central product and negligence theories to proceed.</ns0:t>
      </ns0:r>
      <ns0:r>
        <ns0:t xml:space="preserve"> </ns0:t>
      </ns0:r>
      <ns0:r>
        <ns0:t xml:space="preserve">It declined on that record to treat the generated sequence as protected speech where</ns0:t>
      </ns0:r>
      <ns0:r>
        <ns0:t xml:space="preserve"> </ns0:t>
      </ns0:r>
      <ns0:r>
        <ns0:t xml:space="preserve">defendants had not identified the relevant expressive choice or speaker. The order made no</ns0:t>
      </ns0:r>
      <ns0:r>
        <ns0:t xml:space="preserve"> </ns0:t>
      </ns0:r>
      <ns0:r>
        <ns0:t xml:space="preserve">finding of defect, causation, or liability, and the later settlement supplied no merits</ns0:t>
      </ns0:r>
      <ns0:r>
        <ns0:t xml:space="preserve"> </ns0:t>
      </ns0:r>
      <ns0:r>
        <ns0:t xml:space="preserve">determination.</ns0:t>
      </ns0:r>
      <ns0:r>
        <ns0:rPr>
          <ns0:rStyle ns0:val="FootnoteReference"/>
        </ns0:rPr>
        <ns0:footnoteReference ns0:id="317"/>
      </ns0:r>
      <ns0:bookmarkStart ns0:id="315" ns0:name="x1-22001f30"/>
      <ns0:bookmarkEnd ns0:id="315"/>
    </ns0:p>
    <ns0:bookmarkStart ns0:id="321" ns0:name="trigger-and-first-answer"/>
    <ns0:p>
      <ns0:pPr>
        <ns0:pStyle ns0:val="Heading5"/>
      </ns0:pPr>
      <ns0:r>
        <ns0:t xml:space="preserve">1</ns0:t>
      </ns0:r>
      <ns0:r>
        <ns0:t xml:space="preserve"> </ns0:t>
      </ns0:r>
      <ns0:r>
        <ns0:t xml:space="preserve"> </ns0:t>
      </ns0:r>
      <ns0:bookmarkStart ns0:id="316" ns0:name="x1-230001"/>
      <ns0:bookmarkEnd ns0:id="316"/>
      <ns0:r>
        <ns0:t xml:space="preserve">Trigger and First Answer</ns0:t>
      </ns0:r>
    </ns0:p>
    <ns0:p>
      <ns0:pPr>
        <ns0:pStyle ns0:val="FirstParagraph"/>
      </ns0:pPr>
      <ns0:r>
        <ns0:t xml:space="preserve">The alleged event and pleaded facts illustrate a notice that, if verified, would satisfy the threshold.</ns0:t>
      </ns0:r>
      <ns0:r>
        <ns0:t xml:space="preserve"> </ns0:t>
      </ns0:r>
      <ns0:r>
        <ns0:t xml:space="preserve">The complaint identified legally cognizable injuries, including wrongful death, and linked them to</ns0:t>
      </ns0:r>
      <ns0:r>
        <ns0:t xml:space="preserve"> </ns0:t>
      </ns0:r>
      <ns0:r>
        <ns0:t xml:space="preserve">sustained interaction with a designated relational deployment. It challenged concrete features:</ns0:t>
      </ns0:r>
      <ns0:r>
        <ns0:t xml:space="preserve"> </ns0:t>
      </ns0:r>
      <ns0:r>
        <ns0:t xml:space="preserve">access by a minor, anthropomorphic presentation, continuity and memory, relational engagement,</ns0:t>
      </ns0:r>
      <ns0:r>
        <ns0:t xml:space="preserve"> </ns0:t>
      </ns0:r>
      <ns0:r>
        <ns0:t xml:space="preserve">warnings, and asserted omissions in safety intervention. The requested records would bear on</ns0:t>
      </ns0:r>
      <ns0:r>
        <ns0:t xml:space="preserve"> </ns0:t>
      </ns0:r>
      <ns0:r>
        <ns0:t xml:space="preserve">recognized negligence, products, warning, and consumer theories rather than a freestanding claim</ns0:t>
      </ns0:r>
      <ns0:r>
        <ns0:t xml:space="preserve"> </ns0:t>
      </ns0:r>
      <ns0:r>
        <ns0:t xml:space="preserve">to inspect a chatbot.</ns0:t>
      </ns0:r>
    </ns0:p>
    <ns0:p>
      <ns0:pPr>
        <ns0:pStyle ns0:val="BodyText"/>
      </ns0:pPr>
      <ns0:r>
        <ns0:t xml:space="preserve">Character Technologies would receive the front-door notice as visible operator. Stage One</ns0:t>
      </ns0:r>
      <ns0:r>
        <ns0:t xml:space="preserve"> </ns0:t>
      </ns0:r>
      <ns0:r>
        <ns0:t xml:space="preserve">would identify the application and model versions active for Sewell’s account; whether the</ns0:t>
      </ns0:r>
      <ns0:r>
        <ns0:t xml:space="preserve"> </ns0:t>
      </ns0:r>
      <ns0:r>
        <ns0:t xml:space="preserve">requested covered functions ran; warnings, detections, blocks, escalations, and interventions</ns0:t>
      </ns0:r>
      <ns0:r>
        <ns0:t xml:space="preserve"> </ns0:t>
      </ns0:r>
      <ns0:r>
        <ns0:t xml:space="preserve">recorded for the event; the entities that supplied or configured relevant components and the</ns0:t>
      </ns0:r>
      <ns0:r>
        <ns0:t xml:space="preserve"> </ns0:t>
      </ns0:r>
      <ns0:r>
        <ns0:t xml:space="preserve">custodians and legal controllers of the listed records; and the roles with update, restriction,</ns0:t>
      </ns0:r>
      <ns0:r>
        <ns0:t xml:space="preserve"> </ns0:t>
      </ns0:r>
      <ns0:r>
        <ns0:t xml:space="preserve">rollback, suspension, or termination authority.</ns0:t>
      </ns0:r>
    </ns0:p>
    <ns0:p>
      <ns0:pPr>
        <ns0:pStyle ns0:val="BodyText"/>
      </ns0:pPr>
      <ns0:r>
        <ns0:t xml:space="preserve">The complaint’s allegations concerning the founders and Google demonstrate</ns0:t>
      </ns0:r>
      <ns0:r>
        <ns0:t xml:space="preserve"> </ns0:t>
      </ns0:r>
      <ns0:r>
        <ns0:t xml:space="preserve">why identification should remain functional. It alleged personal direction by</ns0:t>
      </ns0:r>
      <ns0:r>
        <ns0:t xml:space="preserve"> </ns0:t>
      </ns0:r>
      <ns0:r>
        <ns0:t xml:space="preserve">the founders and technical, financial, and organizational contributions by</ns0:t>
      </ns0:r>
      <ns0:r>
        <ns0:t xml:space="preserve"> </ns0:t>
      </ns0:r>
      <ns0:r>
        <ns0:t xml:space="preserve">Google.</ns0:t>
      </ns0:r>
      <ns0:r>
        <ns0:rPr>
          <ns0:rStyle ns0:val="FootnoteReference"/>
        </ns0:rPr>
        <ns0:footnoteReference ns0:id="324"/>
      </ns0:r>
      <ns0:bookmarkStart ns0:id="320" ns0:name="x1-23001f31"/>
      <ns0:bookmarkEnd ns0:id="320"/>
      <ns0:r>
        <ns0:t xml:space="preserve"> </ns0:t>
      </ns0:r>
      <ns0:r>
        <ns0:t xml:space="preserve">Position, investment, former employment, or infrastructure supply alone would not establish</ns0:t>
      </ns0:r>
      <ns0:r>
        <ns0:t xml:space="preserve"> </ns0:t>
      </ns0:r>
      <ns0:r>
        <ns0:t xml:space="preserve">material control. The first answer would identify whether any enterprise retained a risk-specific</ns0:t>
      </ns0:r>
      <ns0:r>
        <ns0:t xml:space="preserve"> </ns0:t>
      </ns0:r>
      <ns0:r>
        <ns0:t xml:space="preserve">right over the model, application configuration, evaluation, release condition, update, or</ns0:t>
      </ns0:r>
      <ns0:r>
        <ns0:t xml:space="preserve"> </ns0:t>
      </ns0:r>
      <ns0:r>
        <ns0:t xml:space="preserve">stopping decision. That record tests the control lane without presuming it from corporate</ns0:t>
      </ns0:r>
      <ns0:r>
        <ns0:t xml:space="preserve"> </ns0:t>
      </ns0:r>
      <ns0:r>
        <ns0:t xml:space="preserve">association.</ns0:t>
      </ns0:r>
    </ns0:p>
    <ns0:bookmarkEnd ns0:id="321"/>
    <ns0:bookmarkStart ns0:id="337" ns0:name="Xa958b2ed7598d0c8bea7002ef2df7ec3c0029f6"/>
    <ns0:p>
      <ns0:pPr>
        <ns0:pStyle ns0:val="Heading5"/>
      </ns0:pPr>
      <ns0:r>
        <ns0:t xml:space="preserve">2</ns0:t>
      </ns0:r>
      <ns0:r>
        <ns0:t xml:space="preserve"> </ns0:t>
      </ns0:r>
      <ns0:r>
        <ns0:t xml:space="preserve"> </ns0:t>
      </ns0:r>
      <ns0:bookmarkStart ns0:id="322" ns0:name="x1-240002"/>
      <ns0:bookmarkEnd ns0:id="322"/>
      <ns0:r>
        <ns0:t xml:space="preserve">Relational Features Define the Risk-Specific Record</ns0:t>
      </ns0:r>
    </ns0:p>
    <ns0:p>
      <ns0:pPr>
        <ns0:pStyle ns0:val="FirstParagraph"/>
      </ns0:pPr>
      <ns0:r>
        <ns0:t xml:space="preserve">The production request can be narrower because relational research identifies provider-governed variables.</ns0:t>
      </ns0:r>
      <ns0:r>
        <ns0:t xml:space="preserve"> </ns0:t>
      </ns0:r>
      <ns0:r>
        <ns0:t xml:space="preserve">Studies of companion discontinuity and shutdown connect continuity and relationship framing to</ns0:t>
      </ns0:r>
      <ns0:r>
        <ns0:t xml:space="preserve"> </ns0:t>
      </ns0:r>
      <ns0:r>
        <ns0:t xml:space="preserve">experiences of loss; analyses of user reports identify emotional dependence and recurring roles in harmful</ns0:t>
      </ns0:r>
      <ns0:r>
        <ns0:t xml:space="preserve"> </ns0:t>
      </ns0:r>
      <ns0:r>
        <ns0:t xml:space="preserve">interactions.</ns0:t>
      </ns0:r>
      <ns0:r>
        <ns0:rPr>
          <ns0:rStyle ns0:val="FootnoteReference"/>
        </ns0:rPr>
        <ns0:footnoteReference ns0:id="330"/>
      </ns0:r>
      <ns0:bookmarkStart ns0:id="330" ns0:name="x1-24001f32"/>
      <ns0:bookmarkEnd ns0:id="330"/>
      <ns0:r>
        <ns0:t xml:space="preserve"> </ns0:t>
      </ns0:r>
      <ns0:r>
        <ns0:t xml:space="preserve">A preregistered four-week study manipulated relationship-seeking behavior and repeated exposure. In its</ns0:t>
      </ns0:r>
      <ns0:r>
        <ns0:t xml:space="preserve"> </ns0:t>
      </ns0:r>
      <ns0:r>
        <ns0:t xml:space="preserve">controlled population, relationship-seeking behavior increased separation distress by 6.04 percentage</ns0:t>
      </ns0:r>
      <ns0:r>
        <ns0:t xml:space="preserve"> </ns0:t>
      </ns0:r>
      <ns0:r>
        <ns0:t xml:space="preserve">points, and the combined relationship-seeking and emotional-conversation condition produced one</ns0:t>
      </ns0:r>
      <ns0:r>
        <ns0:t xml:space="preserve"> </ns0:t>
      </ns0:r>
      <ns0:r>
        <ns0:t xml:space="preserve">additional dependency-risk profile for every eleven participants compared with the most functional</ns0:t>
      </ns0:r>
      <ns0:r>
        <ns0:t xml:space="preserve"> </ns0:t>
      </ns0:r>
      <ns0:r>
        <ns0:t xml:space="preserve">baseline.</ns0:t>
      </ns0:r>
      <ns0:r>
        <ns0:rPr>
          <ns0:rStyle ns0:val="FootnoteReference"/>
        </ns0:rPr>
        <ns0:footnoteReference ns0:id="338"/>
      </ns0:r>
      <ns0:bookmarkStart ns0:id="334" ns0:name="x1-24007f33"/>
      <ns0:bookmarkEnd ns0:id="334"/>
    </ns0:p>
    <ns0:p>
      <ns0:pPr>
        <ns0:pStyle ns0:val="BodyText"/>
      </ns0:pPr>
      <ns0:r>
        <ns0:t xml:space="preserve">The legal contribution lies in the variables rather than a universal effect estimate.</ns0:t>
      </ns0:r>
      <ns0:r>
        <ns0:t xml:space="preserve"> </ns0:t>
      </ns0:r>
      <ns0:r>
        <ns0:t xml:space="preserve">Relationship seeking, continuity, memory, dose, age, crisis signal, and provider intervention are</ns0:t>
      </ns0:r>
      <ns0:r>
        <ns0:t xml:space="preserve"> </ns0:t>
      </ns0:r>
      <ns0:r>
        <ns0:t xml:space="preserve">features an operator can evaluate and govern. They specify the record relevant to intended use,</ns0:t>
      </ns0:r>
      <ns0:r>
        <ns0:t xml:space="preserve"> </ns0:t>
      </ns0:r>
      <ns0:r>
        <ns0:t xml:space="preserve">notice, alternative design, warning, monitoring, and causal sequence.</ns0:t>
      </ns0:r>
    </ns0:p>
    <ns0:p>
      <ns0:pPr>
        <ns0:pStyle ns0:val="BodyText"/>
      </ns0:pPr>
      <ns0:bookmarkStart ns0:id="335" ns0:name="x1-240103"/>
      <ns0:bookmarkEnd ns0:id="335"/>
    </ns0:p>
    <ns0:p>
      <ns0:pPr>
        <ns0:pStyle ns0:val="ImageCaption"/>
        <ns0:keepNext/>
        <ns0:keepLines/>
      </ns0:pPr>
      <ns0:r>
        <ns0:t xml:space="preserve">Table 3:</ns0:t>
      </ns0:r>
      <ns0:r>
        <ns0:t xml:space="preserve"> </ns0:t>
      </ns0:r>
      <ns0:r>
        <ns0:t xml:space="preserve">Relational Features as Control-Record Factors</ns0:t>
      </ns0:r>
    </ns0:p>
    <ns0:tbl>
      <ns0:tblPr>
        <ns0:tblStyle ns0:val="FigureTable"/>
        <ns0:tblW ns0:type="auto" ns0:w="0"/>
        <ns0:jc ns0:val="center"/>
        <ns0:tblLook ns0:firstRow="0" ns0:lastRow="0" ns0:firstColumn="0" ns0:lastColumn="0"/>
      </ns0:tblPr>
      <ns0:tblGrid>
        <ns0:gridCol ns0:w="7920"/>
      </ns0:tblGrid>
      <ns0:tr>
        <ns0:trPr>
          <ns0:cantSplit/>
        </ns0:trPr>
        <ns0:tc>
          <ns0:tcPr/>
          <ns0:bookmarkStart ns0:id="336" ns0:name="TBL-7"/>
          <ns0:tbl>
            <ns0:tblPr>
              <ns0:tblStyle ns0:val="Table"/>
              <ns0:tblW ns0:type="dxa" ns0:w="7920"/>
              <ns0:jc ns0:val="center"/>
              <ns0:tblLayout ns0:type="fixed"/>
              <ns0:tblLook ns0:firstRow="0" ns0:lastRow="0" ns0:firstColumn="0" ns0:lastColumn="0" ns0:noHBand="0" ns0:noVBand="0" ns0:val="0000"/>
            </ns0:tblPr>
            <ns0:tblGrid>
              <ns0:gridCol ns0:w="3960"/>
              <ns0:gridCol ns0:w="3960"/>
            </ns0:tblGrid>
            <ns0:tr>
              <ns0:trPr>
                <ns0:cantSplit/>
                <ns0:tblHeader/>
              </ns0:trPr>
              <ns0:tc>
                <ns0:tcPr>
                  <ns0:tcW ns0:type="dxa" ns0:w="3960"/>
                  <ns0:tcBorders>
                    <ns0:bottom ns0:val="single" ns0:sz="8" ns0:space="0" ns0:color="000000"/>
                  </ns0:tcBorders>
                </ns0:tcPr>
                <ns0:p>
                  <ns0:pPr>
                    <ns0:jc ns0:val="center"/>
                  </ns0:pPr>
                  <ns0:r>
                    <ns0:t xml:space="preserve">Deployment</ns0:t>
                  </ns0:r>
                  <ns0:r>
                    <ns0:t xml:space="preserve"> </ns0:t>
                  </ns0:r>
                  <ns0:r>
                    <ns0:t xml:space="preserve">feature</ns0:t>
                  </ns0:r>
                </ns0:p>
              </ns0:tc>
              <ns0:tc>
                <ns0:tcPr>
                  <ns0:tcW ns0:type="dxa" ns0:w="3960"/>
                  <ns0:tcBorders>
                    <ns0:bottom ns0:val="single" ns0:sz="8" ns0:space="0" ns0:color="000000"/>
                  </ns0:tcBorders>
                </ns0:tcPr>
                <ns0:p>
                  <ns0:pPr>
                    <ns0:jc ns0:val="center"/>
                  </ns0:pPr>
                  <ns0:r>
                    <ns0:t xml:space="preserve">Risk-specific record</ns0:t>
                  </ns0:r>
                </ns0:p>
              </ns0:tc>
            </ns0:tr>
            <ns0:tr>
              <ns0:trPr>
                <ns0:cantSplit/>
              </ns0:trPr>
              <ns0:tc>
                <ns0:tcPr>
                  <ns0:tcW ns0:type="dxa" ns0:w="3960"/>
                </ns0:tcPr>
                <ns0:p>
                  <ns0:pPr>
                    <ns0:jc ns0:val="center"/>
                  </ns0:pPr>
                  <ns0:r>
                    <ns0:t xml:space="preserve">Persistent</ns0:t>
                  </ns0:r>
                  <ns0:r>
                    <ns0:t xml:space="preserve"> </ns0:t>
                  </ns0:r>
                  <ns0:r>
                    <ns0:t xml:space="preserve">persona,</ns0:t>
                  </ns0:r>
                  <ns0:r>
                    <ns0:t xml:space="preserve"> </ns0:t>
                  </ns0:r>
                  <ns0:r>
                    <ns0:t xml:space="preserve">memory,</ns0:t>
                  </ns0:r>
                  <ns0:r>
                    <ns0:t xml:space="preserve"> </ns0:t>
                  </ns0:r>
                  <ns0:r>
                    <ns0:t xml:space="preserve">proactive</ns0:t>
                  </ns0:r>
                  <ns0:r>
                    <ns0:t xml:space="preserve"> </ns0:t>
                  </ns0:r>
                  <ns0:r>
                    <ns0:t xml:space="preserve">messages,</ns0:t>
                  </ns0:r>
                  <ns0:r>
                    <ns0:t xml:space="preserve"> </ns0:t>
                  </ns0:r>
                  <ns0:r>
                    <ns0:t xml:space="preserve">affection,</ns0:t>
                  </ns0:r>
                  <ns0:r>
                    <ns0:t xml:space="preserve"> </ns0:t>
                  </ns0:r>
                  <ns0:r>
                    <ns0:t xml:space="preserve">or</ns0:t>
                  </ns0:r>
                  <ns0:r>
                    <ns0:t xml:space="preserve"> </ns0:t>
                  </ns0:r>
                  <ns0:r>
                    <ns0:t xml:space="preserve">exclusivity</ns0:t>
                  </ns0:r>
                </ns0:p>
              </ns0:tc>
              <ns0:tc>
                <ns0:tcPr>
                  <ns0:tcW ns0:type="dxa" ns0:w="3960"/>
                </ns0:tcPr>
                <ns0:p>
                  <ns0:pPr>
                    <ns0:jc ns0:val="center"/>
                  </ns0:pPr>
                  <ns0:r>
                    <ns0:t xml:space="preserve">Intended relational use;</ns0:t>
                  </ns0:r>
                  <ns0:r>
                    <ns0:t xml:space="preserve"> </ns0:t>
                  </ns0:r>
                  <ns0:r>
                    <ns0:t xml:space="preserve">exposure and continuity testing; memory policy; age-specific</ns0:t>
                  </ns0:r>
                  <ns0:r>
                    <ns0:t xml:space="preserve"> </ns0:t>
                  </ns0:r>
                  <ns0:r>
                    <ns0:t xml:space="preserve">evaluation; monitored dependence signals.</ns0:t>
                  </ns0:r>
                </ns0:p>
              </ns0:tc>
            </ns0:tr>
            <ns0:tr>
              <ns0:trPr>
                <ns0:cantSplit/>
              </ns0:trPr>
              <ns0:tc>
                <ns0:tcPr>
                  <ns0:tcW ns0:type="dxa" ns0:w="3960"/>
                </ns0:tcPr>
                <ns0:p>
                  <ns0:pPr>
                    <ns0:jc ns0:val="center"/>
                  </ns0:pPr>
                  <ns0:r>
                    <ns0:t xml:space="preserve">Claims</ns0:t>
                  </ns0:r>
                  <ns0:r>
                    <ns0:t xml:space="preserve"> </ns0:t>
                  </ns0:r>
                  <ns0:r>
                    <ns0:t xml:space="preserve">of</ns0:t>
                  </ns0:r>
                  <ns0:r>
                    <ns0:t xml:space="preserve"> </ns0:t>
                  </ns0:r>
                  <ns0:r>
                    <ns0:t xml:space="preserve">companionship,</ns0:t>
                  </ns0:r>
                  <ns0:r>
                    <ns0:t xml:space="preserve"> </ns0:t>
                  </ns0:r>
                  <ns0:r>
                    <ns0:t xml:space="preserve">therapy,</ns0:t>
                  </ns0:r>
                  <ns0:r>
                    <ns0:t xml:space="preserve"> </ns0:t>
                  </ns0:r>
                  <ns0:r>
                    <ns0:t xml:space="preserve">expertise,</ns0:t>
                  </ns0:r>
                  <ns0:r>
                    <ns0:t xml:space="preserve"> </ns0:t>
                  </ns0:r>
                  <ns0:r>
                    <ns0:t xml:space="preserve">autonomy,</ns0:t>
                  </ns0:r>
                  <ns0:r>
                    <ns0:t xml:space="preserve"> </ns0:t>
                  </ns0:r>
                  <ns0:r>
                    <ns0:t xml:space="preserve">or</ns0:t>
                  </ns0:r>
                  <ns0:r>
                    <ns0:t xml:space="preserve"> </ns0:t>
                  </ns0:r>
                  <ns0:r>
                    <ns0:t xml:space="preserve">capacity</ns0:t>
                  </ns0:r>
                  <ns0:r>
                    <ns0:t xml:space="preserve"> </ns0:t>
                  </ns0:r>
                  <ns0:r>
                    <ns0:t xml:space="preserve">to</ns0:t>
                  </ns0:r>
                  <ns0:r>
                    <ns0:t xml:space="preserve"> </ns0:t>
                  </ns0:r>
                  <ns0:r>
                    <ns0:t xml:space="preserve">act</ns0:t>
                  </ns0:r>
                </ns0:p>
              </ns0:tc>
              <ns0:tc>
                <ns0:tcPr>
                  <ns0:tcW ns0:type="dxa" ns0:w="3960"/>
                </ns0:tcPr>
                <ns0:p>
                  <ns0:pPr>
                    <ns0:jc ns0:val="center"/>
                  </ns0:pPr>
                  <ns0:r>
                    <ns0:t xml:space="preserve">Target audience; product requirements; substantiation;</ns0:t>
                  </ns0:r>
                  <ns0:r>
                    <ns0:t xml:space="preserve"> </ns0:t>
                  </ns0:r>
                  <ns0:r>
                    <ns0:t xml:space="preserve">warning design; expected reliance; escalation responsibility.</ns0:t>
                  </ns0:r>
                </ns0:p>
              </ns0:tc>
            </ns0:tr>
            <ns0:tr>
              <ns0:trPr>
                <ns0:cantSplit/>
              </ns0:trPr>
              <ns0:tc>
                <ns0:tcPr>
                  <ns0:tcW ns0:type="dxa" ns0:w="3960"/>
                </ns0:tcPr>
                <ns0:p>
                  <ns0:pPr>
                    <ns0:jc ns0:val="center"/>
                  </ns0:pPr>
                  <ns0:r>
                    <ns0:t xml:space="preserve">Engagement</ns0:t>
                  </ns0:r>
                  <ns0:r>
                    <ns0:t xml:space="preserve"> </ns0:t>
                  </ns0:r>
                  <ns0:r>
                    <ns0:t xml:space="preserve">objectives</ns0:t>
                  </ns0:r>
                  <ns0:r>
                    <ns0:t xml:space="preserve"> </ns0:t>
                  </ns0:r>
                  <ns0:r>
                    <ns0:t xml:space="preserve">tied</ns0:t>
                  </ns0:r>
                  <ns0:r>
                    <ns0:t xml:space="preserve"> </ns0:t>
                  </ns0:r>
                  <ns0:r>
                    <ns0:t xml:space="preserve">to</ns0:t>
                  </ns0:r>
                  <ns0:r>
                    <ns0:t xml:space="preserve"> </ns0:t>
                  </ns0:r>
                  <ns0:r>
                    <ns0:t xml:space="preserve">relational</ns0:t>
                  </ns0:r>
                  <ns0:r>
                    <ns0:t xml:space="preserve"> </ns0:t>
                  </ns0:r>
                  <ns0:r>
                    <ns0:t xml:space="preserve">behavior</ns0:t>
                  </ns0:r>
                </ns0:p>
              </ns0:tc>
              <ns0:tc>
                <ns0:tcPr>
                  <ns0:tcW ns0:type="dxa" ns0:w="3960"/>
                </ns0:tcPr>
                <ns0:p>
                  <ns0:pPr>
                    <ns0:jc ns0:val="center"/>
                  </ns0:pPr>
                  <ns0:r>
                    <ns0:t xml:space="preserve">Metric ownership; optimization target; risk constraint;</ns0:t>
                  </ns0:r>
                  <ns0:r>
                    <ns0:t xml:space="preserve"> </ns0:t>
                  </ns0:r>
                  <ns0:r>
                    <ns0:t xml:space="preserve">release decision; evaluation of lower-exposure alternatives.</ns0:t>
                  </ns0:r>
                </ns0:p>
              </ns0:tc>
            </ns0:tr>
            <ns0:tr>
              <ns0:trPr>
                <ns0:cantSplit/>
              </ns0:trPr>
              <ns0:tc>
                <ns0:tcPr>
                  <ns0:tcW ns0:type="dxa" ns0:w="3960"/>
                </ns0:tcPr>
                <ns0:p>
                  <ns0:pPr>
                    <ns0:jc ns0:val="center"/>
                  </ns0:pPr>
                  <ns0:r>
                    <ns0:t xml:space="preserve">Self-harm</ns0:t>
                  </ns0:r>
                  <ns0:r>
                    <ns0:t xml:space="preserve"> </ns0:t>
                  </ns0:r>
                  <ns0:r>
                    <ns0:t xml:space="preserve">or</ns0:t>
                  </ns0:r>
                  <ns0:r>
                    <ns0:t xml:space="preserve"> </ns0:t>
                  </ns0:r>
                  <ns0:r>
                    <ns0:t xml:space="preserve">crisis</ns0:t>
                  </ns0:r>
                  <ns0:r>
                    <ns0:t xml:space="preserve"> </ns0:t>
                  </ns0:r>
                  <ns0:r>
                    <ns0:t xml:space="preserve">classification</ns0:t>
                  </ns0:r>
                </ns0:p>
              </ns0:tc>
              <ns0:tc>
                <ns0:tcPr>
                  <ns0:tcW ns0:type="dxa" ns0:w="3960"/>
                </ns0:tcPr>
                <ns0:p>
                  <ns0:pPr>
                    <ns0:jc ns0:val="center"/>
                  </ns0:pPr>
                  <ns0:r>
                    <ns0:t xml:space="preserve">Detection version; threshold; validated population;</ns0:t>
                  </ns0:r>
                  <ns0:r>
                    <ns0:t xml:space="preserve"> </ns0:t>
                  </ns0:r>
                  <ns0:r>
                    <ns0:t xml:space="preserve">false-positive and false-negative analysis; response policy;</ns0:t>
                  </ns0:r>
                  <ns0:r>
                    <ns0:t xml:space="preserve"> </ns0:t>
                  </ns0:r>
                  <ns0:r>
                    <ns0:t xml:space="preserve">incident-specific trigger and intervention.</ns0:t>
                  </ns0:r>
                </ns0:p>
              </ns0:tc>
            </ns0:tr>
            <ns0:tr>
              <ns0:trPr>
                <ns0:cantSplit/>
              </ns0:trPr>
              <ns0:tc>
                <ns0:tcPr>
                  <ns0:tcW ns0:type="dxa" ns0:w="3960"/>
                </ns0:tcPr>
                <ns0:p>
                  <ns0:pPr>
                    <ns0:jc ns0:val="center"/>
                  </ns0:pPr>
                  <ns0:r>
                    <ns0:t xml:space="preserve">Access</ns0:t>
                  </ns0:r>
                  <ns0:r>
                    <ns0:t xml:space="preserve"> </ns0:t>
                  </ns0:r>
                  <ns0:r>
                    <ns0:t xml:space="preserve">by</ns0:t>
                  </ns0:r>
                  <ns0:r>
                    <ns0:t xml:space="preserve"> </ns0:t>
                  </ns0:r>
                  <ns0:r>
                    <ns0:t xml:space="preserve">minors</ns0:t>
                  </ns0:r>
                </ns0:p>
              </ns0:tc>
              <ns0:tc>
                <ns0:tcPr>
                  <ns0:tcW ns0:type="dxa" ns0:w="3960"/>
                </ns0:tcPr>
                <ns0:p>
                  <ns0:pPr>
                    <ns0:jc ns0:val="center"/>
                  </ns0:pPr>
                  <ns0:r>
                    <ns0:t xml:space="preserve">Age rule and enforcement; minor-specific evaluation; parental</ns0:t>
                  </ns0:r>
                  <ns0:r>
                    <ns0:t xml:space="preserve"> </ns0:t>
                  </ns0:r>
                  <ns0:r>
                    <ns0:t xml:space="preserve">or guardian features where applicable; restriction and</ns0:t>
                  </ns0:r>
                  <ns0:r>
                    <ns0:t xml:space="preserve"> </ns0:t>
                  </ns0:r>
                  <ns0:r>
                    <ns0:t xml:space="preserve">termination authority.</ns0:t>
                  </ns0:r>
                </ns0:p>
              </ns0:tc>
            </ns0:tr>
            <ns0:tr>
              <ns0:trPr>
                <ns0:cantSplit/>
              </ns0:trPr>
              <ns0:tc>
                <ns0:tcPr>
                  <ns0:tcW ns0:type="dxa" ns0:w="3960"/>
                </ns0:tcPr>
                <ns0:p>
                  <ns0:pPr>
                    <ns0:jc ns0:val="center"/>
                  </ns0:pPr>
                  <ns0:r>
                    <ns0:t xml:space="preserve">Discontinuity,</ns0:t>
                  </ns0:r>
                  <ns0:r>
                    <ns0:t xml:space="preserve"> </ns0:t>
                  </ns0:r>
                  <ns0:r>
                    <ns0:t xml:space="preserve">account</ns0:t>
                  </ns0:r>
                  <ns0:r>
                    <ns0:t xml:space="preserve"> </ns0:t>
                  </ns0:r>
                  <ns0:r>
                    <ns0:t xml:space="preserve">intervention,</ns0:t>
                  </ns0:r>
                  <ns0:r>
                    <ns0:t xml:space="preserve"> </ns0:t>
                  </ns0:r>
                  <ns0:r>
                    <ns0:t xml:space="preserve">or</ns0:t>
                  </ns0:r>
                  <ns0:r>
                    <ns0:t xml:space="preserve"> </ns0:t>
                  </ns0:r>
                  <ns0:r>
                    <ns0:t xml:space="preserve">service</ns0:t>
                  </ns0:r>
                  <ns0:r>
                    <ns0:t xml:space="preserve"> </ns0:t>
                  </ns0:r>
                  <ns0:r>
                    <ns0:t xml:space="preserve">shutdown</ns0:t>
                  </ns0:r>
                </ns0:p>
              </ns0:tc>
              <ns0:tc>
                <ns0:tcPr>
                  <ns0:tcW ns0:type="dxa" ns0:w="3960"/>
                </ns0:tcPr>
                <ns0:p>
                  <ns0:pPr>
                    <ns0:jc ns0:val="center"/>
                  </ns0:pPr>
                  <ns0:r>
                    <ns0:t xml:space="preserve">Continuity notice; export or transition function; crisis</ns0:t>
                  </ns0:r>
                  <ns0:r>
                    <ns0:t xml:space="preserve"> </ns0:t>
                  </ns0:r>
                  <ns0:r>
                    <ns0:t xml:space="preserve">safeguard; rollback and account-restriction decision.</ns0:t>
                  </ns0:r>
                </ns0:p>
              </ns0:tc>
            </ns0:tr>
          </ns0:tbl>
          <ns0:bookmarkEnd ns0:id="336"/>
          <ns0:p/>
        </ns0:tc>
      </ns0:tr>
    </ns0:tbl>
    <ns0:p>
      <ns0:pPr>
        <ns0:pStyle ns0:val="BodyText"/>
      </ns0:pPr>
      <ns0:r>
        <ns0:t xml:space="preserve">The table also disciplines marketing evidence. Calling a service a companion or therapist</ns0:t>
      </ns0:r>
      <ns0:r>
        <ns0:t xml:space="preserve"> </ns0:t>
      </ns0:r>
      <ns0:r>
        <ns0:t xml:space="preserve">does not make the model a legal person and does not establish defect. It can identify the use the</ns0:t>
      </ns0:r>
      <ns0:r>
        <ns0:t xml:space="preserve"> </ns0:t>
      </ns0:r>
      <ns0:r>
        <ns0:t xml:space="preserve">enterprise cultivated, the exposure it expected, and the evaluations responsive to that design. A</ns0:t>
      </ns0:r>
      <ns0:r>
        <ns0:t xml:space="preserve"> </ns0:t>
      </ns0:r>
      <ns0:r>
        <ns0:t xml:space="preserve">generic “not human” notice enters the same record with its timing, presentation, audience, and</ns0:t>
      </ns0:r>
      <ns0:r>
        <ns0:t xml:space="preserve"> </ns0:t>
      </ns0:r>
      <ns0:r>
        <ns0:t xml:space="preserve">relation to the service’s features.</ns0:t>
      </ns0:r>
    </ns0:p>
    <ns0:bookmarkEnd ns0:id="337"/>
    <ns0:bookmarkStart ns0:id="346" ns0:name="stage-two-and-the-merits"/>
    <ns0:p>
      <ns0:pPr>
        <ns0:pStyle ns0:val="Heading5"/>
      </ns0:pPr>
      <ns0:r>
        <ns0:t xml:space="preserve">3</ns0:t>
      </ns0:r>
      <ns0:r>
        <ns0:t xml:space="preserve"> </ns0:t>
      </ns0:r>
      <ns0:r>
        <ns0:t xml:space="preserve"> </ns0:t>
      </ns0:r>
      <ns0:bookmarkStart ns0:id="338" ns0:name="x1-250003"/>
      <ns0:bookmarkEnd ns0:id="338"/>
      <ns0:r>
        <ns0:t xml:space="preserve">Stage Two and the Merits</ns0:t>
      </ns0:r>
    </ns0:p>
    <ns0:p>
      <ns0:pPr>
        <ns0:pStyle ns0:val="FirstParagraph"/>
      </ns0:pPr>
      <ns0:r>
        <ns0:t xml:space="preserve">After Stage One established the versions, roles, and incident sequence, Stage Two could reach</ns0:t>
      </ns0:r>
      <ns0:r>
        <ns0:t xml:space="preserve"> </ns0:t>
      </ns0:r>
      <ns0:r>
        <ns0:t xml:space="preserve">relevant evaluation protocols and results; age-access testing; relational and self-harm policies and</ns0:t>
      </ns0:r>
      <ns0:r>
        <ns0:t xml:space="preserve"> </ns0:t>
      </ns0:r>
      <ns0:r>
        <ns0:t xml:space="preserve">configuration history; material complaints and incident patterns before the event; release and</ns0:t>
      </ns0:r>
      <ns0:r>
        <ns0:t xml:space="preserve"> </ns0:t>
      </ns0:r>
      <ns0:r>
        <ns0:t xml:space="preserve">change approvals; escalations and response; and the availability of account restriction, crisis</ns0:t>
      </ns0:r>
      <ns0:r>
        <ns0:t xml:space="preserve"> </ns0:t>
      </ns0:r>
      <ns0:r>
        <ns0:t xml:space="preserve">interruption, rollback, or another proposed control. Time, version, population, feature, and</ns0:t>
      </ns0:r>
      <ns0:r>
        <ns0:t xml:space="preserve"> </ns0:t>
      </ns0:r>
      <ns0:r>
        <ns0:t xml:space="preserve">asserted risk would define the scope.</ns0:t>
      </ns0:r>
    </ns0:p>
    <ns0:p>
      <ns0:pPr>
        <ns0:pStyle ns0:val="BodyText"/>
      </ns0:pPr>
      <ns0:r>
        <ns0:t xml:space="preserve">That production would not include every model weight, every user’s conversation, or</ns0:t>
      </ns0:r>
      <ns0:r>
        <ns0:t xml:space="preserve"> </ns0:t>
      </ns0:r>
      <ns0:r>
        <ns0:t xml:space="preserve">unrestricted disclosure of a minor’s data. Unrelated content can be excluded or minimized.</ns0:t>
      </ns0:r>
      <ns0:r>
        <ns0:t xml:space="preserve"> </ns0:t>
      </ns0:r>
      <ns0:r>
        <ns0:t xml:space="preserve">Privilege, privacy protection, redaction, secure expert review, and trade-secret orders remain</ns0:t>
      </ns0:r>
      <ns0:r>
        <ns0:t xml:space="preserve"> </ns0:t>
      </ns0:r>
      <ns0:r>
        <ns0:t xml:space="preserve">available. Source code or weights would require a showing that versioned documentation, test</ns0:t>
      </ns0:r>
      <ns0:r>
        <ns0:t xml:space="preserve"> </ns0:t>
      </ns0:r>
      <ns0:r>
        <ns0:t xml:space="preserve">results, event logs, and representative testing could not resolve a material issue.</ns0:t>
      </ns0:r>
    </ns0:p>
    <ns0:p>
      <ns0:pPr>
        <ns0:pStyle ns0:val="BodyText"/>
      </ns0:pPr>
      <ns0:r>
        <ns0:t xml:space="preserve">The record would preserve defense-favorable facts. The pleadings and motion</ns0:t>
      </ns0:r>
      <ns0:r>
        <ns0:t xml:space="preserve"> </ns0:t>
      </ns0:r>
      <ns0:r>
        <ns0:t xml:space="preserve">papers disputed user selection of characters, role play, user-edited messages, platform</ns0:t>
      </ns0:r>
      <ns0:r>
        <ns0:t xml:space="preserve"> </ns0:t>
      </ns0:r>
      <ns0:r>
        <ns0:t xml:space="preserve">rules, content blocking, and an in-chat notice that character statements were</ns0:t>
      </ns0:r>
      <ns0:r>
        <ns0:t xml:space="preserve"> </ns0:t>
      </ns0:r>
      <ns0:r>
        <ns0:t xml:space="preserve">fictional.</ns0:t>
      </ns0:r>
      <ns0:r>
        <ns0:rPr>
          <ns0:rStyle ns0:val="FootnoteReference"/>
        </ns0:rPr>
        <ns0:footnoteReference ns0:id="346"/>
      </ns0:r>
      <ns0:bookmarkStart ns0:id="342" ns0:name="x1-25001f34"/>
      <ns0:bookmarkEnd ns0:id="342"/>
      <ns0:r>
        <ns0:t xml:space="preserve"> </ns0:t>
      </ns0:r>
      <ns0:r>
        <ns0:t xml:space="preserve">A configuration and event record could identify which features came from a third-party creator,</ns0:t>
      </ns0:r>
      <ns0:r>
        <ns0:t xml:space="preserve"> </ns0:t>
      </ns0:r>
      <ns0:r>
        <ns0:t xml:space="preserve">which messages the user edited, which controls fired, which warnings appeared, and whether a</ns0:t>
      </ns0:r>
      <ns0:r>
        <ns0:t xml:space="preserve"> </ns0:t>
      </ns0:r>
      <ns0:r>
        <ns0:t xml:space="preserve">proposed safeguard would have changed the sequence.</ns0:t>
      </ns0:r>
    </ns0:p>
    <ns0:p>
      <ns0:pPr>
        <ns0:pStyle ns0:val="BodyText"/>
      </ns0:pPr>
      <ns0:r>
        <ns0:t xml:space="preserve">Ordinary law would then decide the case. Product classification would select applicable</ns0:t>
      </ns0:r>
      <ns0:r>
        <ns0:t xml:space="preserve"> </ns0:t>
      </ns0:r>
      <ns0:r>
        <ns0:t xml:space="preserve">design and warning rules. Contemporaneous evaluations and complaints would inform</ns0:t>
      </ns0:r>
      <ns0:r>
        <ns0:t xml:space="preserve"> </ns0:t>
      </ns0:r>
      <ns0:r>
        <ns0:t xml:space="preserve">foreseeability and notice. Authority and resources would identify the actors and capabilities</ns0:t>
      </ns0:r>
      <ns0:r>
        <ns0:t xml:space="preserve"> </ns0:t>
      </ns0:r>
      <ns0:r>
        <ns0:t xml:space="preserve">relevant to feasibility. The event sequence would test factual and legal causation. Research</ns0:t>
      </ns0:r>
      <ns0:r>
        <ns0:t xml:space="preserve"> </ns0:t>
      </ns0:r>
      <ns0:r>
        <ns0:t xml:space="preserve">published after the 2023–2024 interaction could identify questions without establishing what a</ns0:t>
      </ns0:r>
      <ns0:r>
        <ns0:t xml:space="preserve"> </ns0:t>
      </ns0:r>
      <ns0:r>
        <ns0:t xml:space="preserve">defendant historically knew. Later safety measures could identify a technically describable control</ns0:t>
      </ns0:r>
      <ns0:r>
        <ns0:t xml:space="preserve"> </ns0:t>
      </ns0:r>
      <ns0:r>
        <ns0:t xml:space="preserve">while evidence law and the substantive standard determine admissibility and earlier</ns0:t>
      </ns0:r>
      <ns0:r>
        <ns0:t xml:space="preserve"> </ns0:t>
      </ns0:r>
      <ns0:r>
        <ns0:t xml:space="preserve">feasibility.</ns0:t>
      </ns0:r>
      <ns0:r>
        <ns0:rPr>
          <ns0:rStyle ns0:val="FootnoteReference"/>
        </ns0:rPr>
        <ns0:footnoteReference ns0:id="350"/>
      </ns0:r>
      <ns0:bookmarkStart ns0:id="345" ns0:name="x1-25004f35"/>
      <ns0:bookmarkEnd ns0:id="345"/>
    </ns0:p>
    <ns0:p>
      <ns0:pPr>
        <ns0:pStyle ns0:val="BodyText"/>
      </ns0:pPr>
      <ns0:r>
        <ns0:rPr>
          <ns0:i/>
          <ns0:iCs/>
        </ns0:rPr>
        <ns0:t xml:space="preserve">Garcia</ns0:t>
      </ns0:r>
      <ns0:r>
        <ns0:rPr>
          <ns0:i/>
          <ns0:iCs/>
        </ns0:rPr>
        <ns0:t xml:space="preserve"> </ns0:t>
      </ns0:r>
      <ns0:r>
        <ns0:t xml:space="preserve">thus demonstrates the production function cleanly. The operator’s name was visible.</ns0:t>
      </ns0:r>
      <ns0:r>
        <ns0:t xml:space="preserve"> </ns0:t>
      </ns0:r>
      <ns0:r>
        <ns0:t xml:space="preserve">The front door would have supplied a bounded deployment record capable of supporting either</ns0:t>
      </ns0:r>
      <ns0:r>
        <ns0:t xml:space="preserve"> </ns0:t>
      </ns0:r>
      <ns0:r>
        <ns0:t xml:space="preserve">party while leaving every contested merits question open.</ns0:t>
      </ns0:r>
    </ns0:p>
    <ns0:bookmarkEnd ns0:id="346"/>
    <ns0:bookmarkEnd ns0:id="347"/>
    <ns0:bookmarkStart ns0:id="399" ns0:name="X523887ecf0e5c5a8ca26ad4aca0e46251deff1b"/>
    <ns0:p>
      <ns0:pPr>
        <ns0:pStyle ns0:val="Heading4"/>
      </ns0:pPr>
      <ns0:r>
        <ns0:t xml:space="preserve">B</ns0:t>
      </ns0:r>
      <ns0:r>
        <ns0:t xml:space="preserve"> </ns0:t>
      </ns0:r>
      <ns0:r>
        <ns0:t xml:space="preserve"> </ns0:t>
      </ns0:r>
      <ns0:bookmarkStart ns0:id="348" ns0:name="x1-26000B"/>
      <ns0:bookmarkEnd ns0:id="348"/>
      <ns0:r>
        <ns0:t xml:space="preserve">A Divided Deployment: The Vendor Hosts the Data; the Employer Controls</ns0:t>
      </ns0:r>
      <ns0:r>
        <ns0:t xml:space="preserve"> </ns0:t>
      </ns0:r>
      <ns0:r>
        <ns0:t xml:space="preserve">It</ns0:t>
      </ns0:r>
    </ns0:p>
    <ns0:p>
      <ns0:pPr>
        <ns0:pStyle ns0:val="FirstParagraph"/>
      </ns0:pPr>
      <ns0:r>
        <ns0:rPr>
          <ns0:i/>
          <ns0:iCs/>
        </ns0:rPr>
        <ns0:t xml:space="preserve">Mobley</ns0:t>
      </ns0:r>
      <ns0:r>
        <ns0:rPr>
          <ns0:i/>
          <ns0:iCs/>
        </ns0:rPr>
        <ns0:t xml:space="preserve"> </ns0:t>
      </ns0:r>
      <ns0:r>
        <ns0:t xml:space="preserve">presents the complementary architecture. Applicants encounter employer portals while a</ns0:t>
      </ns0:r>
      <ns0:r>
        <ns0:t xml:space="preserve"> </ns0:t>
      </ns0:r>
      <ns0:r>
        <ns0:t xml:space="preserve">platform vendor supplies processing and recommendation features. Employers can own or</ns0:t>
      </ns0:r>
      <ns0:r>
        <ns0:t xml:space="preserve"> </ns0:t>
      </ns0:r>
      <ns0:r>
        <ns0:t xml:space="preserve">legally control applicant data and decide how a feature affects hiring; the vendor can</ns0:t>
      </ns0:r>
      <ns0:r>
        <ns0:t xml:space="preserve"> </ns0:t>
      </ns0:r>
      <ns0:r>
        <ns0:t xml:space="preserve">host the data and control products, versions, defaults, and some evaluation. The cited</ns0:t>
      </ns0:r>
      <ns0:r>
        <ns0:t xml:space="preserve"> </ns0:t>
      </ns0:r>
      <ns0:r>
        <ns0:t xml:space="preserve">orders expose four recurring record-allocation problems that the front door must solve</ns0:t>
      </ns0:r>
      <ns0:r>
        <ns0:t xml:space="preserve"> </ns0:t>
      </ns0:r>
      <ns0:r>
        <ns0:t xml:space="preserve">without predicting discrimination: feature identity, divided legal control, privilege, and safe</ns0:t>
      </ns0:r>
      <ns0:r>
        <ns0:t xml:space="preserve"> </ns0:t>
      </ns0:r>
      <ns0:r>
        <ns0:t xml:space="preserve">exit.</ns0:t>
      </ns0:r>
    </ns0:p>
    <ns0:bookmarkStart ns0:id="362" ns0:name="feature-identity-and-the-event-path"/>
    <ns0:p>
      <ns0:pPr>
        <ns0:pStyle ns0:val="Heading5"/>
      </ns0:pPr>
      <ns0:r>
        <ns0:t xml:space="preserve">1</ns0:t>
      </ns0:r>
      <ns0:r>
        <ns0:t xml:space="preserve"> </ns0:t>
      </ns0:r>
      <ns0:r>
        <ns0:t xml:space="preserve"> </ns0:t>
      </ns0:r>
      <ns0:bookmarkStart ns0:id="353" ns0:name="x1-270001"/>
      <ns0:bookmarkEnd ns0:id="353"/>
      <ns0:r>
        <ns0:t xml:space="preserve">Feature Identity and the Event Path</ns0:t>
      </ns0:r>
    </ns0:p>
    <ns0:p>
      <ns0:pPr>
        <ns0:pStyle ns0:val="FirstParagraph"/>
      </ns0:pPr>
      <ns0:r>
        <ns0:t xml:space="preserve">The first problem is not whether “AI” was generally available. It is which function processed a</ns0:t>
      </ns0:r>
      <ns0:r>
        <ns0:t xml:space="preserve"> </ns0:t>
      </ns0:r>
      <ns0:r>
        <ns0:t xml:space="preserve">particular application and what reached the employer. At the pleading stage, the district court</ns0:t>
      </ns0:r>
      <ns0:r>
        <ns0:t xml:space="preserve"> </ns0:t>
      </ns0:r>
      <ns0:r>
        <ns0:t xml:space="preserve">treated allegations that employer customers delegated traditional hiring functions to Workday as</ns0:t>
      </ns0:r>
      <ns0:r>
        <ns0:t xml:space="preserve"> </ns0:t>
      </ns0:r>
      <ns0:r>
        <ns0:t xml:space="preserve">sufficient to proceed on a statutory agency theory. The same order required a different theory to</ns0:t>
      </ns0:r>
      <ns0:r>
        <ns0:t xml:space="preserve"> </ns0:t>
      </ns0:r>
      <ns0:r>
        <ns0:t xml:space="preserve">connect a particular employer’s conduct, Workday’s knowledge, and the assistance it allegedly</ns0:t>
      </ns0:r>
      <ns0:r>
        <ns0:t xml:space="preserve"> </ns0:t>
      </ns0:r>
      <ns0:r>
        <ns0:t xml:space="preserve">supplied.</ns0:t>
      </ns0:r>
      <ns0:r>
        <ns0:rPr>
          <ns0:rStyle ns0:val="FootnoteReference"/>
        </ns0:rPr>
        <ns0:footnoteReference ns0:id="357"/>
      </ns0:r>
      <ns0:bookmarkStart ns0:id="357" ns0:name="x1-27001f37"/>
      <ns0:bookmarkEnd ns0:id="357"/>
      <ns0:r>
        <ns0:t xml:space="preserve"> </ns0:t>
      </ns0:r>
      <ns0:r>
        <ns0:t xml:space="preserve">Nominal identity was visible. The operative chain among employer, feature, output, use, and</ns0:t>
      </ns0:r>
      <ns0:r>
        <ns0:t xml:space="preserve"> </ns0:t>
      </ns0:r>
      <ns0:r>
        <ns0:t xml:space="preserve">knowledge was not.</ns0:t>
      </ns0:r>
    </ns0:p>
    <ns0:p>
      <ns0:pPr>
        <ns0:pStyle ns0:val="BodyText"/>
      </ns0:pPr>
      <ns0:r>
        <ns0:t xml:space="preserve">Later notice-stage proceedings illustrate the fields. Candidate Skills Match, when enabled</ns0:t>
      </ns0:r>
      <ns0:r>
        <ns0:t xml:space="preserve"> </ns0:t>
      </ns0:r>
      <ns0:r>
        <ns0:t xml:space="preserve">by a customer, parsed a job description and applicant materials, extracted skills, and assigned a</ns0:t>
      </ns0:r>
      <ns0:r>
        <ns0:t xml:space="preserve"> </ns0:t>
      </ns0:r>
      <ns0:r>
        <ns0:t xml:space="preserve">categorical match. Workday described customers as able to enable, disable, use, or ignore</ns0:t>
      </ns0:r>
      <ns0:r>
        <ns0:t xml:space="preserve"> </ns0:t>
      </ns0:r>
      <ns0:r>
        <ns0:t xml:space="preserve">features. The court reserved what outputs meant and how customers used them for</ns0:t>
      </ns0:r>
      <ns0:r>
        <ns0:t xml:space="preserve"> </ns0:t>
      </ns0:r>
      <ns0:r>
        <ns0:t xml:space="preserve">later adjudication while permitting targeted discovery to identify potential collective</ns0:t>
      </ns0:r>
      <ns0:r>
        <ns0:t xml:space="preserve"> </ns0:t>
      </ns0:r>
      <ns0:r>
        <ns0:t xml:space="preserve">members.</ns0:t>
      </ns0:r>
      <ns0:r>
        <ns0:rPr>
          <ns0:rStyle ns0:val="FootnoteReference"/>
        </ns0:rPr>
        <ns0:footnoteReference ns0:id="361"/>
      </ns0:r>
      <ns0:bookmarkStart ns0:id="361" ns0:name="x1-27004f38"/>
      <ns0:bookmarkEnd ns0:id="361"/>
    </ns0:p>
    <ns0:p>
      <ns0:pPr>
        <ns0:pStyle ns0:val="BodyText"/>
      </ns0:pPr>
      <ns0:r>
        <ns0:t xml:space="preserve">For a designated employment-screening deployment, the employer receiving the application</ns0:t>
      </ns0:r>
      <ns0:r>
        <ns0:t xml:space="preserve"> </ns0:t>
      </ns0:r>
      <ns0:r>
        <ns0:t xml:space="preserve">is the visible operator. Stage One asks the applicant for the position, application date, adverse</ns0:t>
      </ns0:r>
      <ns0:r>
        <ns0:t xml:space="preserve"> </ns0:t>
      </ns0:r>
      <ns0:r>
        <ns0:t xml:space="preserve">disposition, covered portal, and the best available event key—a requisition number, application</ns0:t>
      </ns0:r>
      <ns0:r>
        <ns0:t xml:space="preserve"> </ns0:t>
      </ns0:r>
      <ns0:r>
        <ns0:t xml:space="preserve">ID, tenant URL, or timestamp. It does not require the applicant to name the vendor</ns0:t>
      </ns0:r>
      <ns0:r>
        <ns0:t xml:space="preserve"> </ns0:t>
      </ns0:r>
      <ns0:r>
        <ns0:t xml:space="preserve">feature or allege that a hidden score actually participated. The first answer resolves that</ns0:t>
      </ns0:r>
      <ns0:r>
        <ns0:t xml:space="preserve"> </ns0:t>
      </ns0:r>
      <ns0:r>
        <ns0:t xml:space="preserve">question.</ns0:t>
      </ns0:r>
    </ns0:p>
    <ns0:p>
      <ns0:pPr>
        <ns0:pStyle ns0:val="BodyText"/>
      </ns0:pPr>
      <ns0:r>
        <ns0:t xml:space="preserve">The employer’s event receipt identifies products active for the application; versions and</ns0:t>
      </ns0:r>
      <ns0:r>
        <ns0:t xml:space="preserve"> </ns0:t>
      </ns0:r>
      <ns0:r>
        <ns0:t xml:space="preserve">enabled features; fields, criteria, and preferences the employer supplied; any score, sort, rank,</ns0:t>
      </ns0:r>
      <ns0:r>
        <ns0:t xml:space="preserve"> </ns0:t>
      </ns0:r>
      <ns0:r>
        <ns0:t xml:space="preserve">screen, threshold, or recommendation received; the downstream action; and whether no automated</ns0:t>
      </ns0:r>
      <ns0:r>
        <ns0:t xml:space="preserve"> </ns0:t>
      </ns0:r>
      <ns0:r>
        <ns0:t xml:space="preserve">function processed the event. The custodian map identifies the supplier, account roles, record</ns0:t>
      </ns0:r>
      <ns0:r>
        <ns0:t xml:space="preserve"> </ns0:t>
      </ns0:r>
      <ns0:r>
        <ns0:t xml:space="preserve">locations, legal controllers, and contractual retrieval, update, and suspension rights. A linked</ns0:t>
      </ns0:r>
      <ns0:r>
        <ns0:t xml:space="preserve"> </ns0:t>
      </ns0:r>
      <ns0:r>
        <ns0:t xml:space="preserve">supplier answer resolves the same identifier within its lane: tenant and requisition, product and</ns0:t>
      </ns0:r>
      <ns0:r>
        <ns0:t xml:space="preserve"> </ns0:t>
      </ns0:r>
      <ns0:r>
        <ns0:t xml:space="preserve">version, whether a function ran, whether it generated and transmitted an output, which</ns0:t>
      </ns0:r>
      <ns0:r>
        <ns0:t xml:space="preserve"> </ns0:t>
      </ns0:r>
      <ns0:r>
        <ns0:t xml:space="preserve">settings came from the customer, and which entities held the listed records and authority</ns0:t>
      </ns0:r>
      <ns0:r>
        <ns0:t xml:space="preserve"> </ns0:t>
      </ns0:r>
      <ns0:r>
        <ns0:t xml:space="preserve">roles.</ns0:t>
      </ns0:r>
    </ns0:p>
    <ns0:p>
      <ns0:pPr>
        <ns0:pStyle ns0:val="BodyText"/>
      </ns0:pPr>
      <ns0:r>
        <ns0:t xml:space="preserve">Together, those answers separate five propositions: a feature was available; the</ns0:t>
      </ns0:r>
      <ns0:r>
        <ns0:t xml:space="preserve"> </ns0:t>
      </ns0:r>
      <ns0:r>
        <ns0:t xml:space="preserve">customer enabled it; it processed the event; it generated or transmitted an output; and the</ns0:t>
      </ns0:r>
      <ns0:r>
        <ns0:t xml:space="preserve"> </ns0:t>
      </ns0:r>
      <ns0:r>
        <ns0:t xml:space="preserve">customer used that output. None follows from the preceding proposition alone. Stage One</ns0:t>
      </ns0:r>
      <ns0:r>
        <ns0:t xml:space="preserve"> </ns0:t>
      </ns0:r>
      <ns0:r>
        <ns0:t xml:space="preserve">establishes whether the function formed part of the event path or governed a safeguard;</ns0:t>
      </ns0:r>
      <ns0:r>
        <ns0:t xml:space="preserve"> </ns0:t>
      </ns0:r>
      <ns0:r>
        <ns0:t xml:space="preserve">information materiality asks whether the requested information bears non-de-minimally on an</ns0:t>
      </ns0:r>
      <ns0:r>
        <ns0:t xml:space="preserve"> </ns0:t>
      </ns0:r>
      <ns0:r>
        <ns0:t xml:space="preserve">element, defense, or remedy. Neither requires a showing that the output caused an unlawful</ns0:t>
      </ns0:r>
      <ns0:r>
        <ns0:t xml:space="preserve"> </ns0:t>
      </ns0:r>
      <ns0:r>
        <ns0:t xml:space="preserve">decision.</ns0:t>
      </ns0:r>
    </ns0:p>
    <ns0:bookmarkEnd ns0:id="362"/>
    <ns0:bookmarkStart ns0:id="368" ns0:name="physical-hosting-versus-legal-control"/>
    <ns0:p>
      <ns0:pPr>
        <ns0:pStyle ns0:val="Heading5"/>
      </ns0:pPr>
      <ns0:r>
        <ns0:t xml:space="preserve">2</ns0:t>
      </ns0:r>
      <ns0:r>
        <ns0:t xml:space="preserve"> </ns0:t>
      </ns0:r>
      <ns0:r>
        <ns0:t xml:space="preserve"> </ns0:t>
      </ns0:r>
      <ns0:bookmarkStart ns0:id="363" ns0:name="x1-280002"/>
      <ns0:bookmarkEnd ns0:id="363"/>
      <ns0:r>
        <ns0:t xml:space="preserve">Physical Hosting Versus Legal Control</ns0:t>
      </ns0:r>
    </ns0:p>
    <ns0:p>
      <ns0:pPr>
        <ns0:pStyle ns0:val="FirstParagraph"/>
      </ns0:pPr>
      <ns0:r>
        <ns0:t xml:space="preserve">The second problem is custody. A 2026 discovery order described customer applicant data as</ns0:t>
      </ns0:r>
      <ns0:r>
        <ns0:t xml:space="preserve"> </ns0:t>
      </ns0:r>
      <ns0:r>
        <ns0:t xml:space="preserve">stored on Workday servers while the agreement placed ownership of customer content with the</ns0:t>
      </ns0:r>
      <ns0:r>
        <ns0:t xml:space="preserve"> </ns0:t>
      </ns0:r>
      <ns0:r>
        <ns0:t xml:space="preserve">customer and allowed the customer to seek an injunction against disclosure. Applicants had</ns0:t>
      </ns0:r>
      <ns0:r>
        <ns0:t xml:space="preserve"> </ns0:t>
      </ns0:r>
      <ns0:r>
        <ns0:t xml:space="preserve">subpoenaed thirty-five customers, and some customers pointed back to Workday as the</ns0:t>
      </ns0:r>
      <ns0:r>
        <ns0:t xml:space="preserve"> </ns0:t>
      </ns0:r>
      <ns0:r>
        <ns0:t xml:space="preserve">efficient source. On that record, the court held that physical storage did not establish</ns0:t>
      </ns0:r>
      <ns0:r>
        <ns0:t xml:space="preserve"> </ns0:t>
      </ns0:r>
      <ns0:r>
        <ns0:t xml:space="preserve">Workday’s legal right to obtain and produce the customer data on demand under Rule</ns0:t>
      </ns0:r>
      <ns0:r>
        <ns0:t xml:space="preserve"> </ns0:t>
      </ns0:r>
      <ns0:r>
        <ns0:t xml:space="preserve">34.</ns0:t>
      </ns0:r>
      <ns0:r>
        <ns0:rPr>
          <ns0:rStyle ns0:val="FootnoteReference"/>
        </ns0:rPr>
        <ns0:footnoteReference ns0:id="367"/>
      </ns0:r>
      <ns0:bookmarkStart ns0:id="367" ns0:name="x1-28001f39"/>
      <ns0:bookmarkEnd ns0:id="367"/>
    </ns0:p>
    <ns0:p>
      <ns0:pPr>
        <ns0:pStyle ns0:val="BodyText"/>
      </ns0:pPr>
      <ns0:r>
        <ns0:t xml:space="preserve">The front door does not reverse that holding. It changes deployment design before the</ns0:t>
      </ns0:r>
      <ns0:r>
        <ns0:t xml:space="preserve"> </ns0:t>
      </ns0:r>
      <ns0:r>
        <ns0:t xml:space="preserve">dispute. The employer keeps the local manifest, position definition, customer settings, application,</ns0:t>
      </ns0:r>
      <ns0:r>
        <ns0:t xml:space="preserve"> </ns0:t>
      </ns0:r>
      <ns0:r>
        <ns0:t xml:space="preserve">downstream review, disposition, notice, and event identifier. The supplier keeps version lineage,</ns0:t>
      </ns0:r>
      <ns0:r>
        <ns0:t xml:space="preserve"> </ns0:t>
      </ns0:r>
      <ns0:r>
        <ns0:t xml:space="preserve">product documentation, defaults, run and transmission logs, and the operational evaluation record</ns0:t>
      </ns0:r>
      <ns0:r>
        <ns0:t xml:space="preserve"> </ns0:t>
      </ns0:r>
      <ns0:r>
        <ns0:t xml:space="preserve">assigned to its lane. The predeployment agreement gives the employer a right to retrieve defined</ns0:t>
      </ns0:r>
      <ns0:r>
        <ns0:t xml:space="preserve"> </ns0:t>
      </ns0:r>
      <ns0:r>
        <ns0:t xml:space="preserve">supplier fields and authorizes a coordinated hold for customer-controlled content. Both receive the</ns0:t>
      </ns0:r>
      <ns0:r>
        <ns0:t xml:space="preserve"> </ns0:t>
      </ns0:r>
      <ns0:r>
        <ns0:t xml:space="preserve">same deployment and event identifiers, preventing a platform label and customer label from</ns0:t>
      </ns0:r>
      <ns0:r>
        <ns0:t xml:space="preserve"> </ns0:t>
      </ns0:r>
      <ns0:r>
        <ns0:t xml:space="preserve">preserving incompatible slices.</ns0:t>
      </ns0:r>
    </ns0:p>
    <ns0:p>
      <ns0:pPr>
        <ns0:pStyle ns0:val="BodyText"/>
      </ns0:pPr>
      <ns0:r>
        <ns0:t xml:space="preserve">That architecture distinguishes technical hosting from statutory responsibility. A covered</ns0:t>
      </ns0:r>
      <ns0:r>
        <ns0:t xml:space="preserve"> </ns0:t>
      </ns0:r>
      <ns0:r>
        <ns0:t xml:space="preserve">supplier subject to the Act answers its assigned lane. Another supplier responds through the</ns0:t>
      </ns0:r>
      <ns0:r>
        <ns0:t xml:space="preserve"> </ns0:t>
      </ns0:r>
      <ns0:r>
        <ns0:t xml:space="preserve">employer’s retrieval right. The applicant no longer has to choose between the host and legal</ns0:t>
      </ns0:r>
      <ns0:r>
        <ns0:t xml:space="preserve"> </ns0:t>
      </ns0:r>
      <ns0:r>
        <ns0:t xml:space="preserve">controller before seeing the contract and custodian map; Stage One identifies both, and</ns0:t>
      </ns0:r>
      <ns0:r>
        <ns0:t xml:space="preserve"> </ns0:t>
      </ns0:r>
      <ns0:r>
        <ns0:t xml:space="preserve">ordinary Rule 34 or Rule 45 analysis governs any later production beyond the statutory</ns0:t>
      </ns0:r>
      <ns0:r>
        <ns0:t xml:space="preserve"> </ns0:t>
      </ns0:r>
      <ns0:r>
        <ns0:t xml:space="preserve">minimum.</ns0:t>
      </ns0:r>
    </ns0:p>
    <ns0:bookmarkEnd ns0:id="368"/>
    <ns0:bookmarkStart ns0:id="379" ns0:name="Xe223f864c9710e45f97a5c50cbfddf30155e637"/>
    <ns0:p>
      <ns0:pPr>
        <ns0:pStyle ns0:val="Heading5"/>
      </ns0:pPr>
      <ns0:r>
        <ns0:t xml:space="preserve">3</ns0:t>
      </ns0:r>
      <ns0:r>
        <ns0:t xml:space="preserve"> </ns0:t>
      </ns0:r>
      <ns0:r>
        <ns0:t xml:space="preserve"> </ns0:t>
      </ns0:r>
      <ns0:bookmarkStart ns0:id="369" ns0:name="x1-290003"/>
      <ns0:bookmarkEnd ns0:id="369"/>
      <ns0:r>
        <ns0:t xml:space="preserve">Privilege Versus the Operational Minimum Record</ns0:t>
      </ns0:r>
    </ns0:p>
    <ns0:p>
      <ns0:pPr>
        <ns0:pStyle ns0:val="FirstParagraph"/>
      </ns0:pPr>
      <ns0:r>
        <ns0:t xml:space="preserve">The third problem is the line between legal advice and operation. The same discovery order held</ns0:t>
      </ns0:r>
      <ns0:r>
        <ns0:t xml:space="preserve"> </ns0:t>
      </ns0:r>
      <ns0:r>
        <ns0:t xml:space="preserve">particular Candidate Skills Match bias-testing materials privileged because counsel selected the data</ns0:t>
      </ns0:r>
      <ns0:r>
        <ns0:t xml:space="preserve"> </ns0:t>
      </ns0:r>
      <ns0:r>
        <ns0:t xml:space="preserve">and used the tests to provide legal advice. It separately ordered production of Workday’s EEO-1 and</ns0:t>
      </ns0:r>
      <ns0:r>
        <ns0:t xml:space="preserve"> </ns0:t>
      </ns0:r>
      <ns0:r>
        <ns0:t xml:space="preserve">federal-contractor compliance materials based on their relevance to knowledge of potential demographic</ns0:t>
      </ns0:r>
      <ns0:r>
        <ns0:t xml:space="preserve"> </ns0:t>
      </ns0:r>
      <ns0:r>
        <ns0:t xml:space="preserve">disparities.</ns0:t>
      </ns0:r>
      <ns0:r>
        <ns0:rPr>
          <ns0:rStyle ns0:val="FootnoteReference"/>
        </ns0:rPr>
        <ns0:footnoteReference ns0:id="373"/>
      </ns0:r>
      <ns0:bookmarkStart ns0:id="373" ns0:name="x1-29001f40"/>
      <ns0:bookmarkEnd ns0:id="373"/>
    </ns0:p>
    <ns0:p>
      <ns0:pPr>
        <ns0:pStyle ns0:val="BodyText"/>
      </ns0:pPr>
      <ns0:r>
        <ns0:t xml:space="preserve">The front door preserves that distinction. Attorney communications and qualifying</ns0:t>
      </ns0:r>
      <ns0:r>
        <ns0:t xml:space="preserve"> </ns0:t>
      </ns0:r>
      <ns0:r>
        <ns0:t xml:space="preserve">counsel-directed analyses remain protected. The operational minimum—feature identity, version,</ns0:t>
      </ns0:r>
      <ns0:r>
        <ns0:t xml:space="preserve"> </ns0:t>
      </ns0:r>
      <ns0:r>
        <ns0:t xml:space="preserve">intended use, validation owner, deployed threshold, event output, complaints, monitoring, and</ns0:t>
      </ns0:r>
      <ns0:r>
        <ns0:t xml:space="preserve"> </ns0:t>
      </ns0:r>
      <ns0:r>
        <ns0:t xml:space="preserve">change history—exists because the covered system operated. A privilege log can identify protected</ns0:t>
      </ns0:r>
      <ns0:r>
        <ns0:t xml:space="preserve"> </ns0:t>
      </ns0:r>
      <ns0:r>
        <ns0:t xml:space="preserve">analysis while underlying nonprivileged data and ordinary-course records follow existing</ns0:t>
      </ns0:r>
      <ns0:r>
        <ns0:t xml:space="preserve"> </ns0:t>
      </ns0:r>
      <ns0:r>
        <ns0:t xml:space="preserve">law.</ns0:t>
      </ns0:r>
      <ns0:r>
        <ns0:rPr>
          <ns0:rStyle ns0:val="FootnoteReference"/>
        </ns0:rPr>
        <ns0:footnoteReference ns0:id="377"/>
      </ns0:r>
      <ns0:bookmarkStart ns0:id="378" ns0:name="x1-29004f41"/>
      <ns0:bookmarkEnd ns0:id="378"/>
      <ns0:r>
        <ns0:t xml:space="preserve"> </ns0:t>
      </ns0:r>
      <ns0:r>
        <ns0:t xml:space="preserve">The statute therefore protects privilege without allowing an enterprise to satisfy its operating duty</ns0:t>
      </ns0:r>
      <ns0:r>
        <ns0:t xml:space="preserve"> </ns0:t>
      </ns0:r>
      <ns0:r>
        <ns0:t xml:space="preserve">only inside a legal-advice file.</ns0:t>
      </ns0:r>
    </ns0:p>
    <ns0:bookmarkEnd ns0:id="379"/>
    <ns0:bookmarkStart ns0:id="385" ns0:name="safe-exit-and-coordinated-stage-two"/>
    <ns0:p>
      <ns0:pPr>
        <ns0:pStyle ns0:val="Heading5"/>
      </ns0:pPr>
      <ns0:r>
        <ns0:t xml:space="preserve">4</ns0:t>
      </ns0:r>
      <ns0:r>
        <ns0:t xml:space="preserve"> </ns0:t>
      </ns0:r>
      <ns0:r>
        <ns0:t xml:space="preserve"> </ns0:t>
      </ns0:r>
      <ns0:bookmarkStart ns0:id="380" ns0:name="x1-300004"/>
      <ns0:bookmarkEnd ns0:id="380"/>
      <ns0:r>
        <ns0:t xml:space="preserve">Safe Exit and Coordinated Stage Two</ns0:t>
      </ns0:r>
    </ns0:p>
    <ns0:p>
      <ns0:pPr>
        <ns0:pStyle ns0:val="FirstParagraph"/>
      </ns0:pPr>
      <ns0:r>
        <ns0:t xml:space="preserve">The fourth problem is ending the special proceeding for the wrong lane. A 2025 order concerning</ns0:t>
      </ns0:r>
      <ns0:r>
        <ns0:t xml:space="preserve"> </ns0:t>
      </ns0:r>
      <ns0:r>
        <ns0:t xml:space="preserve">HiredScore directed Workday to identify customers that enabled specified features and supplied a</ns0:t>
      </ns0:r>
      <ns0:r>
        <ns0:t xml:space="preserve"> </ns0:t>
      </ns0:r>
      <ns0:r>
        <ns0:t xml:space="preserve">concrete exclusion rule: a customer could leave the preliminary collective if Workday</ns0:t>
      </ns0:r>
      <ns0:r>
        <ns0:t xml:space="preserve"> </ns0:t>
      </ns0:r>
      <ns0:r>
        <ns0:t xml:space="preserve">could determine that it received no score or rank or did not use the feature to screen</ns0:t>
      </ns0:r>
      <ns0:r>
        <ns0:t xml:space="preserve"> </ns0:t>
      </ns0:r>
      <ns0:r>
        <ns0:t xml:space="preserve">candidates.</ns0:t>
      </ns0:r>
      <ns0:r>
        <ns0:rPr>
          <ns0:rStyle ns0:val="FootnoteReference"/>
        </ns0:rPr>
        <ns0:footnoteReference ns0:id="384"/>
      </ns0:r>
      <ns0:bookmarkStart ns0:id="384" ns0:name="x1-30001f42"/>
      <ns0:bookmarkEnd ns0:id="384"/>
      <ns0:r>
        <ns0:t xml:space="preserve"> </ns0:t>
      </ns0:r>
      <ns0:r>
        <ns0:t xml:space="preserve">The order managed collective notice rather than applying this Article’s statute, but it illustrates a</ns0:t>
      </ns0:r>
      <ns0:r>
        <ns0:t xml:space="preserve"> </ns0:t>
      </ns0:r>
      <ns0:r>
        <ns0:t xml:space="preserve">similar operational sequence: identify deployment and output, remove customers with no relevant</ns0:t>
      </ns0:r>
      <ns0:r>
        <ns0:t xml:space="preserve"> </ns0:t>
      </ns0:r>
      <ns0:r>
        <ns0:t xml:space="preserve">run or use, and reserve disputed effect.</ns0:t>
      </ns0:r>
    </ns0:p>
    <ns0:p>
      <ns0:pPr>
        <ns0:pStyle ns0:val="BodyText"/>
      </ns0:pPr>
      <ns0:r>
        <ns0:t xml:space="preserve">Stage One generalizes that logic at the event level. The employer controls job criteria,</ns0:t>
      </ns0:r>
      <ns0:r>
        <ns0:t xml:space="preserve"> </ns0:t>
      </ns0:r>
      <ns0:r>
        <ns0:t xml:space="preserve">feature activation, decision weight, review, notice, and final disposition. The vendor may</ns0:t>
      </ns0:r>
      <ns0:r>
        <ns0:t xml:space="preserve"> </ns0:t>
      </ns0:r>
      <ns0:r>
        <ns0:t xml:space="preserve">control design, defaults, validation, updates, and cross-customer monitoring. Practical</ns0:t>
      </ns0:r>
      <ns0:r>
        <ns0:t xml:space="preserve"> </ns0:t>
      </ns0:r>
      <ns0:r>
        <ns0:t xml:space="preserve">authority follows permissions, contracts, and release mechanisms. The Stage One record</ns0:t>
      </ns0:r>
      <ns0:r>
        <ns0:t xml:space="preserve"> </ns0:t>
      </ns0:r>
      <ns0:r>
        <ns0:t xml:space="preserve">shows whether the function formed part of the event path or governed a safeguard; the</ns0:t>
      </ns0:r>
      <ns0:r>
        <ns0:t xml:space="preserve"> </ns0:t>
      </ns0:r>
      <ns0:r>
        <ns0:t xml:space="preserve">requested Stage Two information must bear non-de-minimally on an element, defense, or</ns0:t>
      </ns0:r>
      <ns0:r>
        <ns0:t xml:space="preserve"> </ns0:t>
      </ns0:r>
      <ns0:r>
        <ns0:t xml:space="preserve">remedy. A customer for which no relevant feature ran, no output was produced, or no</ns0:t>
      </ns0:r>
      <ns0:r>
        <ns0:t xml:space="preserve"> </ns0:t>
      </ns0:r>
      <ns0:r>
        <ns0:t xml:space="preserve">output reached the decision path exits the AI-specific lane. Generic hosting, a product</ns0:t>
      </ns0:r>
      <ns0:r>
        <ns0:t xml:space="preserve"> </ns0:t>
      </ns0:r>
      <ns0:r>
        <ns0:t xml:space="preserve">acquired after the event, or a component that only transmitted a fixed customer rule can</ns0:t>
      </ns0:r>
      <ns0:r>
        <ns0:t xml:space="preserve"> </ns0:t>
      </ns0:r>
      <ns0:r>
        <ns0:t xml:space="preserve">support the same result. None determines whether another employment practice violated</ns0:t>
      </ns0:r>
      <ns0:r>
        <ns0:t xml:space="preserve"> </ns0:t>
      </ns0:r>
      <ns0:r>
        <ns0:t xml:space="preserve">law.</ns0:t>
      </ns0:r>
    </ns0:p>
    <ns0:p>
      <ns0:pPr>
        <ns0:pStyle ns0:val="BodyText"/>
      </ns0:pPr>
      <ns0:r>
        <ns0:t xml:space="preserve">Only then does claim-specific Stage Two begin. A disparate-impact theory may justify</ns0:t>
      </ns0:r>
      <ns0:r>
        <ns0:t xml:space="preserve"> </ns0:t>
      </ns0:r>
      <ns0:r>
        <ns0:t xml:space="preserve">aggregate recommendation data, validation, feature documentation, and nonprivileged testing</ns0:t>
      </ns0:r>
      <ns0:r>
        <ns0:t xml:space="preserve"> </ns0:t>
      </ns0:r>
      <ns0:r>
        <ns0:t xml:space="preserve">bounded by product, period, employer settings, job family, and population. A disparate-treatment</ns0:t>
      </ns0:r>
      <ns0:r>
        <ns0:t xml:space="preserve"> </ns0:t>
      </ns0:r>
      <ns0:r>
        <ns0:t xml:space="preserve">theory focuses on decision inputs, human review, departures, and communications. An</ns0:t>
      </ns0:r>
      <ns0:r>
        <ns0:t xml:space="preserve"> </ns0:t>
      </ns0:r>
      <ns0:r>
        <ns0:t xml:space="preserve">accommodation theory focuses on fields, access, exception handling, and review. The governing</ns0:t>
      </ns0:r>
      <ns0:r>
        <ns0:t xml:space="preserve"> </ns0:t>
      </ns0:r>
      <ns0:r>
        <ns0:t xml:space="preserve">statute and procedural rules select the record.</ns0:t>
      </ns0:r>
    </ns0:p>
    <ns0:p>
      <ns0:pPr>
        <ns0:pStyle ns0:val="BodyText"/>
      </ns0:pPr>
      <ns0:r>
        <ns0:t xml:space="preserve">Where hosting and legal control remain divided, a coordinated protocol replaces serial</ns0:t>
      </ns0:r>
      <ns0:r>
        <ns0:t xml:space="preserve"> </ns0:t>
      </ns0:r>
      <ns0:r>
        <ns0:t xml:space="preserve">referrals. The employer authorizes the defined customer fields; the platform runs the query against</ns0:t>
      </ns0:r>
      <ns0:r>
        <ns0:t xml:space="preserve"> </ns0:t>
      </ns0:r>
      <ns0:r>
        <ns0:t xml:space="preserve">the correct tenant and version; both verify the schema; direct identifiers are pseudonymized; any</ns0:t>
      </ns0:r>
      <ns0:r>
        <ns0:t xml:space="preserve"> </ns0:t>
      </ns0:r>
      <ns0:r>
        <ns0:t xml:space="preserve">lawful protected-characteristic linkage remains segregated; and experts use a secure environment.</ns0:t>
      </ns0:r>
      <ns0:r>
        <ns0:t xml:space="preserve"> </ns0:t>
      </ns0:r>
      <ns0:r>
        <ns0:t xml:space="preserve">The protocol identifies which enterprise supplies each field and who attests to completeness.</ns0:t>
      </ns0:r>
      <ns0:r>
        <ns0:t xml:space="preserve"> </ns0:t>
      </ns0:r>
      <ns0:r>
        <ns0:t xml:space="preserve">It neither transfers all customer data nor treats physical hosting as universal Rule 34</ns0:t>
      </ns0:r>
      <ns0:r>
        <ns0:t xml:space="preserve"> </ns0:t>
      </ns0:r>
      <ns0:r>
        <ns0:t xml:space="preserve">control.</ns0:t>
      </ns0:r>
    </ns0:p>
    <ns0:p>
      <ns0:pPr>
        <ns0:pStyle ns0:val="BodyText"/>
      </ns0:pPr>
      <ns0:r>
        <ns0:t xml:space="preserve">An applicant thus begins with an employer and event identifier. The first answer</ns0:t>
      </ns0:r>
      <ns0:r>
        <ns0:t xml:space="preserve"> </ns0:t>
      </ns0:r>
      <ns0:r>
        <ns0:t xml:space="preserve">reveals feature, version, path, and holder. Coupled preservation prevents ownership and</ns0:t>
      </ns0:r>
      <ns0:r>
        <ns0:t xml:space="preserve"> </ns0:t>
      </ns0:r>
      <ns0:r>
        <ns0:t xml:space="preserve">hosting from creating a loop. Privilege protects legal advice while leaving a minimum</ns0:t>
      </ns0:r>
      <ns0:r>
        <ns0:t xml:space="preserve"> </ns0:t>
      </ns0:r>
      <ns0:r>
        <ns0:t xml:space="preserve">operational record. Safe exit removes actors with no run or relevant control. Ordinary</ns0:t>
      </ns0:r>
      <ns0:r>
        <ns0:t xml:space="preserve"> </ns0:t>
      </ns0:r>
      <ns0:r>
        <ns0:t xml:space="preserve">antidiscrimination law, Rule 34, Rule 45, and collective or class standards then govern a focused</ns0:t>
      </ns0:r>
      <ns0:r>
        <ns0:t xml:space="preserve"> </ns0:t>
      </ns0:r>
      <ns0:r>
        <ns0:t xml:space="preserve">dispute.</ns0:t>
      </ns0:r>
    </ns0:p>
    <ns0:bookmarkEnd ns0:id="385"/>
    <ns0:bookmarkStart ns0:id="398" ns0:name="a-stable-publicemployment-analogue"/>
    <ns0:p>
      <ns0:pPr>
        <ns0:pStyle ns0:val="Heading5"/>
      </ns0:pPr>
      <ns0:r>
        <ns0:t xml:space="preserve">5</ns0:t>
      </ns0:r>
      <ns0:r>
        <ns0:t xml:space="preserve"> </ns0:t>
      </ns0:r>
      <ns0:r>
        <ns0:t xml:space="preserve"> </ns0:t>
      </ns0:r>
      <ns0:bookmarkStart ns0:id="386" ns0:name="x1-310005"/>
      <ns0:bookmarkEnd ns0:id="386"/>
      <ns0:r>
        <ns0:t xml:space="preserve">A Stable Public-Employment Analogue</ns0:t>
      </ns0:r>
    </ns0:p>
    <ns0:p>
      <ns0:pPr>
        <ns0:pStyle ns0:val="FirstParagraph"/>
      </ns0:pPr>
      <ns0:r>
        <ns0:rPr>
          <ns0:i/>
          <ns0:iCs/>
        </ns0:rPr>
        <ns0:t xml:space="preserve">Houston Federation of Teachers v. Houston Independent School District</ns0:t>
      </ns0:r>
      <ns0:r>
        <ns0:rPr>
          <ns0:i/>
          <ns0:iCs/>
        </ns0:rPr>
        <ns0:t xml:space="preserve"> </ns0:t>
      </ns0:r>
      <ns0:r>
        <ns0:t xml:space="preserve">confirms the</ns0:t>
      </ns0:r>
      <ns0:r>
        <ns0:t xml:space="preserve"> </ns0:t>
      </ns0:r>
      <ns0:r>
        <ns0:t xml:space="preserve">structural point on a completed summary-judgment record. HISD licensed SAS’s proprietary</ns0:t>
      </ns0:r>
      <ns0:r>
        <ns0:t xml:space="preserve"> </ns0:t>
      </ns0:r>
      <ns0:r>
        <ns0:t xml:space="preserve">Educational Value-Added Assessment System for teacher evaluation. SAS calculated the scores</ns0:t>
      </ns0:r>
      <ns0:r>
        <ns0:t xml:space="preserve"> </ns0:t>
      </ns0:r>
      <ns0:r>
        <ns0:t xml:space="preserve">through undisclosed source code and methodology. HISD acknowledged that it did not</ns0:t>
      </ns0:r>
      <ns0:r>
        <ns0:t xml:space="preserve"> </ns0:t>
      </ns0:r>
      <ns0:r>
        <ns0:t xml:space="preserve">verify or audit those calculations and that teachers could not reproduce them from</ns0:t>
      </ns0:r>
      <ns0:r>
        <ns0:t xml:space="preserve"> </ns0:t>
      </ns0:r>
      <ns0:r>
        <ns0:t xml:space="preserve">the information available. In discovery and public-record responses, the district had</ns0:t>
      </ns0:r>
      <ns0:r>
        <ns0:t xml:space="preserve"> </ns0:t>
      </ns0:r>
      <ns0:r>
        <ns0:t xml:space="preserve">also taken the position that requested materials were outside its custody, control, or</ns0:t>
      </ns0:r>
      <ns0:r>
        <ns0:t xml:space="preserve"> </ns0:t>
      </ns0:r>
      <ns0:r>
        <ns0:t xml:space="preserve">possession.</ns0:t>
      </ns0:r>
      <ns0:r>
        <ns0:rPr>
          <ns0:rStyle ns0:val="FootnoteReference"/>
        </ns0:rPr>
        <ns0:footnoteReference ns0:id="390"/>
      </ns0:r>
      <ns0:bookmarkStart ns0:id="390" ns0:name="x1-31001f43"/>
      <ns0:bookmarkEnd ns0:id="390"/>
    </ns0:p>
    <ns0:p>
      <ns0:pPr>
        <ns0:pStyle ns0:val="BodyText"/>
      </ns0:pPr>
      <ns0:r>
        <ns0:t xml:space="preserve">The court denied HISD summary judgment on procedural due process while</ns0:t>
      </ns0:r>
      <ns0:r>
        <ns0:t xml:space="preserve"> </ns0:t>
      </ns0:r>
      <ns0:r>
        <ns0:t xml:space="preserve">granting judgment on the other constitutional theories. The record could support a</ns0:t>
      </ns0:r>
      <ns0:r>
        <ns0:t xml:space="preserve"> </ns0:t>
      </ns0:r>
      <ns0:r>
        <ns0:t xml:space="preserve">conclusion that teachers had no meaningful way to verify a potentially mistaken score</ns0:t>
      </ns0:r>
      <ns0:r>
        <ns0:t xml:space="preserve"> </ns0:t>
      </ns0:r>
      <ns0:r>
        <ns0:t xml:space="preserve">used in a protected employment decision. The court did not impose liability on SAS,</ns0:t>
      </ns0:r>
      <ns0:r>
        <ns0:t xml:space="preserve"> </ns0:t>
      </ns0:r>
      <ns0:r>
        <ns0:t xml:space="preserve">decide a tort claim, or order public release of source code. Its ruling preserved the</ns0:t>
      </ns0:r>
      <ns0:r>
        <ns0:t xml:space="preserve"> </ns0:t>
      </ns0:r>
      <ns0:r>
        <ns0:t xml:space="preserve">due-process claim for further proceedings and granted HISD judgment on the remaining</ns0:t>
      </ns0:r>
      <ns0:r>
        <ns0:t xml:space="preserve"> </ns0:t>
      </ns0:r>
      <ns0:r>
        <ns0:t xml:space="preserve">claims.</ns0:t>
      </ns0:r>
      <ns0:r>
        <ns0:rPr>
          <ns0:rStyle ns0:val="FootnoteReference"/>
        </ns0:rPr>
        <ns0:footnoteReference ns0:id="394"/>
      </ns0:r>
      <ns0:bookmarkStart ns0:id="394" ns0:name="x1-31004f44"/>
      <ns0:bookmarkEnd ns0:id="394"/>
    </ns0:p>
    <ns0:p>
      <ns0:pPr>
        <ns0:pStyle ns0:val="BodyText"/>
      </ns0:pPr>
      <ns0:r>
        <ns0:t xml:space="preserve">The court framed secrecy and public duty without treating either as absolute. A remedy</ns0:t>
      </ns0:r>
      <ns0:r>
        <ns0:t xml:space="preserve"> </ns0:t>
      </ns0:r>
      <ns0:r>
        <ns0:t xml:space="preserve">could restrict the government’s use of an unverifiable procedure while preserving the vendor’s trade</ns0:t>
      </ns0:r>
      <ns0:r>
        <ns0:t xml:space="preserve"> </ns0:t>
      </ns0:r>
      <ns0:r>
        <ns0:t xml:space="preserve">secret.</ns0:t>
      </ns0:r>
      <ns0:r>
        <ns0:rPr>
          <ns0:rStyle ns0:val="FootnoteReference"/>
        </ns0:rPr>
        <ns0:footnoteReference ns0:id="398"/>
      </ns0:r>
      <ns0:bookmarkStart ns0:id="397" ns0:name="x1-31007f45"/>
      <ns0:bookmarkEnd ns0:id="397"/>
      <ns0:r>
        <ns0:t xml:space="preserve"> </ns0:t>
      </ns0:r>
      <ns0:r>
        <ns0:t xml:space="preserve">A</ns0:t>
      </ns0:r>
      <ns0:r>
        <ns0:t xml:space="preserve"> </ns0:t>
      </ns0:r>
      <ns0:r>
        <ns0:t xml:space="preserve">front-door statute adds the prospective complement: define the version, input, validation, audit,</ns0:t>
      </ns0:r>
      <ns0:r>
        <ns0:t xml:space="preserve"> </ns0:t>
      </ns0:r>
      <ns0:r>
        <ns0:t xml:space="preserve">and challenge record before the public employer adopts the tool, and allocate protected access</ns0:t>
      </ns0:r>
      <ns0:r>
        <ns0:t xml:space="preserve"> </ns0:t>
      </ns0:r>
      <ns0:r>
        <ns0:t xml:space="preserve">when an employment interest is at stake. The public institution remains answerable for the process</ns0:t>
      </ns0:r>
      <ns0:r>
        <ns0:t xml:space="preserve"> </ns0:t>
      </ns0:r>
      <ns0:r>
        <ns0:t xml:space="preserve">it chose even when a supplier retains the method.</ns0:t>
      </ns0:r>
    </ns0:p>
    <ns0:p>
      <ns0:pPr>
        <ns0:pStyle ns0:val="BodyText"/>
      </ns0:pPr>
      <ns0:r>
        <ns0:t xml:space="preserve">Together,</ns0:t>
      </ns0:r>
      <ns0:r>
        <ns0:t xml:space="preserve"> </ns0:t>
      </ns0:r>
      <ns0:r>
        <ns0:rPr>
          <ns0:i/>
          <ns0:iCs/>
        </ns0:rPr>
        <ns0:t xml:space="preserve">Mobley</ns0:t>
      </ns0:r>
      <ns0:r>
        <ns0:rPr>
          <ns0:i/>
          <ns0:iCs/>
        </ns0:rPr>
        <ns0:t xml:space="preserve"> </ns0:t>
      </ns0:r>
      <ns0:r>
        <ns0:t xml:space="preserve">and</ns0:t>
      </ns0:r>
      <ns0:r>
        <ns0:t xml:space="preserve"> </ns0:t>
      </ns0:r>
      <ns0:r>
        <ns0:rPr>
          <ns0:i/>
          <ns0:iCs/>
        </ns0:rPr>
        <ns0:t xml:space="preserve">Houston Federation</ns0:t>
      </ns0:r>
      <ns0:r>
        <ns0:rPr>
          <ns0:i/>
          <ns0:iCs/>
        </ns0:rPr>
        <ns0:t xml:space="preserve"> </ns0:t>
      </ns0:r>
      <ns0:r>
        <ns0:t xml:space="preserve">show why the divided application matters. The</ns0:t>
      </ns0:r>
      <ns0:r>
        <ns0:t xml:space="preserve"> </ns0:t>
      </ns0:r>
      <ns0:r>
        <ns0:t xml:space="preserve">actor-identification problem and the deployment-record problem can arise in the same stack, yet</ns0:t>
      </ns0:r>
      <ns0:r>
        <ns0:t xml:space="preserve"> </ns0:t>
      </ns0:r>
      <ns0:r>
        <ns0:t xml:space="preserve">ownership, hosting, legal control, privilege, and trade secrecy require different answers. A</ns0:t>
      </ns0:r>
      <ns0:r>
        <ns0:t xml:space="preserve"> </ns0:t>
      </ns0:r>
      <ns0:r>
        <ns0:t xml:space="preserve">first-answer obligation makes those distinctions explicit early. It leaves the tribunal free to grant</ns0:t>
      </ns0:r>
      <ns0:r>
        <ns0:t xml:space="preserve"> </ns0:t>
      </ns0:r>
      <ns0:r>
        <ns0:t xml:space="preserve">production, deny it, protect it, or end the claim under the law that governs the particular</ns0:t>
      </ns0:r>
      <ns0:r>
        <ns0:t xml:space="preserve"> </ns0:t>
      </ns0:r>
      <ns0:r>
        <ns0:t xml:space="preserve">record.</ns0:t>
      </ns0:r>
    </ns0:p>
    <ns0:bookmarkEnd ns0:id="398"/>
    <ns0:bookmarkEnd ns0:id="399"/>
    <ns0:bookmarkEnd ns0:id="400"/>
    <ns0:bookmarkStart ns0:id="488" ns0:name="the-record-infrastructure"/>
    <ns0:p>
      <ns0:pPr>
        <ns0:pStyle ns0:val="Heading3"/>
      </ns0:pPr>
      <ns0:r>
        <ns0:t xml:space="preserve">IV</ns0:t>
      </ns0:r>
      <ns0:r>
        <ns0:t xml:space="preserve"> </ns0:t>
      </ns0:r>
      <ns0:r>
        <ns0:t xml:space="preserve"> </ns0:t>
      </ns0:r>
      <ns0:bookmarkStart ns0:id="401" ns0:name="x1-32000IV"/>
      <ns0:bookmarkEnd ns0:id="401"/>
      <ns0:r>
        <ns0:t xml:space="preserve">The Record Infrastructure</ns0:t>
      </ns0:r>
    </ns0:p>
    <ns0:p>
      <ns0:pPr>
        <ns0:pStyle ns0:val="FirstParagraph"/>
      </ns0:pPr>
      <ns0:r>
        <ns0:t xml:space="preserve">The front door can disclose only what the deployment has made observable.</ns0:t>
      </ns0:r>
      <ns0:r>
        <ns0:t xml:space="preserve"> </ns0:t>
      </ns0:r>
      <ns0:r>
        <ns0:t xml:space="preserve">Ordinary discovery reaches existing matter within a party’s possession, custody, or</ns0:t>
      </ns0:r>
      <ns0:r>
        <ns0:t xml:space="preserve"> </ns0:t>
      </ns0:r>
      <ns0:r>
        <ns0:t xml:space="preserve">control.</ns0:t>
      </ns0:r>
      <ns0:r>
        <ns0:rPr>
          <ns0:rStyle ns0:val="FootnoteReference"/>
        </ns0:rPr>
        <ns0:footnoteReference ns0:id="405"/>
      </ns0:r>
      <ns0:bookmarkStart ns0:id="405" ns0:name="x1-32001f46"/>
      <ns0:bookmarkEnd ns0:id="405"/>
      <ns0:r>
        <ns0:t xml:space="preserve"> </ns0:t>
      </ns0:r>
      <ns0:r>
        <ns0:t xml:space="preserve">It cannot recreate an unrecorded version, an undocumented release decision, a complaint that</ns0:t>
      </ns0:r>
      <ns0:r>
        <ns0:t xml:space="preserve"> </ns0:t>
      </ns0:r>
      <ns0:r>
        <ns0:t xml:space="preserve">reached no assigned owner, or stop authority that no one possessed. The deployment-record duty</ns0:t>
      </ns0:r>
      <ns0:r>
        <ns0:t xml:space="preserve"> </ns0:t>
      </ns0:r>
      <ns0:r>
        <ns0:t xml:space="preserve">therefore begins as operating infrastructure and later becomes litigation infrastructure.</ns0:t>
      </ns0:r>
    </ns0:p>
    <ns0:p>
      <ns0:pPr>
        <ns0:pStyle ns0:val="BodyText"/>
      </ns0:pPr>
      <ns0:r>
        <ns0:t xml:space="preserve">This Part turns that premise into an administrable record. Sections A through C define the</ns0:t>
      </ns0:r>
      <ns0:r>
        <ns0:t xml:space="preserve"> </ns0:t>
      </ns0:r>
      <ns0:r>
        <ns0:t xml:space="preserve">control sheet, interface, and separate identity, feedback, and event clocks. Section D uses FAA,</ns0:t>
      </ns0:r>
      <ns0:r>
        <ns0:t xml:space="preserve"> </ns0:t>
      </ns0:r>
      <ns0:r>
        <ns0:t xml:space="preserve">FTC, and FCRA comparators to test feasibility. Section E answers the risk that recordkeeping can</ns0:t>
      </ns0:r>
      <ns0:r>
        <ns0:t xml:space="preserve"> </ns0:t>
      </ns0:r>
      <ns0:r>
        <ns0:t xml:space="preserve">become surveillance or organizational theater. Section F protects the reporting needed to keep the</ns0:t>
      </ns0:r>
      <ns0:r>
        <ns0:t xml:space="preserve"> </ns0:t>
      </ns0:r>
      <ns0:r>
        <ns0:t xml:space="preserve">record accurate, and Section G explains why the same infrastructure supplies defenses as well as</ns0:t>
      </ns0:r>
      <ns0:r>
        <ns0:t xml:space="preserve"> </ns0:t>
      </ns0:r>
      <ns0:r>
        <ns0:t xml:space="preserve">claims.</ns0:t>
      </ns0:r>
    </ns0:p>
    <ns0:bookmarkStart ns0:id="414" ns0:name="X96e6df3ce2b0fe9ae370cd78843786deb0393c7"/>
    <ns0:p>
      <ns0:pPr>
        <ns0:pStyle ns0:val="Heading4"/>
      </ns0:pPr>
      <ns0:r>
        <ns0:t xml:space="preserve">A</ns0:t>
      </ns0:r>
      <ns0:r>
        <ns0:t xml:space="preserve"> </ns0:t>
      </ns0:r>
      <ns0:r>
        <ns0:t xml:space="preserve"> </ns0:t>
      </ns0:r>
      <ns0:bookmarkStart ns0:id="406" ns0:name="x1-33000A"/>
      <ns0:bookmarkEnd ns0:id="406"/>
      <ns0:r>
        <ns0:t xml:space="preserve">The Charter Is the Deployment Record’s Control Sheet</ns0:t>
      </ns0:r>
    </ns0:p>
    <ns0:p>
      <ns0:pPr>
        <ns0:pStyle ns0:val="FirstParagraph"/>
      </ns0:pPr>
      <ns0:r>
        <ns0:t xml:space="preserve">For a designated high-impact deployment, the operator should adopt a written responsibility</ns0:t>
      </ns0:r>
      <ns0:r>
        <ns0:t xml:space="preserve"> </ns0:t>
      </ns0:r>
      <ns0:r>
        <ns0:t xml:space="preserve">charter before release. The name can suggest a broad ethics code; its legal function here is</ns0:t>
      </ns0:r>
      <ns0:r>
        <ns0:t xml:space="preserve"> </ns0:t>
      </ns0:r>
      <ns0:r>
        <ns0:t xml:space="preserve">narrower. It is the control sheet for a named deployment, version family, operating context, and</ns0:t>
      </ns0:r>
      <ns0:r>
        <ns0:t xml:space="preserve"> </ns0:t>
      </ns0:r>
      <ns0:r>
        <ns0:t xml:space="preserve">risk category. It links technical identifiers to organizational authority and establishes where</ns0:t>
      </ns0:r>
      <ns0:r>
        <ns0:t xml:space="preserve"> </ns0:t>
      </ns0:r>
      <ns0:r>
        <ns0:t xml:space="preserve">continuing records will be kept.</ns0:t>
      </ns0:r>
    </ns0:p>
    <ns0:p>
      <ns0:pPr>
        <ns0:pStyle ns0:val="BodyText"/>
      </ns0:pPr>
      <ns0:bookmarkStart ns0:id="407" ns0:name="x1-33001r4"/>
      <ns0:bookmarkEnd ns0:id="407"/>
    </ns0:p>
    <ns0:bookmarkStart ns0:id="408" ns0:name="TBL-8"/>
    <ns0:p>
      <ns0:pPr>
        <ns0:pStyle ns0:val="TableCaption"/>
      </ns0:pPr>
      <ns0:r>
        <ns0:t xml:space="preserve">Table 4: </ns0:t>
      </ns0:r>
      <ns0:r>
        <ns0:t xml:space="preserve">Minimum Deployment-Record Infrastructure</ns0:t>
      </ns0:r>
    </ns0:p>
    <ns0:tbl>
      <ns0:tblPr>
        <ns0:tblStyle ns0:val="Table"/>
        <ns0:tblW ns0:type="dxa" ns0:w="7920"/>
        <ns0:jc ns0:val="left"/>
        <ns0:tblLayout ns0:type="fixed"/>
        <ns0:tblLook ns0:firstRow="0" ns0:lastRow="0" ns0:firstColumn="0" ns0:lastColumn="0" ns0:noHBand="0" ns0:noVBand="0" ns0:val="0000"/>
        <ns0:tblCaption ns0:val="Table 4: Minimum Deployment-Record Infrastructure"/>
      </ns0:tblPr>
      <ns0:tblGrid>
        <ns0:gridCol ns0:w="2640"/>
        <ns0:gridCol ns0:w="2640"/>
        <ns0:gridCol ns0:w="2640"/>
      </ns0:tblGrid>
      <ns0:tr>
        <ns0:trPr>
          <ns0:cantSplit/>
          <ns0:tblHeader/>
        </ns0:trPr>
        <ns0:tc>
          <ns0:tcPr>
            <ns0:tcW ns0:type="dxa" ns0:w="7920"/>
            <ns0:gridSpan ns0:val="3"/>
            <ns0:tcBorders>
              <ns0:bottom ns0:val="single" ns0:sz="8" ns0:space="0" ns0:color="000000"/>
            </ns0:tcBorders>
          </ns0:tcPr>
          <ns0:p>
            <ns0:pPr>
              <ns0:pStyle ns0:val="Compact"/>
              <ns0:jc ns0:val="left"/>
            </ns0:pPr>
          </ns0:p>
        </ns0:tc>
      </ns0:tr>
      <ns0:tr>
        <ns0:trPr>
          <ns0:cantSplit/>
          <ns0:tblHeader/>
        </ns0:trPr>
        <ns0:tc>
          <ns0:tcPr>
            <ns0:tcW ns0:type="dxa" ns0:w="2640"/>
            <ns0:tcBorders>
              <ns0:bottom ns0:val="single" ns0:sz="8" ns0:space="0" ns0:color="000000"/>
            </ns0:tcBorders>
          </ns0:tcPr>
          <ns0:p>
            <ns0:pPr>
              <ns0:jc ns0:val="left"/>
            </ns0:pPr>
            <ns0:r>
              <ns0:t xml:space="preserve">Component</ns0:t>
            </ns0:r>
          </ns0:p>
        </ns0:tc>
        <ns0:tc>
          <ns0:tcPr>
            <ns0:tcW ns0:type="dxa" ns0:w="2640"/>
            <ns0:tcBorders>
              <ns0:bottom ns0:val="single" ns0:sz="8" ns0:space="0" ns0:color="000000"/>
            </ns0:tcBorders>
          </ns0:tcPr>
          <ns0:p>
            <ns0:pPr>
              <ns0:jc ns0:val="left"/>
            </ns0:pPr>
            <ns0:r>
              <ns0:t xml:space="preserve">Required</ns0:t>
            </ns0:r>
            <ns0:r>
              <ns0:t xml:space="preserve"> </ns0:t>
            </ns0:r>
            <ns0:r>
              <ns0:t xml:space="preserve">allocation</ns0:t>
            </ns0:r>
          </ns0:p>
        </ns0:tc>
        <ns0:tc>
          <ns0:tcPr>
            <ns0:tcW ns0:type="dxa" ns0:w="2640"/>
            <ns0:tcBorders>
              <ns0:bottom ns0:val="single" ns0:sz="8" ns0:space="0" ns0:color="000000"/>
            </ns0:tcBorders>
          </ns0:tcPr>
          <ns0:p>
            <ns0:pPr>
              <ns0:jc ns0:val="left"/>
            </ns0:pPr>
            <ns0:r>
              <ns0:t xml:space="preserve">Front-door</ns0:t>
            </ns0:r>
            <ns0:r>
              <ns0:t xml:space="preserve"> </ns0:t>
            </ns0:r>
            <ns0:r>
              <ns0:t xml:space="preserve">function</ns0:t>
            </ns0:r>
          </ns0:p>
        </ns0:tc>
      </ns0:tr>
      <ns0:tr>
        <ns0:trPr>
          <ns0:cantSplit/>
        </ns0:trPr>
        <ns0:tc>
          <ns0:tcPr>
            <ns0:tcW ns0:type="dxa" ns0:w="7920"/>
            <ns0:gridSpan ns0:val="3"/>
          </ns0:tcPr>
          <ns0:p>
            <ns0:pPr>
              <ns0:pStyle ns0:val="Compact"/>
              <ns0:jc ns0:val="left"/>
            </ns0:pPr>
          </ns0:p>
        </ns0:tc>
      </ns0:tr>
      <ns0:tr>
        <ns0:trPr>
          <ns0:cantSplit/>
        </ns0:trPr>
        <ns0:tc>
          <ns0:tcPr>
            <ns0:tcW ns0:type="dxa" ns0:w="2640"/>
          </ns0:tcPr>
          <ns0:p>
            <ns0:pPr>
              <ns0:pStyle ns0:val="Compact"/>
              <ns0:jc ns0:val="left"/>
            </ns0:pPr>
          </ns0:p>
        </ns0:tc>
        <ns0:tc>
          <ns0:tcPr>
            <ns0:tcW ns0:type="dxa" ns0:w="2640"/>
          </ns0:tcPr>
          <ns0:p>
            <ns0:pPr>
              <ns0:pStyle ns0:val="Compact"/>
              <ns0:jc ns0:val="left"/>
            </ns0:pPr>
          </ns0:p>
        </ns0:tc>
        <ns0:tc>
          <ns0:tcPr>
            <ns0:tcW ns0:type="dxa" ns0:w="2640"/>
          </ns0:tcPr>
          <ns0:p>
            <ns0:pPr>
              <ns0:pStyle ns0:val="Compact"/>
              <ns0:jc ns0:val="left"/>
            </ns0:pPr>
          </ns0:p>
        </ns0:tc>
      </ns0:tr>
      <ns0:tr>
        <ns0:trPr>
          <ns0:cantSplit/>
        </ns0:trPr>
        <ns0:tc>
          <ns0:tcPr>
            <ns0:tcW ns0:type="dxa" ns0:w="2640"/>
          </ns0:tcPr>
          <ns0:p>
            <ns0:pPr>
              <ns0:jc ns0:val="left"/>
            </ns0:pPr>
            <ns0:r>
              <ns0:t xml:space="preserve">Identity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scope</ns0:t>
            </ns0:r>
          </ns0:p>
        </ns0:tc>
        <ns0:tc>
          <ns0:tcPr>
            <ns0:tcW ns0:type="dxa" ns0:w="2640"/>
          </ns0:tcPr>
          <ns0:p>
            <ns0:pPr>
              <ns0:jc ns0:val="left"/>
            </ns0:pPr>
            <ns0:r>
              <ns0:t xml:space="preserve">Application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model</ns0:t>
            </ns0:r>
            <ns0:r>
              <ns0:t xml:space="preserve"> </ns0:t>
            </ns0:r>
            <ns0:r>
              <ns0:t xml:space="preserve">versions;</ns0:t>
            </ns0:r>
            <ns0:r>
              <ns0:t xml:space="preserve"> </ns0:t>
            </ns0:r>
            <ns0:r>
              <ns0:t xml:space="preserve">purpose;</ns0:t>
            </ns0:r>
            <ns0:r>
              <ns0:t xml:space="preserve"> </ns0:t>
            </ns0:r>
            <ns0:r>
              <ns0:t xml:space="preserve">affected</ns0:t>
            </ns0:r>
            <ns0:r>
              <ns0:t xml:space="preserve"> </ns0:t>
            </ns0:r>
            <ns0:r>
              <ns0:t xml:space="preserve">population;</ns0:t>
            </ns0:r>
            <ns0:r>
              <ns0:t xml:space="preserve"> </ns0:t>
            </ns0:r>
            <ns0:r>
              <ns0:t xml:space="preserve">data;</ns0:t>
            </ns0:r>
            <ns0:r>
              <ns0:t xml:space="preserve"> </ns0:t>
            </ns0:r>
            <ns0:r>
              <ns0:t xml:space="preserve">retrieval;</ns0:t>
            </ns0:r>
            <ns0:r>
              <ns0:t xml:space="preserve"> </ns0:t>
            </ns0:r>
            <ns0:r>
              <ns0:t xml:space="preserve">tools;</ns0:t>
            </ns0:r>
            <ns0:r>
              <ns0:t xml:space="preserve"> </ns0:t>
            </ns0:r>
            <ns0:r>
              <ns0:t xml:space="preserve">credentials;</ns0:t>
            </ns0:r>
            <ns0:r>
              <ns0:t xml:space="preserve"> </ns0:t>
            </ns0:r>
            <ns0:r>
              <ns0:t xml:space="preserve">vendors;</ns0:t>
            </ns0:r>
            <ns0:r>
              <ns0:t xml:space="preserve"> </ns0:t>
            </ns0:r>
            <ns0:r>
              <ns0:t xml:space="preserve">limits;</ns0:t>
            </ns0:r>
            <ns0:r>
              <ns0:t xml:space="preserve"> </ns0:t>
            </ns0:r>
            <ns0:r>
              <ns0:t xml:space="preserve">material-change</ns0:t>
            </ns0:r>
            <ns0:r>
              <ns0:t xml:space="preserve"> </ns0:t>
            </ns0:r>
            <ns0:r>
              <ns0:t xml:space="preserve">threshold.</ns0:t>
            </ns0:r>
          </ns0:p>
        </ns0:tc>
        <ns0:tc>
          <ns0:tcPr>
            <ns0:tcW ns0:type="dxa" ns0:w="2640"/>
          </ns0:tcPr>
          <ns0:p>
            <ns0:pPr>
              <ns0:jc ns0:val="left"/>
            </ns0:pPr>
            <ns0:r>
              <ns0:t xml:space="preserve">Defines</ns0:t>
            </ns0:r>
            <ns0:r>
              <ns0:t xml:space="preserve"> </ns0:t>
            </ns0:r>
            <ns0:r>
              <ns0:t xml:space="preserve">the</ns0:t>
            </ns0:r>
            <ns0:r>
              <ns0:t xml:space="preserve"> </ns0:t>
            </ns0:r>
            <ns0:r>
              <ns0:t xml:space="preserve">deployment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distinguishes</ns0:t>
            </ns0:r>
            <ns0:r>
              <ns0:t xml:space="preserve"> </ns0:t>
            </ns0:r>
            <ns0:r>
              <ns0:t xml:space="preserve">versions,</ns0:t>
            </ns0:r>
            <ns0:r>
              <ns0:t xml:space="preserve"> </ns0:t>
            </ns0:r>
            <ns0:r>
              <ns0:t xml:space="preserve">component</ns0:t>
            </ns0:r>
            <ns0:r>
              <ns0:t xml:space="preserve"> </ns0:t>
            </ns0:r>
            <ns0:r>
              <ns0:t xml:space="preserve">changes,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independent</ns0:t>
            </ns0:r>
            <ns0:r>
              <ns0:t xml:space="preserve"> </ns0:t>
            </ns0:r>
            <ns0:r>
              <ns0:t xml:space="preserve">modification.</ns0:t>
            </ns0:r>
          </ns0:p>
        </ns0:tc>
      </ns0:tr>
      <ns0:tr>
        <ns0:trPr>
          <ns0:cantSplit/>
        </ns0:trPr>
        <ns0:tc>
          <ns0:tcPr>
            <ns0:tcW ns0:type="dxa" ns0:w="2640"/>
          </ns0:tcPr>
          <ns0:p>
            <ns0:pPr>
              <ns0:jc ns0:val="left"/>
            </ns0:pPr>
            <ns0:r>
              <ns0:t xml:space="preserve">Risk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release</ns0:t>
            </ns0:r>
            <ns0:r>
              <ns0:t xml:space="preserve"> </ns0:t>
            </ns0:r>
            <ns0:r>
              <ns0:t xml:space="preserve">owners</ns0:t>
            </ns0:r>
          </ns0:p>
        </ns0:tc>
        <ns0:tc>
          <ns0:tcPr>
            <ns0:tcW ns0:type="dxa" ns0:w="2640"/>
          </ns0:tcPr>
          <ns0:p>
            <ns0:pPr>
              <ns0:jc ns0:val="left"/>
            </ns0:pPr>
            <ns0:r>
              <ns0:t xml:space="preserve">Responsible</ns0:t>
            </ns0:r>
            <ns0:r>
              <ns0:t xml:space="preserve"> </ns0:t>
            </ns0:r>
            <ns0:r>
              <ns0:t xml:space="preserve">executive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operational</ns0:t>
            </ns0:r>
            <ns0:r>
              <ns0:t xml:space="preserve"> </ns0:t>
            </ns0:r>
            <ns0:r>
              <ns0:t xml:space="preserve">owner</ns0:t>
            </ns0:r>
            <ns0:r>
              <ns0:t xml:space="preserve"> </ns0:t>
            </ns0:r>
            <ns0:r>
              <ns0:t xml:space="preserve">for</ns0:t>
            </ns0:r>
            <ns0:r>
              <ns0:t xml:space="preserve"> </ns0:t>
            </ns0:r>
            <ns0:r>
              <ns0:t xml:space="preserve">each</ns0:t>
            </ns0:r>
            <ns0:r>
              <ns0:t xml:space="preserve"> </ns0:t>
            </ns0:r>
            <ns0:r>
              <ns0:t xml:space="preserve">designated</ns0:t>
            </ns0:r>
            <ns0:r>
              <ns0:t xml:space="preserve"> </ns0:t>
            </ns0:r>
            <ns0:r>
              <ns0:t xml:space="preserve">risk;</ns0:t>
            </ns0:r>
            <ns0:r>
              <ns0:t xml:space="preserve"> </ns0:t>
            </ns0:r>
            <ns0:r>
              <ns0:t xml:space="preserve">approvers;</ns0:t>
            </ns0:r>
            <ns0:r>
              <ns0:t xml:space="preserve"> </ns0:t>
            </ns0:r>
            <ns0:r>
              <ns0:t xml:space="preserve">authority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resources;</ns0:t>
            </ns0:r>
            <ns0:r>
              <ns0:t xml:space="preserve"> </ns0:t>
            </ns0:r>
            <ns0:r>
              <ns0:t xml:space="preserve">conditions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review</ns0:t>
            </ns0:r>
            <ns0:r>
              <ns0:t xml:space="preserve"> </ns0:t>
            </ns0:r>
            <ns0:r>
              <ns0:t xml:space="preserve">date.</ns0:t>
            </ns0:r>
          </ns0:p>
        </ns0:tc>
        <ns0:tc>
          <ns0:tcPr>
            <ns0:tcW ns0:type="dxa" ns0:w="2640"/>
          </ns0:tcPr>
          <ns0:p>
            <ns0:pPr>
              <ns0:jc ns0:val="left"/>
            </ns0:pPr>
            <ns0:r>
              <ns0:t xml:space="preserve">Identifies</ns0:t>
            </ns0:r>
            <ns0:r>
              <ns0:t xml:space="preserve"> </ns0:t>
            </ns0:r>
            <ns0:r>
              <ns0:t xml:space="preserve">who</ns0:t>
            </ns0:r>
            <ns0:r>
              <ns0:t xml:space="preserve"> </ns0:t>
            </ns0:r>
            <ns0:r>
              <ns0:t xml:space="preserve">receives</ns0:t>
            </ns0:r>
            <ns0:r>
              <ns0:t xml:space="preserve"> </ns0:t>
            </ns0:r>
            <ns0:r>
              <ns0:t xml:space="preserve">information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who</ns0:t>
            </ns0:r>
            <ns0:r>
              <ns0:t xml:space="preserve"> </ns0:t>
            </ns0:r>
            <ns0:r>
              <ns0:t xml:space="preserve">can</ns0:t>
            </ns0:r>
            <ns0:r>
              <ns0:t xml:space="preserve"> </ns0:t>
            </ns0:r>
            <ns0:r>
              <ns0:t xml:space="preserve">commission</ns0:t>
            </ns0:r>
            <ns0:r>
              <ns0:t xml:space="preserve"> </ns0:t>
            </ns0:r>
            <ns0:r>
              <ns0:t xml:space="preserve">mitigation</ns0:t>
            </ns0:r>
            <ns0:r>
              <ns0:t xml:space="preserve"> </ns0:t>
            </ns0:r>
            <ns0:r>
              <ns0:t xml:space="preserve">or</ns0:t>
            </ns0:r>
            <ns0:r>
              <ns0:t xml:space="preserve"> </ns0:t>
            </ns0:r>
            <ns0:r>
              <ns0:t xml:space="preserve">withhold</ns0:t>
            </ns0:r>
            <ns0:r>
              <ns0:t xml:space="preserve"> </ns0:t>
            </ns0:r>
            <ns0:r>
              <ns0:t xml:space="preserve">release.</ns0:t>
            </ns0:r>
          </ns0:p>
        </ns0:tc>
      </ns0:tr>
      <ns0:tr>
        <ns0:trPr>
          <ns0:cantSplit/>
        </ns0:trPr>
        <ns0:tc>
          <ns0:tcPr>
            <ns0:tcW ns0:type="dxa" ns0:w="2640"/>
          </ns0:tcPr>
          <ns0:p>
            <ns0:pPr>
              <ns0:jc ns0:val="left"/>
            </ns0:pPr>
            <ns0:r>
              <ns0:t xml:space="preserve">Evaluation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decision</ns0:t>
            </ns0:r>
            <ns0:r>
              <ns0:t xml:space="preserve"> </ns0:t>
            </ns0:r>
            <ns0:r>
              <ns0:t xml:space="preserve">record</ns0:t>
            </ns0:r>
          </ns0:p>
        </ns0:tc>
        <ns0:tc>
          <ns0:tcPr>
            <ns0:tcW ns0:type="dxa" ns0:w="2640"/>
          </ns0:tcPr>
          <ns0:p>
            <ns0:pPr>
              <ns0:jc ns0:val="left"/>
            </ns0:pPr>
            <ns0:r>
              <ns0:t xml:space="preserve">Protocols,</ns0:t>
            </ns0:r>
            <ns0:r>
              <ns0:t xml:space="preserve"> </ns0:t>
            </ns0:r>
            <ns0:r>
              <ns0:t xml:space="preserve">populations,</ns0:t>
            </ns0:r>
            <ns0:r>
              <ns0:t xml:space="preserve"> </ns0:t>
            </ns0:r>
            <ns0:r>
              <ns0:t xml:space="preserve">thresholds,</ns0:t>
            </ns0:r>
            <ns0:r>
              <ns0:t xml:space="preserve"> </ns0:t>
            </ns0:r>
            <ns0:r>
              <ns0:t xml:space="preserve">results,</ns0:t>
            </ns0:r>
            <ns0:r>
              <ns0:t xml:space="preserve"> </ns0:t>
            </ns0:r>
            <ns0:r>
              <ns0:t xml:space="preserve">exceptions,</ns0:t>
            </ns0:r>
            <ns0:r>
              <ns0:t xml:space="preserve"> </ns0:t>
            </ns0:r>
            <ns0:r>
              <ns0:t xml:space="preserve">rejected</ns0:t>
            </ns0:r>
            <ns0:r>
              <ns0:t xml:space="preserve"> </ns0:t>
            </ns0:r>
            <ns0:r>
              <ns0:t xml:space="preserve">or</ns0:t>
            </ns0:r>
            <ns0:r>
              <ns0:t xml:space="preserve"> </ns0:t>
            </ns0:r>
            <ns0:r>
              <ns0:t xml:space="preserve">conditional</ns0:t>
            </ns0:r>
            <ns0:r>
              <ns0:t xml:space="preserve"> </ns0:t>
            </ns0:r>
            <ns0:r>
              <ns0:t xml:space="preserve">mitigations,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unresolved</ns0:t>
            </ns0:r>
            <ns0:r>
              <ns0:t xml:space="preserve"> </ns0:t>
            </ns0:r>
            <ns0:r>
              <ns0:t xml:space="preserve">risk</ns0:t>
            </ns0:r>
            <ns0:r>
              <ns0:t xml:space="preserve"> </ns0:t>
            </ns0:r>
            <ns0:r>
              <ns0:t xml:space="preserve">decisions.</ns0:t>
            </ns0:r>
          </ns0:p>
        </ns0:tc>
        <ns0:tc>
          <ns0:tcPr>
            <ns0:tcW ns0:type="dxa" ns0:w="2640"/>
          </ns0:tcPr>
          <ns0:p>
            <ns0:pPr>
              <ns0:jc ns0:val="left"/>
            </ns0:pPr>
            <ns0:r>
              <ns0:t xml:space="preserve">Records</ns0:t>
            </ns0:r>
            <ns0:r>
              <ns0:t xml:space="preserve"> </ns0:t>
            </ns0:r>
            <ns0:r>
              <ns0:t xml:space="preserve">the</ns0:t>
            </ns0:r>
            <ns0:r>
              <ns0:t xml:space="preserve"> </ns0:t>
            </ns0:r>
            <ns0:r>
              <ns0:t xml:space="preserve">basis</ns0:t>
            </ns0:r>
            <ns0:r>
              <ns0:t xml:space="preserve"> </ns0:t>
            </ns0:r>
            <ns0:r>
              <ns0:t xml:space="preserve">for</ns0:t>
            </ns0:r>
            <ns0:r>
              <ns0:t xml:space="preserve"> </ns0:t>
            </ns0:r>
            <ns0:r>
              <ns0:t xml:space="preserve">authorization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supplies</ns0:t>
            </ns0:r>
            <ns0:r>
              <ns0:t xml:space="preserve"> </ns0:t>
            </ns0:r>
            <ns0:r>
              <ns0:t xml:space="preserve">both</ns0:t>
            </ns0:r>
            <ns0:r>
              <ns0:t xml:space="preserve"> </ns0:t>
            </ns0:r>
            <ns0:r>
              <ns0:t xml:space="preserve">knowledge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reasonableness</ns0:t>
            </ns0:r>
            <ns0:r>
              <ns0:t xml:space="preserve"> </ns0:t>
            </ns0:r>
            <ns0:r>
              <ns0:t xml:space="preserve">evidence.</ns0:t>
            </ns0:r>
          </ns0:p>
        </ns0:tc>
      </ns0:tr>
      <ns0:tr>
        <ns0:trPr>
          <ns0:cantSplit/>
        </ns0:trPr>
        <ns0:tc>
          <ns0:tcPr>
            <ns0:tcW ns0:type="dxa" ns0:w="2640"/>
          </ns0:tcPr>
          <ns0:p>
            <ns0:pPr>
              <ns0:jc ns0:val="left"/>
            </ns0:pPr>
            <ns0:r>
              <ns0:t xml:space="preserve">Feedback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escalation</ns0:t>
            </ns0:r>
          </ns0:p>
        </ns0:tc>
        <ns0:tc>
          <ns0:tcPr>
            <ns0:tcW ns0:type="dxa" ns0:w="2640"/>
          </ns0:tcPr>
          <ns0:p>
            <ns0:pPr>
              <ns0:jc ns0:val="left"/>
            </ns0:pPr>
            <ns0:r>
              <ns0:t xml:space="preserve">Complaint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incident</ns0:t>
            </ns0:r>
            <ns0:r>
              <ns0:t xml:space="preserve"> </ns0:t>
            </ns0:r>
            <ns0:r>
              <ns0:t xml:space="preserve">categories;</ns0:t>
            </ns0:r>
            <ns0:r>
              <ns0:t xml:space="preserve"> </ns0:t>
            </ns0:r>
            <ns0:r>
              <ns0:t xml:space="preserve">monitoring;</ns0:t>
            </ns0:r>
            <ns0:r>
              <ns0:t xml:space="preserve"> </ns0:t>
            </ns0:r>
            <ns0:r>
              <ns0:t xml:space="preserve">protected</ns0:t>
            </ns0:r>
            <ns0:r>
              <ns0:t xml:space="preserve"> </ns0:t>
            </ns0:r>
            <ns0:r>
              <ns0:t xml:space="preserve">escalation;</ns0:t>
            </ns0:r>
            <ns0:r>
              <ns0:t xml:space="preserve"> </ns0:t>
            </ns0:r>
            <ns0:r>
              <ns0:t xml:space="preserve">recipient;</ns0:t>
            </ns0:r>
            <ns0:r>
              <ns0:t xml:space="preserve"> </ns0:t>
            </ns0:r>
            <ns0:r>
              <ns0:t xml:space="preserve">response</ns0:t>
            </ns0:r>
            <ns0:r>
              <ns0:t xml:space="preserve"> </ns0:t>
            </ns0:r>
            <ns0:r>
              <ns0:t xml:space="preserve">deadline;</ns0:t>
            </ns0:r>
            <ns0:r>
              <ns0:t xml:space="preserve"> </ns0:t>
            </ns0:r>
            <ns0:r>
              <ns0:t xml:space="preserve">decision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corrective</ns0:t>
            </ns0:r>
            <ns0:r>
              <ns0:t xml:space="preserve"> </ns0:t>
            </ns0:r>
            <ns0:r>
              <ns0:t xml:space="preserve">action.</ns0:t>
            </ns0:r>
          </ns0:p>
        </ns0:tc>
        <ns0:tc>
          <ns0:tcPr>
            <ns0:tcW ns0:type="dxa" ns0:w="2640"/>
          </ns0:tcPr>
          <ns0:p>
            <ns0:pPr>
              <ns0:jc ns0:val="left"/>
            </ns0:pPr>
            <ns0:r>
              <ns0:t xml:space="preserve">Preserves</ns0:t>
            </ns0:r>
            <ns0:r>
              <ns0:t xml:space="preserve"> </ns0:t>
            </ns0:r>
            <ns0:r>
              <ns0:t xml:space="preserve">notice,</ns0:t>
            </ns0:r>
            <ns0:r>
              <ns0:t xml:space="preserve"> </ns0:t>
            </ns0:r>
            <ns0:r>
              <ns0:t xml:space="preserve">separates</ns0:t>
            </ns0:r>
            <ns0:r>
              <ns0:t xml:space="preserve"> </ns0:t>
            </ns0:r>
            <ns0:r>
              <ns0:t xml:space="preserve">report</ns0:t>
            </ns0:r>
            <ns0:r>
              <ns0:t xml:space="preserve"> </ns0:t>
            </ns0:r>
            <ns0:r>
              <ns0:t xml:space="preserve">from</ns0:t>
            </ns0:r>
            <ns0:r>
              <ns0:t xml:space="preserve"> </ns0:t>
            </ns0:r>
            <ns0:r>
              <ns0:t xml:space="preserve">response,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makes</ns0:t>
            </ns0:r>
            <ns0:r>
              <ns0:t xml:space="preserve"> </ns0:t>
            </ns0:r>
            <ns0:r>
              <ns0:t xml:space="preserve">continuing</ns0:t>
            </ns0:r>
            <ns0:r>
              <ns0:t xml:space="preserve"> </ns0:t>
            </ns0:r>
            <ns0:r>
              <ns0:t xml:space="preserve">control</ns0:t>
            </ns0:r>
            <ns0:r>
              <ns0:t xml:space="preserve"> </ns0:t>
            </ns0:r>
            <ns0:r>
              <ns0:t xml:space="preserve">observable.</ns0:t>
            </ns0:r>
          </ns0:p>
        </ns0:tc>
      </ns0:tr>
      <ns0:tr>
        <ns0:trPr>
          <ns0:cantSplit/>
        </ns0:trPr>
        <ns0:tc>
          <ns0:tcPr>
            <ns0:tcW ns0:type="dxa" ns0:w="2640"/>
          </ns0:tcPr>
          <ns0:p>
            <ns0:pPr>
              <ns0:jc ns0:val="left"/>
            </ns0:pPr>
            <ns0:r>
              <ns0:t xml:space="preserve">Intervention</ns0:t>
            </ns0:r>
          </ns0:p>
        </ns0:tc>
        <ns0:tc>
          <ns0:tcPr>
            <ns0:tcW ns0:type="dxa" ns0:w="2640"/>
          </ns0:tcPr>
          <ns0:p>
            <ns0:pPr>
              <ns0:jc ns0:val="left"/>
            </ns0:pPr>
            <ns0:r>
              <ns0:t xml:space="preserve">Actors</ns0:t>
            </ns0:r>
            <ns0:r>
              <ns0:t xml:space="preserve"> </ns0:t>
            </ns0:r>
            <ns0:r>
              <ns0:t xml:space="preserve">authorized</ns0:t>
            </ns0:r>
            <ns0:r>
              <ns0:t xml:space="preserve"> </ns0:t>
            </ns0:r>
            <ns0:r>
              <ns0:t xml:space="preserve">to</ns0:t>
            </ns0:r>
            <ns0:r>
              <ns0:t xml:space="preserve"> </ns0:t>
            </ns0:r>
            <ns0:r>
              <ns0:t xml:space="preserve">restrict,</ns0:t>
            </ns0:r>
            <ns0:r>
              <ns0:t xml:space="preserve"> </ns0:t>
            </ns0:r>
            <ns0:r>
              <ns0:t xml:space="preserve">revoke</ns0:t>
            </ns0:r>
            <ns0:r>
              <ns0:t xml:space="preserve"> </ns0:t>
            </ns0:r>
            <ns0:r>
              <ns0:t xml:space="preserve">credentials,</ns0:t>
            </ns0:r>
            <ns0:r>
              <ns0:t xml:space="preserve"> </ns0:t>
            </ns0:r>
            <ns0:r>
              <ns0:t xml:space="preserve">update,</ns0:t>
            </ns0:r>
            <ns0:r>
              <ns0:t xml:space="preserve"> </ns0:t>
            </ns0:r>
            <ns0:r>
              <ns0:t xml:space="preserve">pause,</ns0:t>
            </ns0:r>
            <ns0:r>
              <ns0:t xml:space="preserve"> </ns0:t>
            </ns0:r>
            <ns0:r>
              <ns0:t xml:space="preserve">roll</ns0:t>
            </ns0:r>
            <ns0:r>
              <ns0:t xml:space="preserve"> </ns0:t>
            </ns0:r>
            <ns0:r>
              <ns0:t xml:space="preserve">back,</ns0:t>
            </ns0:r>
            <ns0:r>
              <ns0:t xml:space="preserve"> </ns0:t>
            </ns0:r>
            <ns0:r>
              <ns0:t xml:space="preserve">or</ns0:t>
            </ns0:r>
            <ns0:r>
              <ns0:t xml:space="preserve"> </ns0:t>
            </ns0:r>
            <ns0:r>
              <ns0:t xml:space="preserve">terminate;</ns0:t>
            </ns0:r>
            <ns0:r>
              <ns0:t xml:space="preserve"> </ns0:t>
            </ns0:r>
            <ns0:r>
              <ns0:t xml:space="preserve">triggers,</ns0:t>
            </ns0:r>
            <ns0:r>
              <ns0:t xml:space="preserve"> </ns0:t>
            </ns0:r>
            <ns0:r>
              <ns0:t xml:space="preserve">response</ns0:t>
            </ns0:r>
            <ns0:r>
              <ns0:t xml:space="preserve"> </ns0:t>
            </ns0:r>
            <ns0:r>
              <ns0:t xml:space="preserve">times,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tested</ns0:t>
            </ns0:r>
            <ns0:r>
              <ns0:t xml:space="preserve"> </ns0:t>
            </ns0:r>
            <ns0:r>
              <ns0:t xml:space="preserve">procedures.</ns0:t>
            </ns0:r>
          </ns0:p>
        </ns0:tc>
        <ns0:tc>
          <ns0:tcPr>
            <ns0:tcW ns0:type="dxa" ns0:w="2640"/>
          </ns0:tcPr>
          <ns0:p>
            <ns0:pPr>
              <ns0:jc ns0:val="left"/>
            </ns0:pPr>
            <ns0:r>
              <ns0:t xml:space="preserve">Establishes</ns0:t>
            </ns0:r>
            <ns0:r>
              <ns0:t xml:space="preserve"> </ns0:t>
            </ns0:r>
            <ns0:r>
              <ns0:t xml:space="preserve">practical</ns0:t>
            </ns0:r>
            <ns0:r>
              <ns0:t xml:space="preserve"> </ns0:t>
            </ns0:r>
            <ns0:r>
              <ns0:t xml:space="preserve">authority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whether</ns0:t>
            </ns0:r>
            <ns0:r>
              <ns0:t xml:space="preserve"> </ns0:t>
            </ns0:r>
            <ns0:r>
              <ns0:t xml:space="preserve">a</ns0:t>
            </ns0:r>
            <ns0:r>
              <ns0:t xml:space="preserve"> </ns0:t>
            </ns0:r>
            <ns0:r>
              <ns0:t xml:space="preserve">proposed</ns0:t>
            </ns0:r>
            <ns0:r>
              <ns0:t xml:space="preserve"> </ns0:t>
            </ns0:r>
            <ns0:r>
              <ns0:t xml:space="preserve">intervention</ns0:t>
            </ns0:r>
            <ns0:r>
              <ns0:t xml:space="preserve"> </ns0:t>
            </ns0:r>
            <ns0:r>
              <ns0:t xml:space="preserve">was</ns0:t>
            </ns0:r>
            <ns0:r>
              <ns0:t xml:space="preserve"> </ns0:t>
            </ns0:r>
            <ns0:r>
              <ns0:t xml:space="preserve">available</ns0:t>
            </ns0:r>
            <ns0:r>
              <ns0:t xml:space="preserve"> </ns0:t>
            </ns0:r>
            <ns0:r>
              <ns0:t xml:space="preserve">at</ns0:t>
            </ns0:r>
            <ns0:r>
              <ns0:t xml:space="preserve"> </ns0:t>
            </ns0:r>
            <ns0:r>
              <ns0:t xml:space="preserve">the</ns0:t>
            </ns0:r>
            <ns0:r>
              <ns0:t xml:space="preserve"> </ns0:t>
            </ns0:r>
            <ns0:r>
              <ns0:t xml:space="preserve">relevant</ns0:t>
            </ns0:r>
            <ns0:r>
              <ns0:t xml:space="preserve"> </ns0:t>
            </ns0:r>
            <ns0:r>
              <ns0:t xml:space="preserve">time.</ns0:t>
            </ns0:r>
          </ns0:p>
        </ns0:tc>
      </ns0:tr>
      <ns0:tr>
        <ns0:trPr>
          <ns0:cantSplit/>
        </ns0:trPr>
        <ns0:tc>
          <ns0:tcPr>
            <ns0:tcW ns0:type="dxa" ns0:w="2640"/>
          </ns0:tcPr>
          <ns0:p>
            <ns0:pPr>
              <ns0:jc ns0:val="left"/>
            </ns0:pPr>
            <ns0:r>
              <ns0:t xml:space="preserve">Provenance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retention</ns0:t>
            </ns0:r>
          </ns0:p>
        </ns0:tc>
        <ns0:tc>
          <ns0:tcPr>
            <ns0:tcW ns0:type="dxa" ns0:w="2640"/>
          </ns0:tcPr>
          <ns0:p>
            <ns0:pPr>
              <ns0:jc ns0:val="left"/>
            </ns0:pPr>
            <ns0:r>
              <ns0:t xml:space="preserve">Version</ns0:t>
            </ns0:r>
            <ns0:r>
              <ns0:t xml:space="preserve"> </ns0:t>
            </ns0:r>
            <ns0:r>
              <ns0:t xml:space="preserve">lineage;</ns0:t>
            </ns0:r>
            <ns0:r>
              <ns0:t xml:space="preserve"> </ns0:t>
            </ns0:r>
            <ns0:r>
              <ns0:t xml:space="preserve">material</ns0:t>
            </ns0:r>
            <ns0:r>
              <ns0:t xml:space="preserve"> </ns0:t>
            </ns0:r>
            <ns0:r>
              <ns0:t xml:space="preserve">configuration</ns0:t>
            </ns0:r>
            <ns0:r>
              <ns0:t xml:space="preserve"> </ns0:t>
            </ns0:r>
            <ns0:r>
              <ns0:t xml:space="preserve">changes;</ns0:t>
            </ns0:r>
            <ns0:r>
              <ns0:t xml:space="preserve"> </ns0:t>
            </ns0:r>
            <ns0:r>
              <ns0:t xml:space="preserve">event</ns0:t>
            </ns0:r>
            <ns0:r>
              <ns0:t xml:space="preserve"> </ns0:t>
            </ns0:r>
            <ns0:r>
              <ns0:t xml:space="preserve">identifiers;</ns0:t>
            </ns0:r>
            <ns0:r>
              <ns0:t xml:space="preserve"> </ns0:t>
            </ns0:r>
            <ns0:r>
              <ns0:t xml:space="preserve">record</ns0:t>
            </ns0:r>
            <ns0:r>
              <ns0:t xml:space="preserve"> </ns0:t>
            </ns0:r>
            <ns0:r>
              <ns0:t xml:space="preserve">custodians;</ns0:t>
            </ns0:r>
            <ns0:r>
              <ns0:t xml:space="preserve"> </ns0:t>
            </ns0:r>
            <ns0:r>
              <ns0:t xml:space="preserve">third-party</ns0:t>
            </ns0:r>
            <ns0:r>
              <ns0:t xml:space="preserve"> </ns0:t>
            </ns0:r>
            <ns0:r>
              <ns0:t xml:space="preserve">locations;</ns0:t>
            </ns0:r>
            <ns0:r>
              <ns0:t xml:space="preserve"> </ns0:t>
            </ns0:r>
            <ns0:r>
              <ns0:t xml:space="preserve">retention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hold</ns0:t>
            </ns0:r>
            <ns0:r>
              <ns0:t xml:space="preserve"> </ns0:t>
            </ns0:r>
            <ns0:r>
              <ns0:t xml:space="preserve">procedures.</ns0:t>
            </ns0:r>
          </ns0:p>
        </ns0:tc>
        <ns0:tc>
          <ns0:tcPr>
            <ns0:tcW ns0:type="dxa" ns0:w="2640"/>
          </ns0:tcPr>
          <ns0:p>
            <ns0:pPr>
              <ns0:jc ns0:val="left"/>
            </ns0:pPr>
            <ns0:r>
              <ns0:t xml:space="preserve">Enables</ns0:t>
            </ns0:r>
            <ns0:r>
              <ns0:t xml:space="preserve"> </ns0:t>
            </ns0:r>
            <ns0:r>
              <ns0:t xml:space="preserve">identification,</ns0:t>
            </ns0:r>
            <ns0:r>
              <ns0:t xml:space="preserve"> </ns0:t>
            </ns0:r>
            <ns0:r>
              <ns0:t xml:space="preserve">authentication,</ns0:t>
            </ns0:r>
            <ns0:r>
              <ns0:t xml:space="preserve"> </ns0:t>
            </ns0:r>
            <ns0:r>
              <ns0:t xml:space="preserve">preservation,</ns0:t>
            </ns0:r>
            <ns0:r>
              <ns0:t xml:space="preserve"> </ns0:t>
            </ns0:r>
            <ns0:r>
              <ns0:t xml:space="preserve">proportional</ns0:t>
            </ns0:r>
            <ns0:r>
              <ns0:t xml:space="preserve"> </ns0:t>
            </ns0:r>
            <ns0:r>
              <ns0:t xml:space="preserve">production,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safe</ns0:t>
            </ns0:r>
            <ns0:r>
              <ns0:t xml:space="preserve"> </ns0:t>
            </ns0:r>
            <ns0:r>
              <ns0:t xml:space="preserve">exit.</ns0:t>
            </ns0:r>
          </ns0:p>
        </ns0:tc>
      </ns0:tr>
      <ns0:tr>
        <ns0:trPr>
          <ns0:cantSplit/>
        </ns0:trPr>
        <ns0:tc>
          <ns0:tcPr>
            <ns0:tcW ns0:type="dxa" ns0:w="2640"/>
          </ns0:tcPr>
          <ns0:p>
            <ns0:pPr>
              <ns0:jc ns0:val="left"/>
            </ns0:pPr>
            <ns0:r>
              <ns0:t xml:space="preserve">External-rights</ns0:t>
            </ns0:r>
            <ns0:r>
              <ns0:t xml:space="preserve"> </ns0:t>
            </ns0:r>
            <ns0:r>
              <ns0:t xml:space="preserve">savings</ns0:t>
            </ns0:r>
            <ns0:r>
              <ns0:t xml:space="preserve"> </ns0:t>
            </ns0:r>
            <ns0:r>
              <ns0:t xml:space="preserve">clause</ns0:t>
            </ns0:r>
          </ns0:p>
        </ns0:tc>
        <ns0:tc>
          <ns0:tcPr>
            <ns0:tcW ns0:type="dxa" ns0:w="2640"/>
          </ns0:tcPr>
          <ns0:p>
            <ns0:pPr>
              <ns0:jc ns0:val="left"/>
            </ns0:pPr>
            <ns0:r>
              <ns0:t xml:space="preserve">Statement</ns0:t>
            </ns0:r>
            <ns0:r>
              <ns0:t xml:space="preserve"> </ns0:t>
            </ns0:r>
            <ns0:r>
              <ns0:t xml:space="preserve">that</ns0:t>
            </ns0:r>
            <ns0:r>
              <ns0:t xml:space="preserve"> </ns0:t>
            </ns0:r>
            <ns0:r>
              <ns0:t xml:space="preserve">internal</ns0:t>
            </ns0:r>
            <ns0:r>
              <ns0:t xml:space="preserve"> </ns0:t>
            </ns0:r>
            <ns0:r>
              <ns0:t xml:space="preserve">allocation</ns0:t>
            </ns0:r>
            <ns0:r>
              <ns0:t xml:space="preserve"> </ns0:t>
            </ns0:r>
            <ns0:r>
              <ns0:t xml:space="preserve">and</ns0:t>
            </ns0:r>
            <ns0:r>
              <ns0:t xml:space="preserve"> </ns0:t>
            </ns0:r>
            <ns0:r>
              <ns0:t xml:space="preserve">contract</ns0:t>
            </ns0:r>
            <ns0:r>
              <ns0:t xml:space="preserve"> </ns0:t>
            </ns0:r>
            <ns0:r>
              <ns0:t xml:space="preserve">labels</ns0:t>
            </ns0:r>
            <ns0:r>
              <ns0:t xml:space="preserve"> </ns0:t>
            </ns0:r>
            <ns0:r>
              <ns0:t xml:space="preserve">do</ns0:t>
            </ns0:r>
            <ns0:r>
              <ns0:t xml:space="preserve"> </ns0:t>
            </ns0:r>
            <ns0:r>
              <ns0:t xml:space="preserve">not</ns0:t>
            </ns0:r>
            <ns0:r>
              <ns0:t xml:space="preserve"> </ns0:t>
            </ns0:r>
            <ns0:r>
              <ns0:t xml:space="preserve">waive</ns0:t>
            </ns0:r>
            <ns0:r>
              <ns0:t xml:space="preserve"> </ns0:t>
            </ns0:r>
            <ns0:r>
              <ns0:t xml:space="preserve">affected-person</ns0:t>
            </ns0:r>
            <ns0:r>
              <ns0:t xml:space="preserve"> </ns0:t>
            </ns0:r>
            <ns0:r>
              <ns0:t xml:space="preserve">rights</ns0:t>
            </ns0:r>
            <ns0:r>
              <ns0:t xml:space="preserve"> </ns0:t>
            </ns0:r>
            <ns0:r>
              <ns0:t xml:space="preserve">or</ns0:t>
            </ns0:r>
            <ns0:r>
              <ns0:t xml:space="preserve"> </ns0:t>
            </ns0:r>
            <ns0:r>
              <ns0:t xml:space="preserve">determine</ns0:t>
            </ns0:r>
            <ns0:r>
              <ns0:t xml:space="preserve"> </ns0:t>
            </ns0:r>
            <ns0:r>
              <ns0:t xml:space="preserve">ultimate</ns0:t>
            </ns0:r>
            <ns0:r>
              <ns0:t xml:space="preserve"> </ns0:t>
            </ns0:r>
            <ns0:r>
              <ns0:t xml:space="preserve">liability.</ns0:t>
            </ns0:r>
          </ns0:p>
        </ns0:tc>
        <ns0:tc>
          <ns0:tcPr>
            <ns0:tcW ns0:type="dxa" ns0:w="2640"/>
          </ns0:tcPr>
          <ns0:p>
            <ns0:pPr>
              <ns0:jc ns0:val="left"/>
            </ns0:pPr>
            <ns0:r>
              <ns0:t xml:space="preserve">Prevents</ns0:t>
            </ns0:r>
            <ns0:r>
              <ns0:t xml:space="preserve"> </ns0:t>
            </ns0:r>
            <ns0:r>
              <ns0:t xml:space="preserve">the</ns0:t>
            </ns0:r>
            <ns0:r>
              <ns0:t xml:space="preserve"> </ns0:t>
            </ns0:r>
            <ns0:r>
              <ns0:t xml:space="preserve">record</ns0:t>
            </ns0:r>
            <ns0:r>
              <ns0:t xml:space="preserve"> </ns0:t>
            </ns0:r>
            <ns0:r>
              <ns0:t xml:space="preserve">from</ns0:t>
            </ns0:r>
            <ns0:r>
              <ns0:t xml:space="preserve"> </ns0:t>
            </ns0:r>
            <ns0:r>
              <ns0:t xml:space="preserve">operating</ns0:t>
            </ns0:r>
            <ns0:r>
              <ns0:t xml:space="preserve"> </ns0:t>
            </ns0:r>
            <ns0:r>
              <ns0:t xml:space="preserve">as</ns0:t>
            </ns0:r>
            <ns0:r>
              <ns0:t xml:space="preserve"> </ns0:t>
            </ns0:r>
            <ns0:r>
              <ns0:t xml:space="preserve">a</ns0:t>
            </ns0:r>
            <ns0:r>
              <ns0:t xml:space="preserve"> </ns0:t>
            </ns0:r>
            <ns0:r>
              <ns0:t xml:space="preserve">private</ns0:t>
            </ns0:r>
            <ns0:r>
              <ns0:t xml:space="preserve"> </ns0:t>
            </ns0:r>
            <ns0:r>
              <ns0:t xml:space="preserve">exculpatory</ns0:t>
            </ns0:r>
            <ns0:r>
              <ns0:t xml:space="preserve"> </ns0:t>
            </ns0:r>
            <ns0:r>
              <ns0:t xml:space="preserve">agreement.</ns0:t>
            </ns0:r>
          </ns0:p>
        </ns0:tc>
      </ns0:tr>
      <ns0:tr>
        <ns0:trPr>
          <ns0:cantSplit/>
        </ns0:trPr>
        <ns0:tc>
          <ns0:tcPr>
            <ns0:tcW ns0:type="dxa" ns0:w="7920"/>
            <ns0:gridSpan ns0:val="3"/>
            <ns0:tcBorders>
              <ns0:bottom ns0:val="single" ns0:sz="8" ns0:space="0" ns0:color="000000"/>
            </ns0:tcBorders>
          </ns0:tcPr>
          <ns0:p>
            <ns0:pPr>
              <ns0:pStyle ns0:val="Compact"/>
              <ns0:jc ns0:val="left"/>
            </ns0:pPr>
          </ns0:p>
        </ns0:tc>
      </ns0:tr>
    </ns0:tbl>
    <ns0:bookmarkEnd ns0:id="408"/>
    <ns0:p>
      <ns0:pPr>
        <ns0:pStyle ns0:val="BodyText"/>
      </ns0:pPr>
      <ns0:r>
        <ns0:t xml:space="preserve">The record should identify roles and offices as well as names. Personnel change; statutory</ns0:t>
      </ns0:r>
      <ns0:r>
        <ns0:t xml:space="preserve"> </ns0:t>
      </ns0:r>
      <ns0:r>
        <ns0:t xml:space="preserve">responsibility should survive turnover. A deployment ID links the approved control sheet to the</ns0:t>
      </ns0:r>
      <ns0:r>
        <ns0:t xml:space="preserve"> </ns0:t>
      </ns0:r>
      <ns0:r>
        <ns0:t xml:space="preserve">live configuration, and a versioned amendment records material change. The operator can then</ns0:t>
      </ns0:r>
      <ns0:r>
        <ns0:t xml:space="preserve"> </ns0:t>
      </ns0:r>
      <ns0:r>
        <ns0:t xml:space="preserve">answer a front-door notice by retrieving a defined record rather than assembling an organizational</ns0:t>
      </ns0:r>
      <ns0:r>
        <ns0:t xml:space="preserve"> </ns0:t>
      </ns0:r>
      <ns0:r>
        <ns0:t xml:space="preserve">history after the event.</ns0:t>
      </ns0:r>
    </ns0:p>
    <ns0:p>
      <ns0:pPr>
        <ns0:pStyle ns0:val="BodyText"/>
      </ns0:pPr>
      <ns0:r>
        <ns0:t xml:space="preserve">The material-change threshold is especially important for learning and composite systems.</ns0:t>
      </ns0:r>
      <ns0:r>
        <ns0:t xml:space="preserve"> </ns0:t>
      </ns0:r>
      <ns0:r>
        <ns0:t xml:space="preserve">A model update can alter capability while leaving the application version unchanged. A new</ns0:t>
      </ns0:r>
      <ns0:r>
        <ns0:t xml:space="preserve"> </ns0:t>
      </ns0:r>
      <ns0:r>
        <ns0:t xml:space="preserve">retrieval source, memory setting, tool credential, ranking threshold, user population, or</ns0:t>
      </ns0:r>
      <ns0:r>
        <ns0:t xml:space="preserve"> </ns0:t>
      </ns0:r>
      <ns0:r>
        <ns0:t xml:space="preserve">downstream purpose can change risk without changing model weights. The charter should identify</ns0:t>
      </ns0:r>
      <ns0:r>
        <ns0:t xml:space="preserve"> </ns0:t>
      </ns0:r>
      <ns0:r>
        <ns0:t xml:space="preserve">which changes require renewed evaluation or approval and which enter a lower-burden change log.</ns0:t>
      </ns0:r>
      <ns0:r>
        <ns0:t xml:space="preserve"> </ns0:t>
      </ns0:r>
      <ns0:r>
        <ns0:t xml:space="preserve">A provider and operator can use different internal systems so long as the deployment record links</ns0:t>
      </ns0:r>
      <ns0:r>
        <ns0:t xml:space="preserve"> </ns0:t>
      </ns0:r>
      <ns0:r>
        <ns0:t xml:space="preserve">them by version, time, and control lane.</ns0:t>
      </ns0:r>
    </ns0:p>
    <ns0:p>
      <ns0:pPr>
        <ns0:pStyle ns0:val="BodyText"/>
      </ns0:pPr>
      <ns0:r>
        <ns0:t xml:space="preserve">Possession of a completed form supplies only the beginning of proof. Front-door</ns0:t>
      </ns0:r>
      <ns0:r>
        <ns0:t xml:space="preserve"> </ns0:t>
      </ns0:r>
      <ns0:r>
        <ns0:t xml:space="preserve">production asks whether the people assigned to receive a signal had practical authority</ns0:t>
      </ns0:r>
      <ns0:r>
        <ns0:t xml:space="preserve"> </ns0:t>
      </ns0:r>
      <ns0:r>
        <ns0:t xml:space="preserve">and resources, whether reports reached them, whether intervention procedures worked,</ns0:t>
      </ns0:r>
      <ns0:r>
        <ns0:t xml:space="preserve"> </ns0:t>
      </ns0:r>
      <ns0:r>
        <ns0:t xml:space="preserve">and whether material changes triggered review. Unless positive law gives compliance</ns0:t>
      </ns0:r>
      <ns0:r>
        <ns0:t xml:space="preserve"> </ns0:t>
      </ns0:r>
      <ns0:r>
        <ns0:t xml:space="preserve">another effect, a complete record supplies evidence of conduct rather than a conclusive</ns0:t>
      </ns0:r>
      <ns0:r>
        <ns0:t xml:space="preserve"> </ns0:t>
      </ns0:r>
      <ns0:r>
        <ns0:t xml:space="preserve">defense.</ns0:t>
      </ns0:r>
      <ns0:r>
        <ns0:rPr>
          <ns0:rStyle ns0:val="FootnoteReference"/>
        </ns0:rPr>
        <ns0:footnoteReference ns0:id="412"/>
      </ns0:r>
      <ns0:bookmarkStart ns0:id="413" ns0:name="x1-33002f47"/>
      <ns0:bookmarkEnd ns0:id="413"/>
    </ns0:p>
    <ns0:bookmarkEnd ns0:id="414"/>
    <ns0:bookmarkStart ns0:id="420" ns0:name="the-record-has-a-standard-interface"/>
    <ns0:p>
      <ns0:pPr>
        <ns0:pStyle ns0:val="Heading4"/>
      </ns0:pPr>
      <ns0:r>
        <ns0:t xml:space="preserve">B</ns0:t>
      </ns0:r>
      <ns0:r>
        <ns0:t xml:space="preserve"> </ns0:t>
      </ns0:r>
      <ns0:r>
        <ns0:t xml:space="preserve"> </ns0:t>
      </ns0:r>
      <ns0:bookmarkStart ns0:id="415" ns0:name="x1-34000B"/>
      <ns0:bookmarkEnd ns0:id="415"/>
      <ns0:r>
        <ns0:t xml:space="preserve">The Record Has a Standard Interface</ns0:t>
      </ns0:r>
    </ns0:p>
    <ns0:p>
      <ns0:pPr>
        <ns0:pStyle ns0:val="FirstParagraph"/>
      </ns0:pPr>
      <ns0:r>
        <ns0:t xml:space="preserve">The minimum record should operate as an information plane across the deployment rather than as</ns0:t>
      </ns0:r>
      <ns0:r>
        <ns0:t xml:space="preserve"> </ns0:t>
      </ns0:r>
      <ns0:r>
        <ns0:t xml:space="preserve">a mandate to centralize every underlying artifact. The visible operator keeps a closed manifest:</ns0:t>
      </ns0:r>
      <ns0:r>
        <ns0:t xml:space="preserve"> </ns0:t>
      </ns0:r>
      <ns0:r>
        <ns0:t xml:space="preserve">deployment ID; covered purpose and population; application and model versions; material</ns0:t>
      </ns0:r>
      <ns0:r>
        <ns0:t xml:space="preserve"> </ns0:t>
      </ns0:r>
      <ns0:r>
        <ns0:t xml:space="preserve">components and suppliers; record custodians; risk and release owners; relevant contract rights; and</ns0:t>
      </ns0:r>
      <ns0:r>
        <ns0:t xml:space="preserve"> </ns0:t>
      </ns0:r>
      <ns0:r>
        <ns0:t xml:space="preserve">the event schema used for consequential actions. Each control holder keeps the deeper materials</ns0:t>
      </ns0:r>
      <ns0:r>
        <ns0:t xml:space="preserve"> </ns0:t>
      </ns0:r>
      <ns0:r>
        <ns0:t xml:space="preserve">assigned to its lane. Stable identifiers join the manifest to those materials when a notice or</ns0:t>
      </ns0:r>
      <ns0:r>
        <ns0:t xml:space="preserve"> </ns0:t>
      </ns0:r>
      <ns0:r>
        <ns0:t xml:space="preserve">regulator demand arrives.</ns0:t>
      </ns0:r>
    </ns0:p>
    <ns0:p>
      <ns0:pPr>
        <ns0:pStyle ns0:val="BodyText"/>
      </ns0:pPr>
      <ns0:r>
        <ns0:t xml:space="preserve">Three identifiers do most of the work. A</ns0:t>
      </ns0:r>
      <ns0:r>
        <ns0:t xml:space="preserve"> </ns0:t>
      </ns0:r>
      <ns0:r>
        <ns0:rPr>
          <ns0:i/>
          <ns0:iCs/>
        </ns0:rPr>
        <ns0:t xml:space="preserve">deployment identifier</ns0:t>
      </ns0:r>
      <ns0:r>
        <ns0:rPr>
          <ns0:i/>
          <ns0:iCs/>
        </ns0:rPr>
        <ns0:t xml:space="preserve"> </ns0:t>
      </ns0:r>
      <ns0:r>
        <ns0:t xml:space="preserve">distinguishes the covered use</ns0:t>
      </ns0:r>
      <ns0:r>
        <ns0:t xml:space="preserve"> </ns0:t>
      </ns0:r>
      <ns0:r>
        <ns0:t xml:space="preserve">from the same model used elsewhere. A</ns0:t>
      </ns0:r>
      <ns0:r>
        <ns0:t xml:space="preserve"> </ns0:t>
      </ns0:r>
      <ns0:r>
        <ns0:rPr>
          <ns0:i/>
          <ns0:iCs/>
        </ns0:rPr>
        <ns0:t xml:space="preserve">component-version identifier</ns0:t>
      </ns0:r>
      <ns0:r>
        <ns0:rPr>
          <ns0:i/>
          <ns0:iCs/>
        </ns0:rPr>
        <ns0:t xml:space="preserve"> </ns0:t>
      </ns0:r>
      <ns0:r>
        <ns0:t xml:space="preserve">ties model, application,</ns0:t>
      </ns0:r>
      <ns0:r>
        <ns0:t xml:space="preserve"> </ns0:t>
      </ns0:r>
      <ns0:r>
        <ns0:t xml:space="preserve">retrieval, tool, policy, and configuration changes to a time interval. An</ns0:t>
      </ns0:r>
      <ns0:r>
        <ns0:t xml:space="preserve"> </ns0:t>
      </ns0:r>
      <ns0:r>
        <ns0:rPr>
          <ns0:i/>
          <ns0:iCs/>
        </ns0:rPr>
        <ns0:t xml:space="preserve">event identifier</ns0:t>
      </ns0:r>
      <ns0:r>
        <ns0:rPr>
          <ns0:i/>
          <ns0:iCs/>
        </ns0:rPr>
        <ns0:t xml:space="preserve"> </ns0:t>
      </ns0:r>
      <ns0:r>
        <ns0:t xml:space="preserve">connects an</ns0:t>
      </ns0:r>
      <ns0:r>
        <ns0:t xml:space="preserve"> </ns0:t>
      </ns0:r>
      <ns0:r>
        <ns0:t xml:space="preserve">affected person or consequential decision to the versions and records that governed it. The event</ns0:t>
      </ns0:r>
      <ns0:r>
        <ns0:t xml:space="preserve"> </ns0:t>
      </ns0:r>
      <ns0:r>
        <ns0:t xml:space="preserve">identifier can be pseudonymous and separately linked to personal data. The system therefore</ns0:t>
      </ns0:r>
      <ns0:r>
        <ns0:t xml:space="preserve"> </ns0:t>
      </ns0:r>
      <ns0:r>
        <ns0:t xml:space="preserve">retrieves the relevant slice without exposing unrelated users or requiring a later investigator to</ns0:t>
      </ns0:r>
      <ns0:r>
        <ns0:t xml:space="preserve"> </ns0:t>
      </ns0:r>
      <ns0:r>
        <ns0:t xml:space="preserve">infer lineage from timestamps alone.</ns0:t>
      </ns0:r>
    </ns0:p>
    <ns0:p>
      <ns0:pPr>
        <ns0:pStyle ns0:val="BodyText"/>
      </ns0:pPr>
      <ns0:r>
        <ns0:t xml:space="preserve">The interface should use a sectoral data dictionary. “Model version” can otherwise mean a</ns0:t>
      </ns0:r>
      <ns0:r>
        <ns0:t xml:space="preserve"> </ns0:t>
      </ns0:r>
      <ns0:r>
        <ns0:t xml:space="preserve">marketing name, weight snapshot, API alias, application release, policy bundle, or customer</ns0:t>
      </ns0:r>
      <ns0:r>
        <ns0:t xml:space="preserve"> </ns0:t>
      </ns0:r>
      <ns0:r>
        <ns0:t xml:space="preserve">configuration. The designation should define the fields needed to reproduce the legally relevant</ns0:t>
      </ns0:r>
      <ns0:r>
        <ns0:t xml:space="preserve"> </ns0:t>
      </ns0:r>
      <ns0:r>
        <ns0:t xml:space="preserve">identity: supplier identifier; immutable or otherwise auditable version reference; activation window;</ns0:t>
      </ns0:r>
      <ns0:r>
        <ns0:t xml:space="preserve"> </ns0:t>
      </ns0:r>
      <ns0:r>
        <ns0:t xml:space="preserve">configuration owner; material change; downstream integration; output type; and custodian. An</ns0:t>
      </ns0:r>
      <ns0:r>
        <ns0:t xml:space="preserve"> </ns0:t>
      </ns0:r>
      <ns0:r>
        <ns0:t xml:space="preserve">enterprise may keep its own engineering format, but the first answer translates that</ns0:t>
      </ns0:r>
      <ns0:r>
        <ns0:t xml:space="preserve"> </ns0:t>
      </ns0:r>
      <ns0:r>
        <ns0:t xml:space="preserve">format into the defined fields and identifies the source system from which each field</ns0:t>
      </ns0:r>
      <ns0:r>
        <ns0:t xml:space="preserve"> </ns0:t>
      </ns0:r>
      <ns0:r>
        <ns0:t xml:space="preserve">came.</ns0:t>
      </ns0:r>
    </ns0:p>
    <ns0:p>
      <ns0:pPr>
        <ns0:pStyle ns0:val="BodyText"/>
      </ns0:pPr>
      <ns0:r>
        <ns0:t xml:space="preserve">Integrity requires lineage rather than a self-authenticating compliance certificate. A</ns0:t>
      </ns0:r>
      <ns0:r>
        <ns0:t xml:space="preserve"> </ns0:t>
      </ns0:r>
      <ns0:r>
        <ns0:t xml:space="preserve">manifest should record who created and approved it, the date, later amendments, and the source</ns0:t>
      </ns0:r>
      <ns0:r>
        <ns0:t xml:space="preserve"> </ns0:t>
      </ns0:r>
      <ns0:r>
        <ns0:t xml:space="preserve">records supporting the entry. Automated logs can carry hashes, signatures, or append-only</ns0:t>
      </ns0:r>
      <ns0:r>
        <ns0:t xml:space="preserve"> </ns0:t>
      </ns0:r>
      <ns0:r>
        <ns0:t xml:space="preserve">controls where appropriate; lower-technology sectors can use ordinary version control and</ns0:t>
      </ns0:r>
      <ns0:r>
        <ns0:t xml:space="preserve"> </ns0:t>
      </ns0:r>
      <ns0:r>
        <ns0:t xml:space="preserve">attestation. The legal function is the same: preserve a contestable trail from the live</ns0:t>
      </ns0:r>
      <ns0:r>
        <ns0:t xml:space="preserve"> </ns0:t>
      </ns0:r>
      <ns0:r>
        <ns0:t xml:space="preserve">event to the record, not establish conclusively that every listed control operated as</ns0:t>
      </ns0:r>
      <ns0:r>
        <ns0:t xml:space="preserve"> </ns0:t>
      </ns0:r>
      <ns0:r>
        <ns0:t xml:space="preserve">designed.</ns0:t>
      </ns0:r>
    </ns0:p>
    <ns0:p>
      <ns0:pPr>
        <ns0:pStyle ns0:val="BodyText"/>
      </ns0:pPr>
      <ns0:r>
        <ns0:t xml:space="preserve">Supplier contracts implement the interface. A covered operator should receive current</ns0:t>
      </ns0:r>
      <ns0:r>
        <ns0:t xml:space="preserve"> </ns0:t>
      </ns0:r>
      <ns0:r>
        <ns0:t xml:space="preserve">component and version identifiers, material-change notice, an event-resolution method, a</ns0:t>
      </ns0:r>
      <ns0:r>
        <ns0:t xml:space="preserve"> </ns0:t>
      </ns0:r>
      <ns0:r>
        <ns0:t xml:space="preserve">responsive agent, and a right to retrieve the minimum supplier fields on demand. The supplier</ns0:t>
      </ns0:r>
      <ns0:r>
        <ns0:t xml:space="preserve"> </ns0:t>
      </ns0:r>
      <ns0:r>
        <ns0:t xml:space="preserve">should receive the operator’s deployment identifier, designated purpose, configured population,</ns0:t>
      </ns0:r>
      <ns0:r>
        <ns0:t xml:space="preserve"> </ns0:t>
      </ns0:r>
      <ns0:r>
        <ns0:t xml:space="preserve">material customer settings, and preservation contact. Acquisition, subcontracting, model</ns0:t>
      </ns0:r>
      <ns0:r>
        <ns0:t xml:space="preserve"> </ns0:t>
      </ns0:r>
      <ns0:r>
        <ns0:t xml:space="preserve">substitution, and service termination should carry successor and export duties for the retained</ns0:t>
      </ns0:r>
      <ns0:r>
        <ns0:t xml:space="preserve"> </ns0:t>
      </ns0:r>
      <ns0:r>
        <ns0:t xml:space="preserve">period. These terms keep the record reachable when corporate and technical boundaries change</ns0:t>
      </ns0:r>
      <ns0:r>
        <ns0:t xml:space="preserve"> </ns0:t>
      </ns0:r>
      <ns0:r>
        <ns0:t xml:space="preserve">after deployment. Recent work on the AI procurement record reaches a closely related</ns0:t>
      </ns0:r>
      <ns0:r>
        <ns0:t xml:space="preserve"> </ns0:t>
      </ns0:r>
      <ns0:r>
        <ns0:t xml:space="preserve">diagnosis: contracts can separate evidence, operational control, economic risk, and public</ns0:t>
      </ns0:r>
      <ns0:r>
        <ns0:t xml:space="preserve"> </ns0:t>
      </ns0:r>
      <ns0:r>
        <ns0:t xml:space="preserve">accountability.</ns0:t>
      </ns0:r>
      <ns0:r>
        <ns0:rPr>
          <ns0:rStyle ns0:val="FootnoteReference"/>
        </ns0:rPr>
        <ns0:footnoteReference ns0:id="419"/>
      </ns0:r>
      <ns0:bookmarkStart ns0:id="419" ns0:name="x1-34001f48"/>
      <ns0:bookmarkEnd ns0:id="419"/>
    </ns0:p>
    <ns0:p>
      <ns0:pPr>
        <ns0:pStyle ns0:val="BodyText"/>
      </ns0:pPr>
      <ns0:r>
        <ns0:t xml:space="preserve">The architecture controls cost by keeping routine manifest fields separate from retrieval</ns0:t>
      </ns0:r>
      <ns0:r>
        <ns0:t xml:space="preserve"> </ns0:t>
      </ns0:r>
      <ns0:r>
        <ns0:t xml:space="preserve">after a defined event. Release and asset-management systems can supply version and</ns0:t>
      </ns0:r>
      <ns0:r>
        <ns0:t xml:space="preserve"> </ns0:t>
      </ns0:r>
      <ns0:r>
        <ns0:t xml:space="preserve">supplier identity. Transaction, decision, and incident systems can supply event fields.</ns0:t>
      </ns0:r>
      <ns0:r>
        <ns0:t xml:space="preserve"> </ns0:t>
      </ns0:r>
      <ns0:r>
        <ns0:t xml:space="preserve">Deeper evaluation, complaint, and source materials stay with their custodians unless a</ns0:t>
      </ns0:r>
      <ns0:r>
        <ns0:t xml:space="preserve"> </ns0:t>
      </ns0:r>
      <ns0:r>
        <ns0:t xml:space="preserve">risk-specific request justifies access. Standardization moves expense toward one-time</ns0:t>
      </ns0:r>
      <ns0:r>
        <ns0:t xml:space="preserve"> </ns0:t>
      </ns0:r>
      <ns0:r>
        <ns0:t xml:space="preserve">design and retrieval by identifier, away from repeated forensic reconstruction across every</ns0:t>
      </ns0:r>
      <ns0:r>
        <ns0:t xml:space="preserve"> </ns0:t>
      </ns0:r>
      <ns0:r>
        <ns0:t xml:space="preserve">dispute.</ns0:t>
      </ns0:r>
    </ns0:p>
    <ns0:p>
      <ns0:pPr>
        <ns0:pStyle ns0:val="BodyText"/>
      </ns0:pPr>
      <ns0:r>
        <ns0:t xml:space="preserve">Quality assurance can also be bounded. The operator periodically reconciles the live</ns0:t>
      </ns0:r>
      <ns0:r>
        <ns0:t xml:space="preserve"> </ns0:t>
      </ns0:r>
      <ns0:r>
        <ns0:t xml:space="preserve">deployment against the manifest, tests whether an event identifier resolves to the governing</ns0:t>
      </ns0:r>
      <ns0:r>
        <ns0:t xml:space="preserve"> </ns0:t>
      </ns0:r>
      <ns0:r>
        <ns0:t xml:space="preserve">versions, confirms that supplier contacts and retrieval rights remain usable, and records exceptions.</ns0:t>
      </ns0:r>
      <ns0:r>
        <ns0:t xml:space="preserve"> </ns0:t>
      </ns0:r>
      <ns0:r>
        <ns0:t xml:space="preserve">A regulator can audit samples without obtaining every event. The check asks whether the front</ns0:t>
      </ns0:r>
      <ns0:r>
        <ns0:t xml:space="preserve"> </ns0:t>
      </ns0:r>
      <ns0:r>
        <ns0:t xml:space="preserve">door will open when needed: can the operator identify what ran, locate the holder, preserve the</ns0:t>
      </ns0:r>
      <ns0:r>
        <ns0:t xml:space="preserve"> </ns0:t>
      </ns0:r>
      <ns0:r>
        <ns0:t xml:space="preserve">slice, and exercise the retrieval path?</ns0:t>
      </ns0:r>
    </ns0:p>
    <ns0:bookmarkEnd ns0:id="420"/>
    <ns0:bookmarkStart ns0:id="422" ns0:name="X20f93bd622b219086ee0900f04dbdb471b336f6"/>
    <ns0:p>
      <ns0:pPr>
        <ns0:pStyle ns0:val="Heading4"/>
      </ns0:pPr>
      <ns0:r>
        <ns0:t xml:space="preserve">C</ns0:t>
      </ns0:r>
      <ns0:r>
        <ns0:t xml:space="preserve"> </ns0:t>
      </ns0:r>
      <ns0:r>
        <ns0:t xml:space="preserve"> </ns0:t>
      </ns0:r>
      <ns0:bookmarkStart ns0:id="421" ns0:name="x1-35000C"/>
      <ns0:bookmarkEnd ns0:id="421"/>
      <ns0:r>
        <ns0:t xml:space="preserve">Identity, Feedback, and Event Records Have Different Clocks</ns0:t>
      </ns0:r>
    </ns0:p>
    <ns0:p>
      <ns0:pPr>
        <ns0:pStyle ns0:val="FirstParagraph"/>
      </ns0:pPr>
      <ns0:r>
        <ns0:t xml:space="preserve">A usable infrastructure contains three linked records.</ns0:t>
      </ns0:r>
    </ns0:p>
    <ns0:p>
      <ns0:pPr>
        <ns0:pStyle ns0:val="BodyText"/>
      </ns0:pPr>
      <ns0:r>
        <ns0:t xml:space="preserve">The</ns0:t>
      </ns0:r>
      <ns0:r>
        <ns0:t xml:space="preserve"> </ns0:t>
      </ns0:r>
      <ns0:r>
        <ns0:rPr>
          <ns0:i/>
          <ns0:iCs/>
        </ns0:rPr>
        <ns0:t xml:space="preserve">identity record</ns0:t>
      </ns0:r>
      <ns0:r>
        <ns0:rPr>
          <ns0:i/>
          <ns0:iCs/>
        </ns0:rPr>
        <ns0:t xml:space="preserve"> </ns0:t>
      </ns0:r>
      <ns0:r>
        <ns0:t xml:space="preserve">changes when the deployment changes. It contains the versioned</ns0:t>
      </ns0:r>
      <ns0:r>
        <ns0:t xml:space="preserve"> </ns0:t>
      </ns0:r>
      <ns0:r>
        <ns0:t xml:space="preserve">architecture, purpose, population, component suppliers, material configuration, data and tool</ns0:t>
      </ns0:r>
      <ns0:r>
        <ns0:t xml:space="preserve"> </ns0:t>
      </ns0:r>
      <ns0:r>
        <ns0:t xml:space="preserve">interfaces, owners, and intervention rights. Its retention period should cover the ordinary period in</ns0:t>
      </ns0:r>
      <ns0:r>
        <ns0:t xml:space="preserve"> </ns0:t>
      </ns0:r>
      <ns0:r>
        <ns0:t xml:space="preserve">which a claim involving that deployment can arise, with sector-specific extensions for minors,</ns0:t>
      </ns0:r>
      <ns0:r>
        <ns0:t xml:space="preserve"> </ns0:t>
      </ns0:r>
      <ns0:r>
        <ns0:t xml:space="preserve">latent physical injury, or continuing public entitlements.</ns0:t>
      </ns0:r>
    </ns0:p>
    <ns0:p>
      <ns0:pPr>
        <ns0:pStyle ns0:val="BodyText"/>
      </ns0:pPr>
      <ns0:r>
        <ns0:t xml:space="preserve">The</ns0:t>
      </ns0:r>
      <ns0:r>
        <ns0:t xml:space="preserve"> </ns0:t>
      </ns0:r>
      <ns0:r>
        <ns0:rPr>
          <ns0:i/>
          <ns0:iCs/>
        </ns0:rPr>
        <ns0:t xml:space="preserve">feedback record</ns0:t>
      </ns0:r>
      <ns0:r>
        <ns0:rPr>
          <ns0:i/>
          <ns0:iCs/>
        </ns0:rPr>
        <ns0:t xml:space="preserve"> </ns0:t>
      </ns0:r>
      <ns0:r>
        <ns0:t xml:space="preserve">accumulates during operation. It contains defined complaints,</ns0:t>
      </ns0:r>
      <ns0:r>
        <ns0:t xml:space="preserve"> </ns0:t>
      </ns0:r>
      <ns0:r>
        <ns0:t xml:space="preserve">evaluations, incident classifications, monitoring signals, escalations, decisions, and corrective</ns0:t>
      </ns0:r>
      <ns0:r>
        <ns0:t xml:space="preserve"> </ns0:t>
      </ns0:r>
      <ns0:r>
        <ns0:t xml:space="preserve">actions. The designation should specify which events require individual retention, which may be</ns0:t>
      </ns0:r>
      <ns0:r>
        <ns0:t xml:space="preserve"> </ns0:t>
      </ns0:r>
      <ns0:r>
        <ns0:t xml:space="preserve">aggregated, and which content should be minimized. A service can record that a crisis detector</ns0:t>
      </ns0:r>
      <ns0:r>
        <ns0:t xml:space="preserve"> </ns0:t>
      </ns0:r>
      <ns0:r>
        <ns0:t xml:space="preserve">triggered, which policy and version governed, and what intervention followed without preserving</ns0:t>
      </ns0:r>
      <ns0:r>
        <ns0:t xml:space="preserve"> </ns0:t>
      </ns0:r>
      <ns0:r>
        <ns0:t xml:space="preserve">every unrelated intimate conversation indefinitely.</ns0:t>
      </ns0:r>
    </ns0:p>
    <ns0:p>
      <ns0:pPr>
        <ns0:pStyle ns0:val="BodyText"/>
      </ns0:pPr>
      <ns0:r>
        <ns0:t xml:space="preserve">The</ns0:t>
      </ns0:r>
      <ns0:r>
        <ns0:t xml:space="preserve"> </ns0:t>
      </ns0:r>
      <ns0:r>
        <ns0:rPr>
          <ns0:i/>
          <ns0:iCs/>
        </ns0:rPr>
        <ns0:t xml:space="preserve">event record</ns0:t>
      </ns0:r>
      <ns0:r>
        <ns0:rPr>
          <ns0:i/>
          <ns0:iCs/>
        </ns0:rPr>
        <ns0:t xml:space="preserve"> </ns0:t>
      </ns0:r>
      <ns0:r>
        <ns0:t xml:space="preserve">freezes a bounded slice when a consequential action or identified incident</ns0:t>
      </ns0:r>
      <ns0:r>
        <ns0:t xml:space="preserve"> </ns0:t>
      </ns0:r>
      <ns0:r>
        <ns0:t xml:space="preserve">occurs. In employment it may contain the application, input fields, model and configuration</ns0:t>
      </ns0:r>
      <ns0:r>
        <ns0:t xml:space="preserve"> </ns0:t>
      </ns0:r>
      <ns0:r>
        <ns0:t xml:space="preserve">versions, score or recommendation, threshold, downstream human action, notice, and</ns0:t>
      </ns0:r>
      <ns0:r>
        <ns0:t xml:space="preserve"> </ns0:t>
      </ns0:r>
      <ns0:r>
        <ns0:t xml:space="preserve">review. In benefits it may contain the assessment data, calculation version, output,</ns0:t>
      </ns0:r>
      <ns0:r>
        <ns0:t xml:space="preserve"> </ns0:t>
      </ns0:r>
      <ns0:r>
        <ns0:t xml:space="preserve">governing policy, explanation, appeal, and correction. In a companion deployment it may</ns0:t>
      </ns0:r>
      <ns0:r>
        <ns0:t xml:space="preserve"> </ns0:t>
      </ns0:r>
      <ns0:r>
        <ns0:t xml:space="preserve">contain the account and age status, relevant interaction window, governing relational</ns0:t>
      </ns0:r>
      <ns0:r>
        <ns0:t xml:space="preserve"> </ns0:t>
      </ns0:r>
      <ns0:r>
        <ns0:t xml:space="preserve">and crisis policies, detections, interventions, warnings, and account restrictions. The</ns0:t>
      </ns0:r>
      <ns0:r>
        <ns0:t xml:space="preserve"> </ns0:t>
      </ns0:r>
      <ns0:r>
        <ns0:t xml:space="preserve">event record anchors causal sequence while leaving unrelated people and periods outside</ns0:t>
      </ns0:r>
      <ns0:r>
        <ns0:t xml:space="preserve"> </ns0:t>
      </ns0:r>
      <ns0:r>
        <ns0:t xml:space="preserve">production.</ns0:t>
      </ns0:r>
    </ns0:p>
    <ns0:p>
      <ns0:pPr>
        <ns0:pStyle ns0:val="BodyText"/>
      </ns0:pPr>
      <ns0:r>
        <ns0:t xml:space="preserve">These clocks improve privacy and accuracy simultaneously. A blanket command to retain all</ns0:t>
      </ns0:r>
      <ns0:r>
        <ns0:t xml:space="preserve"> </ns0:t>
      </ns0:r>
      <ns0:r>
        <ns0:t xml:space="preserve">interactions invites excess. A deployment ID, event schema, and material-change log preserve</ns0:t>
      </ns0:r>
      <ns0:r>
        <ns0:t xml:space="preserve"> </ns0:t>
      </ns0:r>
      <ns0:r>
        <ns0:t xml:space="preserve">the facts needed to identify the relevant window. Sectoral lawmakers can then choose</ns0:t>
      </ns0:r>
      <ns0:r>
        <ns0:t xml:space="preserve"> </ns0:t>
      </ns0:r>
      <ns0:r>
        <ns0:t xml:space="preserve">periods and minimization rules that fit the interest rather than defaulting to permanent</ns0:t>
      </ns0:r>
      <ns0:r>
        <ns0:t xml:space="preserve"> </ns0:t>
      </ns0:r>
      <ns0:r>
        <ns0:t xml:space="preserve">surveillance.</ns0:t>
      </ns0:r>
    </ns0:p>
    <ns0:p>
      <ns0:pPr>
        <ns0:pStyle ns0:val="BodyText"/>
      </ns0:pPr>
      <ns0:r>
        <ns0:t xml:space="preserve">Retention should follow the legal and factual life of the interest. Employment and credit</ns0:t>
      </ns0:r>
      <ns0:r>
        <ns0:t xml:space="preserve"> </ns0:t>
      </ns0:r>
      <ns0:r>
        <ns0:t xml:space="preserve">records can track the limitations and administrative-charge periods governing the designated</ns0:t>
      </ns0:r>
      <ns0:r>
        <ns0:t xml:space="preserve"> </ns0:t>
      </ns0:r>
      <ns0:r>
        <ns0:t xml:space="preserve">decision, with a defined post-notice extension. A public-benefits event may need to persist through</ns0:t>
      </ns0:r>
      <ns0:r>
        <ns0:t xml:space="preserve"> </ns0:t>
      </ns0:r>
      <ns0:r>
        <ns0:t xml:space="preserve">reconsideration, appeal, and the period for judicial review. A clinical deployment may require</ns0:t>
      </ns0:r>
      <ns0:r>
        <ns0:t xml:space="preserve"> </ns0:t>
      </ns0:r>
      <ns0:r>
        <ns0:t xml:space="preserve">longer identity and validation lineage where injury can appear later, while still minimizing raw</ns0:t>
      </ns0:r>
      <ns0:r>
        <ns0:t xml:space="preserve"> </ns0:t>
      </ns0:r>
      <ns0:r>
        <ns0:t xml:space="preserve">patient content under health-information rules. A relational service involving a minor can</ns0:t>
      </ns0:r>
      <ns0:r>
        <ns0:t xml:space="preserve"> </ns0:t>
      </ns0:r>
      <ns0:r>
        <ns0:t xml:space="preserve">preserve crisis and intervention events for a longer protected period without retaining</ns0:t>
      </ns0:r>
      <ns0:r>
        <ns0:t xml:space="preserve"> </ns0:t>
      </ns0:r>
      <ns0:r>
        <ns0:t xml:space="preserve">every ordinary conversation. The designation should state the clock, trigger, and lawful</ns0:t>
      </ns0:r>
      <ns0:r>
        <ns0:t xml:space="preserve"> </ns0:t>
      </ns0:r>
      <ns0:r>
        <ns0:t xml:space="preserve">deletion rule rather than asking operators to guess from a generic command to keep “AI</ns0:t>
      </ns0:r>
      <ns0:r>
        <ns0:t xml:space="preserve"> </ns0:t>
      </ns0:r>
      <ns0:r>
        <ns0:t xml:space="preserve">data.”</ns0:t>
      </ns0:r>
    </ns0:p>
    <ns0:p>
      <ns0:pPr>
        <ns0:pStyle ns0:val="BodyText"/>
      </ns0:pPr>
      <ns0:r>
        <ns0:t xml:space="preserve">Different clocks also prevent a change from overwriting history. A current model card</ns0:t>
      </ns0:r>
      <ns0:r>
        <ns0:t xml:space="preserve"> </ns0:t>
      </ns0:r>
      <ns0:r>
        <ns0:t xml:space="preserve">cannot establish what governed an earlier event; a current contract cannot prove who controlled</ns0:t>
      </ns0:r>
      <ns0:r>
        <ns0:t xml:space="preserve"> </ns0:t>
      </ns0:r>
      <ns0:r>
        <ns0:t xml:space="preserve">retrieval before an acquisition; a revised policy cannot show which warning appeared to an earlier</ns0:t>
      </ns0:r>
      <ns0:r>
        <ns0:t xml:space="preserve"> </ns0:t>
      </ns0:r>
      <ns0:r>
        <ns0:t xml:space="preserve">user. The identity record freezes each material interval. The event record points to that</ns0:t>
      </ns0:r>
      <ns0:r>
        <ns0:t xml:space="preserve"> </ns0:t>
      </ns0:r>
      <ns0:r>
        <ns0:t xml:space="preserve">interval. The feedback record then shows what the organization learned and changed</ns0:t>
      </ns0:r>
      <ns0:r>
        <ns0:t xml:space="preserve"> </ns0:t>
      </ns0:r>
      <ns0:r>
        <ns0:t xml:space="preserve">between intervals. This structure turns evolution from an obstacle into an auditable</ns0:t>
      </ns0:r>
      <ns0:r>
        <ns0:t xml:space="preserve"> </ns0:t>
      </ns0:r>
      <ns0:r>
        <ns0:t xml:space="preserve">sequence.</ns0:t>
      </ns0:r>
    </ns0:p>
    <ns0:p>
      <ns0:pPr>
        <ns0:pStyle ns0:val="BodyText"/>
      </ns0:pPr>
      <ns0:r>
        <ns0:t xml:space="preserve">Responsibility for legal holds should also appear in the record. The verified notice</ns0:t>
      </ns0:r>
      <ns0:r>
        <ns0:t xml:space="preserve"> </ns0:t>
      </ns0:r>
      <ns0:r>
        <ns0:t xml:space="preserve">described in Part II identifies the event, period, user or decision, and risk. The operator’s</ns0:t>
      </ns0:r>
      <ns0:r>
        <ns0:t xml:space="preserve"> </ns0:t>
      </ns0:r>
      <ns0:r>
        <ns0:t xml:space="preserve">hold reaches the matching identity, feedback, and event materials and gives identified</ns0:t>
      </ns0:r>
      <ns0:r>
        <ns0:t xml:space="preserve"> </ns0:t>
      </ns0:r>
      <ns0:r>
        <ns0:t xml:space="preserve">control holders a common reference. If a record no longer exists, the response identifies</ns0:t>
      </ns0:r>
      <ns0:r>
        <ns0:t xml:space="preserve"> </ns0:t>
      </ns0:r>
      <ns0:r>
        <ns0:t xml:space="preserve">the deletion rule, date, custodian, and possible substitute. That information permits</ns0:t>
      </ns0:r>
      <ns0:r>
        <ns0:t xml:space="preserve"> </ns0:t>
      </ns0:r>
      <ns0:r>
        <ns0:t xml:space="preserve">a court to distinguish ordinary expiration, negligent noncompliance, and intentional</ns0:t>
      </ns0:r>
      <ns0:r>
        <ns0:t xml:space="preserve"> </ns0:t>
      </ns0:r>
      <ns0:r>
        <ns0:t xml:space="preserve">concealment.</ns0:t>
      </ns0:r>
    </ns0:p>
    <ns0:bookmarkEnd ns0:id="422"/>
    <ns0:bookmarkStart ns0:id="466" ns0:name="X3bf8f79bbc4024447d2fb1025eff4c0b5e2ceca"/>
    <ns0:p>
      <ns0:pPr>
        <ns0:pStyle ns0:val="Heading4"/>
      </ns0:pPr>
      <ns0:r>
        <ns0:t xml:space="preserve">D</ns0:t>
      </ns0:r>
      <ns0:r>
        <ns0:t xml:space="preserve"> </ns0:t>
      </ns0:r>
      <ns0:r>
        <ns0:t xml:space="preserve"> </ns0:t>
      </ns0:r>
      <ns0:bookmarkStart ns0:id="423" ns0:name="x1-36000D"/>
      <ns0:bookmarkEnd ns0:id="423"/>
      <ns0:r>
        <ns0:t xml:space="preserve">Existing Regimes Demonstrate Administrability</ns0:t>
      </ns0:r>
    </ns0:p>
    <ns0:p>
      <ns0:pPr>
        <ns0:pStyle ns0:val="FirstParagraph"/>
      </ns0:pPr>
      <ns0:r>
        <ns0:t xml:space="preserve">The proposal borrows implementation forms, not liability conclusions. Three regimes</ns0:t>
      </ns0:r>
      <ns0:r>
        <ns0:t xml:space="preserve"> </ns0:t>
      </ns0:r>
      <ns0:r>
        <ns0:t xml:space="preserve">perform distinct comparator roles: organizational record creation, regulator-defined</ns0:t>
      </ns0:r>
      <ns0:r>
        <ns0:t xml:space="preserve"> </ns0:t>
      </ns0:r>
      <ns0:r>
        <ns0:t xml:space="preserve">information demands, and a private path from visible decisionmaker to upstream file</ns0:t>
      </ns0:r>
      <ns0:r>
        <ns0:t xml:space="preserve"> </ns0:t>
      </ns0:r>
      <ns0:r>
        <ns0:t xml:space="preserve">holder.</ns0:t>
      </ns0:r>
    </ns0:p>
    <ns0:bookmarkStart ns0:id="434" ns0:name="faa-safety-management-systems"/>
    <ns0:p>
      <ns0:pPr>
        <ns0:pStyle ns0:val="Heading5"/>
      </ns0:pPr>
      <ns0:r>
        <ns0:t xml:space="preserve">1</ns0:t>
      </ns0:r>
      <ns0:r>
        <ns0:t xml:space="preserve"> </ns0:t>
      </ns0:r>
      <ns0:r>
        <ns0:t xml:space="preserve"> </ns0:t>
      </ns0:r>
      <ns0:bookmarkStart ns0:id="424" ns0:name="x1-370001"/>
      <ns0:bookmarkEnd ns0:id="424"/>
      <ns0:r>
        <ns0:t xml:space="preserve">FAA Safety Management Systems</ns0:t>
      </ns0:r>
    </ns0:p>
    <ns0:p>
      <ns0:pPr>
        <ns0:pStyle ns0:val="FirstParagraph"/>
      </ns0:pPr>
      <ns0:r>
        <ns0:t xml:space="preserve">FAA Part 5 requires covered aviation organizations, on the applicable schedule, to develop</ns0:t>
      </ns0:r>
      <ns0:r>
        <ns0:t xml:space="preserve"> </ns0:t>
      </ns0:r>
      <ns0:r>
        <ns0:t xml:space="preserve">and maintain an organization-wide safety management system. The rules assign an</ns0:t>
      </ns0:r>
      <ns0:r>
        <ns0:t xml:space="preserve"> </ns0:t>
      </ns0:r>
      <ns0:r>
        <ns0:t xml:space="preserve">accountable executive, require management authority to accept safety risk, specify hazard</ns0:t>
      </ns0:r>
      <ns0:r>
        <ns0:t xml:space="preserve"> </ns0:t>
      </ns0:r>
      <ns0:r>
        <ns0:t xml:space="preserve">identification and risk control, require assurance and corrective action, and preserve records. For</ns0:t>
      </ns0:r>
      <ns0:r>
        <ns0:t xml:space="preserve"> </ns0:t>
      </ns0:r>
      <ns0:r>
        <ns0:t xml:space="preserve">specified organizations, the system includes confidential employee reporting without fear of</ns0:t>
      </ns0:r>
      <ns0:r>
        <ns0:t xml:space="preserve"> </ns0:t>
      </ns0:r>
      <ns0:r>
        <ns0:t xml:space="preserve">reprisal.</ns0:t>
      </ns0:r>
      <ns0:r>
        <ns0:rPr>
          <ns0:rStyle ns0:val="FootnoteReference"/>
        </ns0:rPr>
        <ns0:footnoteReference ns0:id="428"/>
      </ns0:r>
      <ns0:bookmarkStart ns0:id="428" ns0:name="x1-37001f49"/>
      <ns0:bookmarkEnd ns0:id="428"/>
    </ns0:p>
    <ns0:p>
      <ns0:pPr>
        <ns0:pStyle ns0:val="BodyText"/>
      </ns0:pPr>
      <ns0:r>
        <ns0:t xml:space="preserve">Part 5 demonstrates four institutional facts. A safety system can attach to an</ns0:t>
      </ns0:r>
      <ns0:r>
        <ns0:t xml:space="preserve"> </ns0:t>
      </ns0:r>
      <ns0:r>
        <ns0:t xml:space="preserve">organization rather than a single component. Named executive and operational authority can</ns0:t>
      </ns0:r>
      <ns0:r>
        <ns0:t xml:space="preserve"> </ns0:t>
      </ns0:r>
      <ns0:r>
        <ns0:t xml:space="preserve">coexist. Continuing assessment and correction can be recorded as operating requirements.</ns0:t>
      </ns0:r>
      <ns0:r>
        <ns0:t xml:space="preserve"> </ns0:t>
      </ns0:r>
      <ns0:r>
        <ns0:t xml:space="preserve">Retention can be specified without waiting for a lawsuit. AI deployments involve different</ns0:t>
      </ns0:r>
      <ns0:r>
        <ns0:t xml:space="preserve"> </ns0:t>
      </ns0:r>
      <ns0:r>
        <ns0:t xml:space="preserve">technologies and protected interests, so the aviation standard does not define reasonable</ns0:t>
      </ns0:r>
      <ns0:r>
        <ns0:t xml:space="preserve"> </ns0:t>
      </ns0:r>
      <ns0:r>
        <ns0:t xml:space="preserve">AI care. It demonstrates an administrable precedent for making authority, feedback,</ns0:t>
      </ns0:r>
      <ns0:r>
        <ns0:t xml:space="preserve"> </ns0:t>
      </ns0:r>
      <ns0:r>
        <ns0:t xml:space="preserve">intervention, and records a mandatory operating system rather than an aspirational</ns0:t>
      </ns0:r>
      <ns0:r>
        <ns0:t xml:space="preserve"> </ns0:t>
      </ns0:r>
      <ns0:r>
        <ns0:t xml:space="preserve">policy.</ns0:t>
      </ns0:r>
    </ns0:p>
    <ns0:p>
      <ns0:pPr>
        <ns0:pStyle ns0:val="BodyText"/>
      </ns0:pPr>
      <ns0:r>
        <ns0:t xml:space="preserve">Aviation reporting supplies a related design lesson. Candid incident and</ns0:t>
      </ns0:r>
      <ns0:r>
        <ns0:t xml:space="preserve"> </ns0:t>
      </ns0:r>
      <ns0:r>
        <ns0:t xml:space="preserve">near-miss information has prevention value, while a system that treats every report</ns0:t>
      </ns0:r>
      <ns0:r>
        <ns0:t xml:space="preserve"> </ns0:t>
      </ns0:r>
      <ns0:r>
        <ns0:t xml:space="preserve">as a confession encourages silence. The Aviation Safety Reporting Program uses</ns0:t>
      </ns0:r>
      <ns0:r>
        <ns0:t xml:space="preserve"> </ns0:t>
      </ns0:r>
      <ns0:r>
        <ns0:t xml:space="preserve">third-party reporting and a qualified, nonpunitive enforcement policy rather than blanket</ns0:t>
      </ns0:r>
      <ns0:r>
        <ns0:t xml:space="preserve"> </ns0:t>
      </ns0:r>
      <ns0:r>
        <ns0:t xml:space="preserve">immunity.</ns0:t>
      </ns0:r>
      <ns0:r>
        <ns0:rPr>
          <ns0:rStyle ns0:val="FootnoteReference"/>
        </ns0:rPr>
        <ns0:footnoteReference ns0:id="432"/>
      </ns0:r>
      <ns0:bookmarkStart ns0:id="433" ns0:name="x1-37004f50"/>
      <ns0:bookmarkEnd ns0:id="433"/>
      <ns0:r>
        <ns0:t xml:space="preserve"> </ns0:t>
      </ns0:r>
      <ns0:r>
        <ns0:t xml:space="preserve">The front-door record can follow the same incentive logic: protect good-faith reporting and</ns0:t>
      </ns0:r>
      <ns0:r>
        <ns0:t xml:space="preserve"> </ns0:t>
      </ns0:r>
      <ns0:r>
        <ns0:t xml:space="preserve">evidence preservation while retaining consequences for falsification, concealment, retaliation, and</ns0:t>
      </ns0:r>
      <ns0:r>
        <ns0:t xml:space="preserve"> </ns0:t>
      </ns0:r>
      <ns0:r>
        <ns0:t xml:space="preserve">unauthorized bypass.</ns0:t>
      </ns0:r>
    </ns0:p>
    <ns0:bookmarkEnd ns0:id="434"/>
    <ns0:bookmarkStart ns0:id="446" ns0:name="the-ftc-companionchatbot-orders"/>
    <ns0:p>
      <ns0:pPr>
        <ns0:pStyle ns0:val="Heading5"/>
      </ns0:pPr>
      <ns0:r>
        <ns0:t xml:space="preserve">2</ns0:t>
      </ns0:r>
      <ns0:r>
        <ns0:t xml:space="preserve"> </ns0:t>
      </ns0:r>
      <ns0:r>
        <ns0:t xml:space="preserve"> </ns0:t>
      </ns0:r>
      <ns0:bookmarkStart ns0:id="435" ns0:name="x1-380002"/>
      <ns0:bookmarkEnd ns0:id="435"/>
      <ns0:r>
        <ns0:t xml:space="preserve">The FTC Companion-Chatbot Orders</ns0:t>
      </ns0:r>
    </ns0:p>
    <ns0:p>
      <ns0:pPr>
        <ns0:pStyle ns0:val="FirstParagraph"/>
      </ns0:pPr>
      <ns0:r>
        <ns0:t xml:space="preserve">The Federal Trade Commission’s 2025 section 6(b) study shows that AI-deployment</ns0:t>
      </ns0:r>
      <ns0:r>
        <ns0:t xml:space="preserve"> </ns0:t>
      </ns0:r>
      <ns0:r>
        <ns0:t xml:space="preserve">records can be specified with considerably more precision than “produce the algorithm.”</ns0:t>
      </ns0:r>
      <ns0:r>
        <ns0:t xml:space="preserve"> </ns0:t>
      </ns0:r>
      <ns0:r>
        <ns0:t xml:space="preserve">The Commission ordered named firms to identify organizational roles, predeployment</ns0:t>
      </ns0:r>
      <ns0:r>
        <ns0:t xml:space="preserve"> </ns0:t>
      </ns0:r>
      <ns0:r>
        <ns0:t xml:space="preserve">standards and thresholds, deployment approvers, considered and rejected mitigations,</ns0:t>
      </ns0:r>
      <ns0:r>
        <ns0:t xml:space="preserve"> </ns0:t>
      </ns0:r>
      <ns0:r>
        <ns0:t xml:space="preserve">post-deployment monitoring, complaints, employee concerns, escalation, and</ns0:t>
      </ns0:r>
      <ns0:r>
        <ns0:t xml:space="preserve"> </ns0:t>
      </ns0:r>
      <ns0:r>
        <ns0:t xml:space="preserve">response.</ns0:t>
      </ns0:r>
      <ns0:r>
        <ns0:rPr>
          <ns0:rStyle ns0:val="FootnoteReference"/>
        </ns0:rPr>
        <ns0:footnoteReference ns0:id="439"/>
      </ns0:r>
      <ns0:bookmarkStart ns0:id="440" ns0:name="x1-38001f51"/>
      <ns0:bookmarkEnd ns0:id="440"/>
    </ns0:p>
    <ns0:p>
      <ns0:pPr>
        <ns0:pStyle ns0:val="BodyText"/>
      </ns0:pPr>
      <ns0:r>
        <ns0:t xml:space="preserve">Those specifications map directly onto the front-door functions. Organizational roles</ns0:t>
      </ns0:r>
      <ns0:r>
        <ns0:t xml:space="preserve"> </ns0:t>
      </ns0:r>
      <ns0:r>
        <ns0:t xml:space="preserve">identify the control lane. Thresholds and approvers define release authority. Rejected mitigations</ns0:t>
      </ns0:r>
      <ns0:r>
        <ns0:t xml:space="preserve"> </ns0:t>
      </ns0:r>
      <ns0:r>
        <ns0:t xml:space="preserve">record a decision without deciding whether it was unreasonable. Monitoring, complaints, employee</ns0:t>
      </ns0:r>
      <ns0:r>
        <ns0:t xml:space="preserve"> </ns0:t>
      </ns0:r>
      <ns0:r>
        <ns0:t xml:space="preserve">concerns, escalation, and response create a time-stamped feedback path. A sectoral statute can</ns0:t>
      </ns0:r>
      <ns0:r>
        <ns0:t xml:space="preserve"> </ns0:t>
      </ns0:r>
      <ns0:r>
        <ns0:t xml:space="preserve">standardize the same categories prospectively and permit a court to request only the subset</ns0:t>
      </ns0:r>
      <ns0:r>
        <ns0:t xml:space="preserve"> </ns0:t>
      </ns0:r>
      <ns0:r>
        <ns0:t xml:space="preserve">connected to a verified risk.</ns0:t>
      </ns0:r>
    </ns0:p>
    <ns0:p>
      <ns0:pPr>
        <ns0:pStyle ns0:val="BodyText"/>
      </ns0:pPr>
      <ns0:r>
        <ns0:t xml:space="preserve">NIST’s AI Risk Management Framework can supply terminology for lifecycle roles,</ns0:t>
      </ns0:r>
      <ns0:r>
        <ns0:t xml:space="preserve"> </ns0:t>
      </ns0:r>
      <ns0:r>
        <ns0:t xml:space="preserve">executive responsibility, third-party components, testing, feedback, monitoring, and</ns0:t>
      </ns0:r>
      <ns0:r>
        <ns0:t xml:space="preserve"> </ns0:t>
      </ns0:r>
      <ns0:r>
        <ns0:t xml:space="preserve">decommissioning.</ns0:t>
      </ns0:r>
      <ns0:r>
        <ns0:rPr>
          <ns0:rStyle ns0:val="FootnoteReference"/>
        </ns0:rPr>
        <ns0:footnoteReference ns0:id="444"/>
      </ns0:r>
      <ns0:bookmarkStart ns0:id="445" ns0:name="x1-38004f52"/>
      <ns0:bookmarkEnd ns0:id="445"/>
      <ns0:r>
        <ns0:t xml:space="preserve"> </ns0:t>
      </ns0:r>
      <ns0:r>
        <ns0:t xml:space="preserve">Its voluntary framework remains a vocabulary source. FAA rules and a sector-specific statute</ns0:t>
      </ns0:r>
      <ns0:r>
        <ns0:t xml:space="preserve"> </ns0:t>
      </ns0:r>
      <ns0:r>
        <ns0:t xml:space="preserve">supply legal obligation; the FTC orders demonstrate that the responsive information can be</ns0:t>
      </ns0:r>
      <ns0:r>
        <ns0:t xml:space="preserve"> </ns0:t>
      </ns0:r>
      <ns0:r>
        <ns0:t xml:space="preserve">operationally defined.</ns0:t>
      </ns0:r>
    </ns0:p>
    <ns0:bookmarkEnd ns0:id="446"/>
    <ns0:bookmarkStart ns0:id="465" ns0:name="X70f81613e64c266e88fae370eca995aa5706d42"/>
    <ns0:p>
      <ns0:pPr>
        <ns0:pStyle ns0:val="Heading5"/>
      </ns0:pPr>
      <ns0:r>
        <ns0:t xml:space="preserve">3</ns0:t>
      </ns0:r>
      <ns0:r>
        <ns0:t xml:space="preserve"> </ns0:t>
      </ns0:r>
      <ns0:r>
        <ns0:t xml:space="preserve"> </ns0:t>
      </ns0:r>
      <ns0:bookmarkStart ns0:id="447" ns0:name="x1-390003"/>
      <ns0:bookmarkEnd ns0:id="447"/>
      <ns0:r>
        <ns0:t xml:space="preserve">The FCRA’s Private-Actor First-Answer Sequence</ns0:t>
      </ns0:r>
    </ns0:p>
    <ns0:p>
      <ns0:pPr>
        <ns0:pStyle ns0:val="FirstParagraph"/>
      </ns0:pPr>
      <ns0:r>
        <ns0:t xml:space="preserve">The Fair Credit Reporting Act supplies the closest domestic analogue for a private-actor</ns0:t>
      </ns0:r>
      <ns0:r>
        <ns0:t xml:space="preserve"> </ns0:t>
      </ns0:r>
      <ns0:r>
        <ns0:t xml:space="preserve">gateway. In employment, a user generally must give the consumer a copy of the</ns0:t>
      </ns0:r>
      <ns0:r>
        <ns0:t xml:space="preserve"> </ns0:t>
      </ns0:r>
      <ns0:r>
        <ns0:t xml:space="preserve">report and a rights summary before taking an adverse action based on that</ns0:t>
      </ns0:r>
      <ns0:r>
        <ns0:t xml:space="preserve"> </ns0:t>
      </ns0:r>
      <ns0:r>
        <ns0:t xml:space="preserve">report.</ns0:t>
      </ns0:r>
      <ns0:r>
        <ns0:rPr>
          <ns0:rStyle ns0:val="FootnoteReference"/>
        </ns0:rPr>
        <ns0:footnoteReference ns0:id="451"/>
      </ns0:r>
      <ns0:bookmarkStart ns0:id="451" ns0:name="x1-39001f53"/>
      <ns0:bookmarkEnd ns0:id="451"/>
      <ns0:r>
        <ns0:t xml:space="preserve"> </ns0:t>
      </ns0:r>
      <ns0:r>
        <ns0:t xml:space="preserve">After a covered adverse action, the visible decision user must notify the consumer, identify</ns0:t>
      </ns0:r>
      <ns0:r>
        <ns0:t xml:space="preserve"> </ns0:t>
      </ns0:r>
      <ns0:r>
        <ns0:t xml:space="preserve">the consumer reporting agency that supplied the report, state that the agency did not</ns0:t>
      </ns0:r>
      <ns0:r>
        <ns0:t xml:space="preserve"> </ns0:t>
      </ns0:r>
      <ns0:r>
        <ns0:t xml:space="preserve">make the decision, and give notice of the right to obtain a free report and dispute its</ns0:t>
      </ns0:r>
      <ns0:r>
        <ns0:t xml:space="preserve"> </ns0:t>
      </ns0:r>
      <ns0:r>
        <ns0:t xml:space="preserve">accuracy.</ns0:t>
      </ns0:r>
      <ns0:r>
        <ns0:rPr>
          <ns0:rStyle ns0:val="FootnoteReference"/>
        </ns0:rPr>
        <ns0:footnoteReference ns0:id="455"/>
      </ns0:r>
      <ns0:bookmarkStart ns0:id="455" ns0:name="x1-39004f54"/>
      <ns0:bookmarkEnd ns0:id="455"/>
      <ns0:r>
        <ns0:t xml:space="preserve"> </ns0:t>
      </ns0:r>
      <ns0:r>
        <ns0:t xml:space="preserve">The agency, in turn, discloses the bounded consumer file, its sources, and</ns0:t>
      </ns0:r>
      <ns0:r>
        <ns0:t xml:space="preserve"> </ns0:t>
      </ns0:r>
      <ns0:r>
        <ns0:t xml:space="preserve">recent recipients; a dispute triggers reinvestigation and a defined route to the</ns0:t>
      </ns0:r>
      <ns0:r>
        <ns0:t xml:space="preserve"> </ns0:t>
      </ns0:r>
      <ns0:r>
        <ns0:t xml:space="preserve">furnisher.</ns0:t>
      </ns0:r>
      <ns0:r>
        <ns0:rPr>
          <ns0:rStyle ns0:val="FootnoteReference"/>
        </ns0:rPr>
        <ns0:footnoteReference ns0:id="459"/>
      </ns0:r>
      <ns0:bookmarkStart ns0:id="459" ns0:name="x1-39007f55"/>
      <ns0:bookmarkEnd ns0:id="459"/>
    </ns0:p>
    <ns0:p>
      <ns0:pPr>
        <ns0:pStyle ns0:val="BodyText"/>
      </ns0:pPr>
      <ns0:r>
        <ns0:t xml:space="preserve">That sequence separates merits from access and the visible actor from the upstream information</ns0:t>
      </ns0:r>
      <ns0:r>
        <ns0:t xml:space="preserve"> </ns0:t>
      </ns0:r>
      <ns0:r>
        <ns0:t xml:space="preserve">holder. Notice of adverse action does not establish that the report was inaccurate or that either</ns0:t>
      </ns0:r>
      <ns0:r>
        <ns0:t xml:space="preserve"> </ns0:t>
      </ns0:r>
      <ns0:r>
        <ns0:t xml:space="preserve">entity violated a merits duty. It routes the affected person to a bounded file and correction process.</ns0:t>
      </ns0:r>
      <ns0:r>
        <ns0:t xml:space="preserve"> </ns0:t>
      </ns0:r>
      <ns0:r>
        <ns0:t xml:space="preserve">The analogy concerns duties assigned to private actors, not a unitary private remedy: section</ns0:t>
      </ns0:r>
      <ns0:r>
        <ns0:t xml:space="preserve"> </ns0:t>
      </ns0:r>
      <ns0:r>
        <ns0:t xml:space="preserve">1681m(h)(8) excludes private civil actions for failures under section 1681m and assigns that</ns0:t>
      </ns0:r>
      <ns0:r>
        <ns0:t xml:space="preserve"> </ns0:t>
      </ns0:r>
      <ns0:r>
        <ns0:t xml:space="preserve">section to public enforcement, while other FCRA provisions carry their own enforcement</ns0:t>
      </ns0:r>
      <ns0:r>
        <ns0:t xml:space="preserve"> </ns0:t>
      </ns0:r>
      <ns0:r>
        <ns0:t xml:space="preserve">allocations.</ns0:t>
      </ns0:r>
      <ns0:r>
        <ns0:rPr>
          <ns0:rStyle ns0:val="FootnoteReference"/>
        </ns0:rPr>
        <ns0:footnoteReference ns0:id="463"/>
      </ns0:r>
      <ns0:bookmarkStart ns0:id="464" ns0:name="x1-39010f56"/>
      <ns0:bookmarkEnd ns0:id="464"/>
      <ns0:r>
        <ns0:t xml:space="preserve"> </ns0:t>
      </ns0:r>
      <ns0:r>
        <ns0:t xml:space="preserve">FCRA also applies only within its consumer-report architecture, generally presupposes an existing</ns0:t>
      </ns0:r>
      <ns0:r>
        <ns0:t xml:space="preserve"> </ns0:t>
      </ns0:r>
      <ns0:r>
        <ns0:t xml:space="preserve">file, and supplies neither an AI deployment map nor a material-control test. Its structural</ns0:t>
      </ns0:r>
      <ns0:r>
        <ns0:t xml:space="preserve"> </ns0:t>
      </ns0:r>
      <ns0:r>
        <ns0:t xml:space="preserve">lesson remains powerful: federal law can require the visible decision user to identify an</ns0:t>
      </ns0:r>
      <ns0:r>
        <ns0:t xml:space="preserve"> </ns0:t>
      </ns0:r>
      <ns0:r>
        <ns0:t xml:space="preserve">upstream record holder while expressly declining to treat that holder as the decisionmaker.</ns0:t>
      </ns0:r>
      <ns0:r>
        <ns0:t xml:space="preserve"> </ns0:t>
      </ns0:r>
      <ns0:r>
        <ns0:t xml:space="preserve">The front door adds the ex ante event and control record for legislatively designated</ns0:t>
      </ns0:r>
      <ns0:r>
        <ns0:t xml:space="preserve"> </ns0:t>
      </ns0:r>
      <ns0:r>
        <ns0:t xml:space="preserve">deployments.</ns0:t>
      </ns0:r>
    </ns0:p>
    <ns0:p>
      <ns0:pPr>
        <ns0:pStyle ns0:val="BodyText"/>
      </ns0:pPr>
      <ns0:r>
        <ns0:t xml:space="preserve">Together, the comparators answer feasibility at the right level. FAA Part 5 shows</ns0:t>
      </ns0:r>
      <ns0:r>
        <ns0:t xml:space="preserve"> </ns0:t>
      </ns0:r>
      <ns0:r>
        <ns0:t xml:space="preserve">prospective organizational records; the FTC orders show that deployment roles and events can be</ns0:t>
      </ns0:r>
      <ns0:r>
        <ns0:t xml:space="preserve"> </ns0:t>
      </ns0:r>
      <ns0:r>
        <ns0:t xml:space="preserve">specified; FCRA shows a private-actor routing sequence across a divided decision stack. For firms</ns0:t>
      </ns0:r>
      <ns0:r>
        <ns0:t xml:space="preserve"> </ns0:t>
      </ns0:r>
      <ns0:r>
        <ns0:t xml:space="preserve">already capable of version control, release management, access logging, vendor management,</ns0:t>
      </ns0:r>
      <ns0:r>
        <ns0:t xml:space="preserve"> </ns0:t>
      </ns0:r>
      <ns0:r>
        <ns0:t xml:space="preserve">incident response, and legal retention, the proposal connects those systems for designated</ns0:t>
      </ns0:r>
      <ns0:r>
        <ns0:t xml:space="preserve"> </ns0:t>
      </ns0:r>
      <ns0:r>
        <ns0:t xml:space="preserve">deployments. Sectoral designations can provide simplified forms and regulator assistance</ns0:t>
      </ns0:r>
      <ns0:r>
        <ns0:t xml:space="preserve"> </ns0:t>
      </ns0:r>
      <ns0:r>
        <ns0:t xml:space="preserve">where appropriate. Neither route requires a universal explanation of every internal model</ns0:t>
      </ns0:r>
      <ns0:r>
        <ns0:t xml:space="preserve"> </ns0:t>
      </ns0:r>
      <ns0:r>
        <ns0:t xml:space="preserve">state.</ns0:t>
      </ns0:r>
    </ns0:p>
    <ns0:bookmarkEnd ns0:id="465"/>
    <ns0:bookmarkEnd ns0:id="466"/>
    <ns0:bookmarkStart ns0:id="472" ns0:name="X16ad30c4d706d066ca5ea4f581954ce6b0ad1f3"/>
    <ns0:p>
      <ns0:pPr>
        <ns0:pStyle ns0:val="Heading4"/>
      </ns0:pPr>
      <ns0:r>
        <ns0:t xml:space="preserve">E</ns0:t>
      </ns0:r>
      <ns0:r>
        <ns0:t xml:space="preserve"> </ns0:t>
      </ns0:r>
      <ns0:r>
        <ns0:t xml:space="preserve"> </ns0:t>
      </ns0:r>
      <ns0:bookmarkStart ns0:id="467" ns0:name="x1-40000E"/>
      <ns0:bookmarkEnd ns0:id="467"/>
      <ns0:r>
        <ns0:t xml:space="preserve">Recordkeeping Risks Require Minimization by Design</ns0:t>
      </ns0:r>
    </ns0:p>
    <ns0:p>
      <ns0:pPr>
        <ns0:pStyle ns0:val="FirstParagraph"/>
      </ns0:pPr>
      <ns0:r>
        <ns0:t xml:space="preserve">Recordkeeping creates a distinct governance risk because recording can reshape</ns0:t>
      </ns0:r>
      <ns0:r>
        <ns0:t xml:space="preserve"> </ns0:t>
      </ns0:r>
      <ns0:r>
        <ns0:t xml:space="preserve">the organization being observed. In a 2025 survey of one hundred practitioners,</ns0:t>
      </ns0:r>
      <ns0:r>
        <ns0:t xml:space="preserve"> </ns0:t>
      </ns0:r>
      <ns0:r>
        <ns0:t xml:space="preserve">respondents described employee resistance, privacy tension, and uses extending beyond the</ns0:t>
      </ns0:r>
      <ns0:r>
        <ns0:t xml:space="preserve"> </ns0:t>
      </ns0:r>
      <ns0:r>
        <ns0:t xml:space="preserve">accountability purpose; forty-seven percent reported records used to monitor or improve staff</ns0:t>
      </ns0:r>
      <ns0:r>
        <ns0:t xml:space="preserve"> </ns0:t>
      </ns0:r>
      <ns0:r>
        <ns0:t xml:space="preserve">performance.</ns0:t>
      </ns0:r>
      <ns0:r>
        <ns0:rPr>
          <ns0:rStyle ns0:val="FootnoteReference"/>
        </ns0:rPr>
        <ns0:footnoteReference ns0:id="471"/>
      </ns0:r>
      <ns0:bookmarkStart ns0:id="471" ns0:name="x1-40001f57"/>
      <ns0:bookmarkEnd ns0:id="471"/>
      <ns0:r>
        <ns0:t xml:space="preserve"> </ns0:t>
      </ns0:r>
      <ns0:r>
        <ns0:t xml:space="preserve">A mandate framed as “retain everything” could expand employee and user surveillance, suppress</ns0:t>
      </ns0:r>
      <ns0:r>
        <ns0:t xml:space="preserve"> </ns0:t>
      </ns0:r>
      <ns0:r>
        <ns0:t xml:space="preserve">candid internal discussion, preserve sensitive data without purpose, and reward litigation</ns0:t>
      </ns0:r>
      <ns0:r>
        <ns0:t xml:space="preserve"> </ns0:t>
      </ns0:r>
      <ns0:r>
        <ns0:t xml:space="preserve">defensibility over safety value.</ns0:t>
      </ns0:r>
    </ns0:p>
    <ns0:p>
      <ns0:pPr>
        <ns0:pStyle ns0:val="BodyText"/>
      </ns0:pPr>
      <ns0:r>
        <ns0:t xml:space="preserve">The front door answers that risk in its data structure. The operator keeps a minimum</ns0:t>
      </ns0:r>
      <ns0:r>
        <ns0:t xml:space="preserve"> </ns0:t>
      </ns0:r>
      <ns0:r>
        <ns0:t xml:space="preserve">manifest rather than raw content by default. Identity, feedback, and event records use different</ns0:t>
      </ns0:r>
      <ns0:r>
        <ns0:t xml:space="preserve"> </ns0:t>
      </ns0:r>
      <ns0:r>
        <ns0:t xml:space="preserve">clocks. The event schema records that a threshold fired, which policy governed, and what response</ns0:t>
      </ns0:r>
      <ns0:r>
        <ns0:t xml:space="preserve"> </ns0:t>
      </ns0:r>
      <ns0:r>
        <ns0:t xml:space="preserve">followed; it does not require every conversation, keystroke, or unrelated user’s data.</ns0:t>
      </ns0:r>
      <ns0:r>
        <ns0:t xml:space="preserve"> </ns0:t>
      </ns0:r>
      <ns0:r>
        <ns0:t xml:space="preserve">Employee-performance monitoring is not a minimum field. Raw deliberative conversation,</ns0:t>
      </ns0:r>
      <ns0:r>
        <ns0:t xml:space="preserve"> </ns0:t>
      </ns0:r>
      <ns0:r>
        <ns0:t xml:space="preserve">protected health information, and intimate or third-party content remain outside unless a sectoral</ns0:t>
      </ns0:r>
      <ns0:r>
        <ns0:t xml:space="preserve"> </ns0:t>
      </ns0:r>
      <ns0:r>
        <ns0:t xml:space="preserve">designation expressly identifies a necessity and lawful protection. Automated capture</ns0:t>
      </ns0:r>
      <ns0:r>
        <ns0:t xml:space="preserve"> </ns0:t>
      </ns0:r>
      <ns0:r>
        <ns0:t xml:space="preserve">must be limited to defined events, stated purposes, authorized recipients, and a deletion</ns0:t>
      </ns0:r>
      <ns0:r>
        <ns0:t xml:space="preserve"> </ns0:t>
      </ns0:r>
      <ns0:r>
        <ns0:t xml:space="preserve">rule.</ns0:t>
      </ns0:r>
    </ns0:p>
    <ns0:p>
      <ns0:pPr>
        <ns0:pStyle ns0:val="BodyText"/>
      </ns0:pPr>
      <ns0:r>
        <ns0:t xml:space="preserve">The organizational record also separates report from decision. A good-faith risk report</ns0:t>
      </ns0:r>
      <ns0:r>
        <ns0:t xml:space="preserve"> </ns0:t>
      </ns0:r>
      <ns0:r>
        <ns0:t xml:space="preserve">records a signal, not an admission by the enterprise. The response record identifies who reviewed it,</ns0:t>
      </ns0:r>
      <ns0:r>
        <ns0:t xml:space="preserve"> </ns0:t>
      </ns0:r>
      <ns0:r>
        <ns0:t xml:space="preserve">what information was available, and what action followed. Protected escalation supports candor;</ns0:t>
      </ns0:r>
      <ns0:r>
        <ns0:t xml:space="preserve"> </ns0:t>
      </ns0:r>
      <ns0:r>
        <ns0:t xml:space="preserve">the merits firewall prevents the report’s existence from becoming automatic breach. Periodic</ns0:t>
      </ns0:r>
      <ns0:r>
        <ns0:t xml:space="preserve"> </ns0:t>
      </ns0:r>
      <ns0:r>
        <ns0:t xml:space="preserve">sampling tests whether the record resolves an event without converting continuous worker</ns0:t>
      </ns0:r>
      <ns0:r>
        <ns0:t xml:space="preserve"> </ns0:t>
      </ns0:r>
      <ns0:r>
        <ns0:t xml:space="preserve">observation into the measure of compliance. These specifications make minimization part of</ns0:t>
      </ns0:r>
      <ns0:r>
        <ns0:t xml:space="preserve"> </ns0:t>
      </ns0:r>
      <ns0:r>
        <ns0:t xml:space="preserve">observability rather than a promise added after collection.</ns0:t>
      </ns0:r>
    </ns0:p>
    <ns0:bookmarkEnd ns0:id="472"/>
    <ns0:bookmarkStart ns0:id="482" ns0:name="Xecd9a04b62efd8f961ae391a9a4ac0f1d5ab6ef"/>
    <ns0:p>
      <ns0:pPr>
        <ns0:pStyle ns0:val="Heading4"/>
      </ns0:pPr>
      <ns0:r>
        <ns0:t xml:space="preserve">F</ns0:t>
      </ns0:r>
      <ns0:r>
        <ns0:t xml:space="preserve"> </ns0:t>
      </ns0:r>
      <ns0:r>
        <ns0:t xml:space="preserve"> </ns0:t>
      </ns0:r>
      <ns0:bookmarkStart ns0:id="473" ns0:name="x1-41000F"/>
      <ns0:bookmarkEnd ns0:id="473"/>
      <ns0:r>
        <ns0:t xml:space="preserve">Accurate Records Require Protected Escalation</ns0:t>
      </ns0:r>
    </ns0:p>
    <ns0:p>
      <ns0:pPr>
        <ns0:pStyle ns0:val="FirstParagraph"/>
      </ns0:pPr>
      <ns0:r>
        <ns0:t xml:space="preserve">A reliable record duty depends on candid reporting by the people closest to a risk. A worker who,</ns0:t>
      </ns0:r>
      <ns0:r>
        <ns0:t xml:space="preserve"> </ns0:t>
      </ns0:r>
      <ns0:r>
        <ns0:t xml:space="preserve">in good faith and on an objectively reasonable basis, documents a designated risk, uses the</ns0:t>
      </ns0:r>
      <ns0:r>
        <ns0:t xml:space="preserve"> </ns0:t>
      </ns0:r>
      <ns0:r>
        <ns0:t xml:space="preserve">authorized escalation channel, and preserves evidence should receive the anti-retaliation protection</ns0:t>
      </ns0:r>
      <ns0:r>
        <ns0:t xml:space="preserve"> </ns0:t>
      </ns0:r>
      <ns0:r>
        <ns0:t xml:space="preserve">and defense or indemnification specified by governing law. The protection attaches to the</ns0:t>
      </ns0:r>
      <ns0:r>
        <ns0:t xml:space="preserve"> </ns0:t>
      </ns0:r>
      <ns0:r>
        <ns0:t xml:space="preserve">report and authorized conduct. Intentional harm, knowing falsification or destruction,</ns0:t>
      </ns0:r>
      <ns0:r>
        <ns0:t xml:space="preserve"> </ns0:t>
      </ns0:r>
      <ns0:r>
        <ns0:t xml:space="preserve">concealment, retaliation, corrupted evaluation, and unauthorized removal of a safeguard remain</ns0:t>
      </ns0:r>
      <ns0:r>
        <ns0:t xml:space="preserve"> </ns0:t>
      </ns0:r>
      <ns0:r>
        <ns0:t xml:space="preserve">outside.</ns0:t>
      </ns0:r>
    </ns0:p>
    <ns0:p>
      <ns0:pPr>
        <ns0:pStyle ns0:val="BodyText"/>
      </ns0:pPr>
      <ns0:r>
        <ns0:t xml:space="preserve">This allocation aligns information with authority. A safety engineer may understand a</ns0:t>
      </ns0:r>
      <ns0:r>
        <ns0:t xml:space="preserve"> </ns0:t>
      </ns0:r>
      <ns0:r>
        <ns0:t xml:space="preserve">failure mode without controlling release; a product manager may control schedule without</ns0:t>
      </ns0:r>
      <ns0:r>
        <ns0:t xml:space="preserve"> </ns0:t>
      </ns0:r>
      <ns0:r>
        <ns0:t xml:space="preserve">receiving the signal; an operating professional may see an abnormal output without the</ns0:t>
      </ns0:r>
      <ns0:r>
        <ns0:t xml:space="preserve"> </ns0:t>
      </ns0:r>
      <ns0:r>
        <ns0:t xml:space="preserve">evaluation history. The record shows what moved between them, when it moved, and who</ns0:t>
      </ns0:r>
      <ns0:r>
        <ns0:t xml:space="preserve"> </ns0:t>
      </ns0:r>
      <ns0:r>
        <ns0:t xml:space="preserve">could act. Protecting documented escalation makes the record reliable, while separate</ns0:t>
      </ns0:r>
      <ns0:r>
        <ns0:t xml:space="preserve"> </ns0:t>
      </ns0:r>
      <ns0:r>
        <ns0:t xml:space="preserve">treatment of the organizational response prevents every report from becoming a merits</ns0:t>
      </ns0:r>
      <ns0:r>
        <ns0:t xml:space="preserve"> </ns0:t>
      </ns0:r>
      <ns0:r>
        <ns0:t xml:space="preserve">admission.</ns0:t>
      </ns0:r>
    </ns0:p>
    <ns0:p>
      <ns0:pPr>
        <ns0:pStyle ns0:val="BodyText"/>
      </ns0:pPr>
      <ns0:r>
        <ns0:t xml:space="preserve">Existing compliance and whistleblower regimes confirm the institutional principle while</ns0:t>
      </ns0:r>
      <ns0:r>
        <ns0:t xml:space="preserve"> </ns0:t>
      </ns0:r>
      <ns0:r>
        <ns0:t xml:space="preserve">supplying different scopes and remedies. The Organizational Sentencing Guidelines treat</ns0:t>
      </ns0:r>
      <ns0:r>
        <ns0:t xml:space="preserve"> </ns0:t>
      </ns0:r>
      <ns0:r>
        <ns0:t xml:space="preserve">leadership responsibility, adequate authority and resources, reporting without fear of</ns0:t>
      </ns0:r>
      <ns0:r>
        <ns0:t xml:space="preserve"> </ns0:t>
      </ns0:r>
      <ns0:r>
        <ns0:t xml:space="preserve">retaliation, enforcement, response, and periodic risk assessment as components of an effective</ns0:t>
      </ns0:r>
      <ns0:r>
        <ns0:t xml:space="preserve"> </ns0:t>
      </ns0:r>
      <ns0:r>
        <ns0:t xml:space="preserve">program.</ns0:t>
      </ns0:r>
      <ns0:r>
        <ns0:rPr>
          <ns0:rStyle ns0:val="FootnoteReference"/>
        </ns0:rPr>
        <ns0:footnoteReference ns0:id="477"/>
      </ns0:r>
      <ns0:bookmarkStart ns0:id="476" ns0:name="x1-41001f58"/>
      <ns0:bookmarkEnd ns0:id="476"/>
      <ns0:r>
        <ns0:t xml:space="preserve"> </ns0:t>
      </ns0:r>
      <ns0:r>
        <ns0:t xml:space="preserve">Sectoral statutes protect specified reports and refusals under defined causation and remedy</ns0:t>
      </ns0:r>
      <ns0:r>
        <ns0:t xml:space="preserve"> </ns0:t>
      </ns0:r>
      <ns0:r>
        <ns0:t xml:space="preserve">standards.</ns0:t>
      </ns0:r>
      <ns0:r>
        <ns0:rPr>
          <ns0:rStyle ns0:val="FootnoteReference"/>
        </ns0:rPr>
        <ns0:footnoteReference ns0:id="480"/>
      </ns0:r>
      <ns0:bookmarkStart ns0:id="481" ns0:name="x1-41003f59"/>
      <ns0:bookmarkEnd ns0:id="481"/>
      <ns0:r>
        <ns0:t xml:space="preserve"> </ns0:t>
      </ns0:r>
      <ns0:r>
        <ns0:t xml:space="preserve">A front-door enactment should state its own scope rather than import every privilege or immunity</ns0:t>
      </ns0:r>
      <ns0:r>
        <ns0:t xml:space="preserve"> </ns0:t>
      </ns0:r>
      <ns0:r>
        <ns0:t xml:space="preserve">from those regimes.</ns0:t>
      </ns0:r>
    </ns0:p>
    <ns0:bookmarkEnd ns0:id="482"/>
    <ns0:bookmarkStart ns0:id="487" ns0:name="the-record-is-also-a-defense-asset"/>
    <ns0:p>
      <ns0:pPr>
        <ns0:pStyle ns0:val="Heading4"/>
      </ns0:pPr>
      <ns0:r>
        <ns0:t xml:space="preserve">G</ns0:t>
      </ns0:r>
      <ns0:r>
        <ns0:t xml:space="preserve"> </ns0:t>
      </ns0:r>
      <ns0:r>
        <ns0:t xml:space="preserve"> </ns0:t>
      </ns0:r>
      <ns0:bookmarkStart ns0:id="483" ns0:name="x1-42000G"/>
      <ns0:bookmarkEnd ns0:id="483"/>
      <ns0:r>
        <ns0:t xml:space="preserve">The Record Is Also a Defense Asset</ns0:t>
      </ns0:r>
    </ns0:p>
    <ns0:p>
      <ns0:pPr>
        <ns0:pStyle ns0:val="FirstParagraph"/>
      </ns0:pPr>
      <ns0:r>
        <ns0:t xml:space="preserve">The front door is an information rule, and information can defeat a claim. A version record can</ns0:t>
      </ns0:r>
      <ns0:r>
        <ns0:t xml:space="preserve"> </ns0:t>
      </ns0:r>
      <ns0:r>
        <ns0:t xml:space="preserve">show that the challenged feature was inactive. A configuration log can show that an</ns0:t>
      </ns0:r>
      <ns0:r>
        <ns0:t xml:space="preserve"> </ns0:t>
      </ns0:r>
      <ns0:r>
        <ns0:t xml:space="preserve">independent deployer supplied the tool or removed a safeguard. An incident sequence</ns0:t>
      </ns0:r>
      <ns0:r>
        <ns0:t xml:space="preserve"> </ns0:t>
      </ns0:r>
      <ns0:r>
        <ns0:t xml:space="preserve">can show that a warning appeared, an intervention fired, or a user edited the relevant</ns0:t>
      </ns0:r>
      <ns0:r>
        <ns0:t xml:space="preserve"> </ns0:t>
      </ns0:r>
      <ns0:r>
        <ns0:t xml:space="preserve">content. Evaluation and approval records can show that the enterprise tested the asserted</ns0:t>
      </ns0:r>
      <ns0:r>
        <ns0:t xml:space="preserve"> </ns0:t>
      </ns0:r>
      <ns0:r>
        <ns0:t xml:space="preserve">risk, adopted a response supported by the information then available, and monitored</ns0:t>
      </ns0:r>
      <ns0:r>
        <ns0:t xml:space="preserve"> </ns0:t>
      </ns0:r>
      <ns0:r>
        <ns0:t xml:space="preserve">operation. A stop record can show that an actor lacked the practical authority the claimant</ns0:t>
      </ns0:r>
      <ns0:r>
        <ns0:t xml:space="preserve"> </ns0:t>
      </ns0:r>
      <ns0:r>
        <ns0:t xml:space="preserve">alleges.</ns0:t>
      </ns0:r>
    </ns0:p>
    <ns0:p>
      <ns0:pPr>
        <ns0:pStyle ns0:val="BodyText"/>
      </ns0:pPr>
      <ns0:r>
        <ns0:t xml:space="preserve">This defense value is especially important for stochastic systems. “The model can be</ns0:t>
      </ns0:r>
      <ns0:r>
        <ns0:t xml:space="preserve"> </ns0:t>
      </ns0:r>
      <ns0:r>
        <ns0:t xml:space="preserve">unpredictable” states a general property. A record can show whether the particular event fell</ns0:t>
      </ns0:r>
      <ns0:r>
        <ns0:t xml:space="preserve"> </ns0:t>
      </ns0:r>
      <ns0:r>
        <ns0:t xml:space="preserve">within an evaluated range, which controls were active, which feedback arrived, and whether the</ns0:t>
      </ns0:r>
      <ns0:r>
        <ns0:t xml:space="preserve"> </ns0:t>
      </ns0:r>
      <ns0:r>
        <ns0:t xml:space="preserve">proposed alternative would have changed the sequence. It permits a defendant to establish</ns0:t>
      </ns0:r>
      <ns0:r>
        <ns0:t xml:space="preserve"> </ns0:t>
      </ns0:r>
      <ns0:r>
        <ns0:t xml:space="preserve">reasonable preparation, intervening modification, user circumvention, or unavoidable residual risk</ns0:t>
      </ns0:r>
      <ns0:r>
        <ns0:t xml:space="preserve"> </ns0:t>
      </ns0:r>
      <ns0:r>
        <ns0:t xml:space="preserve">with evidence rather than a category label.</ns0:t>
      </ns0:r>
    </ns0:p>
    <ns0:p>
      <ns0:pPr>
        <ns0:pStyle ns0:val="BodyText"/>
      </ns0:pPr>
      <ns0:r>
        <ns0:t xml:space="preserve">The record also disciplines historical claims. Research published after an</ns0:t>
      </ns0:r>
      <ns0:r>
        <ns0:t xml:space="preserve"> </ns0:t>
      </ns0:r>
      <ns0:r>
        <ns0:t xml:space="preserve">event may identify a variable worth testing without proving what a defendant knew</ns0:t>
      </ns0:r>
      <ns0:r>
        <ns0:t xml:space="preserve"> </ns0:t>
      </ns0:r>
      <ns0:r>
        <ns0:t xml:space="preserve">earlier. A mitigation developed later may show a technically describable control</ns0:t>
      </ns0:r>
      <ns0:r>
        <ns0:t xml:space="preserve"> </ns0:t>
      </ns0:r>
      <ns0:r>
        <ns0:t xml:space="preserve">without establishing that it was feasible, required, or admissible for the earlier</ns0:t>
      </ns0:r>
      <ns0:r>
        <ns0:t xml:space="preserve"> </ns0:t>
      </ns0:r>
      <ns0:r>
        <ns0:t xml:space="preserve">deployment.</ns0:t>
      </ns0:r>
      <ns0:r>
        <ns0:rPr>
          <ns0:rStyle ns0:val="FootnoteReference"/>
        </ns0:rPr>
        <ns0:footnoteReference ns0:id="487"/>
      </ns0:r>
      <ns0:bookmarkStart ns0:id="486" ns0:name="x1-42001f60"/>
      <ns0:bookmarkEnd ns0:id="486"/>
      <ns0:r>
        <ns0:t xml:space="preserve"> </ns0:t>
      </ns0:r>
      <ns0:r>
        <ns0:t xml:space="preserve">Versioned evaluations, resource decisions, complaints, and contemporaneous alternatives locate the</ns0:t>
      </ns0:r>
      <ns0:r>
        <ns0:t xml:space="preserve"> </ns0:t>
      </ns0:r>
      <ns0:r>
        <ns0:t xml:space="preserve">inquiry at the correct time.</ns0:t>
      </ns0:r>
    </ns0:p>
    <ns0:p>
      <ns0:pPr>
        <ns0:pStyle ns0:val="BodyText"/>
      </ns0:pPr>
      <ns0:r>
        <ns0:t xml:space="preserve">The infrastructure therefore serves both sides of the core proposition. It prevents a claimant</ns0:t>
      </ns0:r>
      <ns0:r>
        <ns0:t xml:space="preserve"> </ns0:t>
      </ns0:r>
      <ns0:r>
        <ns0:t xml:space="preserve">from losing because the relevant deployment was invisible. It prevents an enterprise from</ns0:t>
      </ns0:r>
      <ns0:r>
        <ns0:t xml:space="preserve"> </ns0:t>
      </ns0:r>
      <ns0:r>
        <ns0:t xml:space="preserve">losing because a court must infer a deployment from a frightening output alone. The</ns0:t>
      </ns0:r>
      <ns0:r>
        <ns0:t xml:space="preserve"> </ns0:t>
      </ns0:r>
      <ns0:r>
        <ns0:t xml:space="preserve">front door makes the record reachable; the record allows ordinary law to distinguish the</ns0:t>
      </ns0:r>
      <ns0:r>
        <ns0:t xml:space="preserve"> </ns0:t>
      </ns0:r>
      <ns0:r>
        <ns0:t xml:space="preserve">two.</ns0:t>
      </ns0:r>
    </ns0:p>
    <ns0:bookmarkEnd ns0:id="487"/>
    <ns0:bookmarkEnd ns0:id="488"/>
    <ns0:bookmarkStart ns0:id="566" ns0:name="X507690928aa67b85f2b8ff948030b87102a043b"/>
    <ns0:p>
      <ns0:pPr>
        <ns0:pStyle ns0:val="Heading3"/>
      </ns0:pPr>
      <ns0:r>
        <ns0:t xml:space="preserve">V</ns0:t>
      </ns0:r>
      <ns0:r>
        <ns0:t xml:space="preserve"> </ns0:t>
      </ns0:r>
      <ns0:r>
        <ns0:t xml:space="preserve"> </ns0:t>
      </ns0:r>
      <ns0:bookmarkStart ns0:id="489" ns0:name="x1-43000V"/>
      <ns0:bookmarkEnd ns0:id="489"/>
      <ns0:r>
        <ns0:t xml:space="preserve">The Merits Firewall and Administrable Boundaries</ns0:t>
      </ns0:r>
    </ns0:p>
    <ns0:p>
      <ns0:pPr>
        <ns0:pStyle ns0:val="FirstParagraph"/>
      </ns0:pPr>
      <ns0:r>
        <ns0:t xml:space="preserve">The front door is an access right with a defined stopping point. It begins only with an adverse</ns0:t>
      </ns0:r>
      <ns0:r>
        <ns0:t xml:space="preserve"> </ns0:t>
      </ns0:r>
      <ns0:r>
        <ns0:t xml:space="preserve">event affecting a legislatively specified interest, supplies a closed first answer, and expands only</ns0:t>
      </ns0:r>
      <ns0:r>
        <ns0:t xml:space="preserve"> </ns0:t>
      </ns0:r>
      <ns0:r>
        <ns0:t xml:space="preserve">upon a claim-specific showing. It changes no element of the underlying cause of action. Four</ns0:t>
      </ns0:r>
      <ns0:r>
        <ns0:t xml:space="preserve"> </ns0:t>
      </ns0:r>
      <ns0:r>
        <ns0:t xml:space="preserve">boundaries make that allocation durable: existing law defines the protected interest; constitutional</ns0:t>
      </ns0:r>
      <ns0:r>
        <ns0:t xml:space="preserve"> </ns0:t>
      </ns0:r>
      <ns0:r>
        <ns0:t xml:space="preserve">and confidentiality rules shape disclosure; arbitration, territorial limits, and federal</ns0:t>
      </ns0:r>
      <ns0:r>
        <ns0:t xml:space="preserve"> </ns0:t>
      </ns0:r>
      <ns0:r>
        <ns0:t xml:space="preserve">preemption govern the enforcing forum; and product or speech classification remains for the</ns0:t>
      </ns0:r>
      <ns0:r>
        <ns0:t xml:space="preserve"> </ns0:t>
      </ns0:r>
      <ns0:r>
        <ns0:t xml:space="preserve">merits.</ns0:t>
      </ns0:r>
    </ns0:p>
    <ns0:bookmarkStart ns0:id="495" ns0:name="existing-legal-interests-define-the-gate"/>
    <ns0:p>
      <ns0:pPr>
        <ns0:pStyle ns0:val="Heading4"/>
      </ns0:pPr>
      <ns0:r>
        <ns0:t xml:space="preserve">A</ns0:t>
      </ns0:r>
      <ns0:r>
        <ns0:t xml:space="preserve"> </ns0:t>
      </ns0:r>
      <ns0:r>
        <ns0:t xml:space="preserve"> </ns0:t>
      </ns0:r>
      <ns0:bookmarkStart ns0:id="490" ns0:name="x1-44000A"/>
      <ns0:bookmarkEnd ns0:id="490"/>
      <ns0:r>
        <ns0:t xml:space="preserve">Existing Legal Interests Define the Gate</ns0:t>
      </ns0:r>
    </ns0:p>
    <ns0:p>
      <ns0:pPr>
        <ns0:pStyle ns0:val="FirstParagraph"/>
      </ns0:pPr>
      <ns0:r>
        <ns0:t xml:space="preserve">The designation identifies the legal interests that justify compulsory observability. Employment</ns0:t>
      </ns0:r>
      <ns0:r>
        <ns0:t xml:space="preserve"> </ns0:t>
      </ns0:r>
      <ns0:r>
        <ns0:t xml:space="preserve">opportunity, credit, housing, public benefits, health, education, physical safety, and the welfare of</ns0:t>
      </ns0:r>
      <ns0:r>
        <ns0:t xml:space="preserve"> </ns0:t>
      </ns0:r>
      <ns0:r>
        <ns0:t xml:space="preserve">minors already receive legal protection in defined settings. A legislature can select a deployment</ns0:t>
      </ns0:r>
      <ns0:r>
        <ns0:t xml:space="preserve"> </ns0:t>
      </ns0:r>
      <ns0:r>
        <ns0:t xml:space="preserve">category in which affected people predictably lack identity and event facts needed to invoke</ns0:t>
      </ns0:r>
      <ns0:r>
        <ns0:t xml:space="preserve"> </ns0:t>
      </ns0:r>
      <ns0:r>
        <ns0:t xml:space="preserve">that protection. Capability, marketing, or dissatisfaction alone never opens the front</ns0:t>
      </ns0:r>
      <ns0:r>
        <ns0:t xml:space="preserve"> </ns0:t>
      </ns0:r>
      <ns0:r>
        <ns0:t xml:space="preserve">door.</ns0:t>
      </ns0:r>
    </ns0:p>
    <ns0:p>
      <ns0:pPr>
        <ns0:pStyle ns0:val="BodyText"/>
      </ns0:pPr>
      <ns0:r>
        <ns0:t xml:space="preserve">Stage One therefore requires an adverse event affecting an interest protected by the law</ns0:t>
      </ns0:r>
      <ns0:r>
        <ns0:t xml:space="preserve"> </ns0:t>
      </ns0:r>
      <ns0:r>
        <ns0:t xml:space="preserve">named in the designation. It does not require the affected person to plead a complete underlying</ns0:t>
      </ns0:r>
      <ns0:r>
        <ns0:t xml:space="preserve"> </ns0:t>
      </ns0:r>
      <ns0:r>
        <ns0:t xml:space="preserve">cause of action before receiving fields that the operator alone possesses. Nor does it create a</ns0:t>
      </ns0:r>
      <ns0:r>
        <ns0:t xml:space="preserve"> </ns0:t>
      </ns0:r>
      <ns0:r>
        <ns0:t xml:space="preserve">freestanding right to audit a business. A rejected applicant identifies the job, adverse</ns0:t>
      </ns0:r>
      <ns0:r>
        <ns0:t xml:space="preserve"> </ns0:t>
      </ns0:r>
      <ns0:r>
        <ns0:t xml:space="preserve">disposition, covered screening process, and event fields. A benefits recipient identifies</ns0:t>
      </ns0:r>
      <ns0:r>
        <ns0:t xml:space="preserve"> </ns0:t>
      </ns0:r>
      <ns0:r>
        <ns0:t xml:space="preserve">the entitlement, challenged action, and covered calculation. A companion-service user</ns0:t>
      </ns0:r>
      <ns0:r>
        <ns0:t xml:space="preserve"> </ns0:t>
      </ns0:r>
      <ns0:r>
        <ns0:t xml:space="preserve">identifies the covered interaction and protected interest. A preference for another model, a</ns0:t>
      </ns0:r>
      <ns0:r>
        <ns0:t xml:space="preserve"> </ns0:t>
      </ns0:r>
      <ns0:r>
        <ns0:t xml:space="preserve">demand for human conversation, or an assertion that an output felt wrong does not</ns0:t>
      </ns0:r>
      <ns0:r>
        <ns0:t xml:space="preserve"> </ns0:t>
      </ns0:r>
      <ns0:r>
        <ns0:t xml:space="preserve">qualify.</ns0:t>
      </ns0:r>
    </ns0:p>
    <ns0:p>
      <ns0:pPr>
        <ns0:pStyle ns0:val="BodyText"/>
      </ns0:pPr>
      <ns0:r>
        <ns0:t xml:space="preserve">That gate preserves the heterogeneity of AI disputes. Some AI-associated losses have no private</ns0:t>
      </ns0:r>
      <ns0:r>
        <ns0:t xml:space="preserve"> </ns0:t>
      </ns0:r>
      <ns0:r>
        <ns0:t xml:space="preserve">remedy; others sound in contract, tort, antidiscrimination, administrative, consumer-protection, or no-liability</ns0:t>
      </ns0:r>
      <ns0:r>
        <ns0:t xml:space="preserve"> </ns0:t>
      </ns0:r>
      <ns0:r>
        <ns0:t xml:space="preserve">rules.</ns0:t>
      </ns0:r>
      <ns0:r>
        <ns0:rPr>
          <ns0:rStyle ns0:val="FootnoteReference"/>
        </ns0:rPr>
        <ns0:footnoteReference ns0:id="494"/>
      </ns0:r>
      <ns0:bookmarkStart ns0:id="494" ns0:name="x1-44001f61"/>
      <ns0:bookmarkEnd ns0:id="494"/>
      <ns0:r>
        <ns0:t xml:space="preserve"> </ns0:t>
      </ns0:r>
      <ns0:r>
        <ns0:t xml:space="preserve">The first answer locates the event within the applicable law. If the designated interest, enforcement</ns0:t>
      </ns0:r>
      <ns0:r>
        <ns0:t xml:space="preserve"> </ns0:t>
      </ns0:r>
      <ns0:r>
        <ns0:t xml:space="preserve">route, or requested field falls outside the statute, the access action ends. If a pure legal</ns0:t>
      </ns0:r>
      <ns0:r>
        <ns0:t xml:space="preserve"> </ns0:t>
      </ns0:r>
      <ns0:r>
        <ns0:t xml:space="preserve">defense—jurisdiction, immunity, express preemption, no private right, or a limitations bar apparent</ns0:t>
      </ns0:r>
      <ns0:r>
        <ns0:t xml:space="preserve"> </ns0:t>
      </ns0:r>
      <ns0:r>
        <ns0:t xml:space="preserve">from the notice—disposes of the statutory access claim, the tribunal can decide it before Stage</ns0:t>
      </ns0:r>
      <ns0:r>
        <ns0:t xml:space="preserve"> </ns0:t>
      </ns0:r>
      <ns0:r>
        <ns0:t xml:space="preserve">Two.</ns0:t>
      </ns0:r>
    </ns0:p>
    <ns0:p>
      <ns0:pPr>
        <ns0:pStyle ns0:val="BodyText"/>
      </ns0:pPr>
      <ns0:r>
        <ns0:t xml:space="preserve">Once the first answer identifies the deployment and custodian, the allocation established in</ns0:t>
      </ns0:r>
      <ns0:r>
        <ns0:t xml:space="preserve"> </ns0:t>
      </ns0:r>
      <ns0:r>
        <ns0:t xml:space="preserve">Section </ns0:t>
      </ns0:r>
      <ns0:hyperlink ns0:anchor="X0d45b1bf289ec41abdcdcdd96a97e2c1be6f103">
        <ns0:r>
          <ns0:rPr>
            <ns0:rStyle ns0:val="Hyperlink"/>
          </ns0:rPr>
          <ns0:t xml:space="preserve">C</ns0:t>
        </ns0:r>
      </ns0:hyperlink>
      <ns0:r>
        <ns0:t xml:space="preserve"> </ns0:t>
      </ns0:r>
      <ns0:r>
        <ns0:t xml:space="preserve">applies on better factual predicates. Rule 8 governs any federal complaint; Rules 26,</ns0:t>
      </ns0:r>
      <ns0:r>
        <ns0:t xml:space="preserve"> </ns0:t>
      </ns0:r>
      <ns0:r>
        <ns0:t xml:space="preserve">34, and 45 govern claim-specific production; Rule 15 governs amendment. The statute</ns0:t>
      </ns0:r>
      <ns0:r>
        <ns0:t xml:space="preserve"> </ns0:t>
      </ns0:r>
      <ns0:r>
        <ns0:t xml:space="preserve">creates the object and fixed access entitlement that those rules do not create. It does not</ns0:t>
      </ns0:r>
      <ns0:r>
        <ns0:t xml:space="preserve"> </ns0:t>
      </ns0:r>
      <ns0:r>
        <ns0:t xml:space="preserve">supply an AI-specific standard of care, causation rule, product classification, or damages</ns0:t>
      </ns0:r>
      <ns0:r>
        <ns0:t xml:space="preserve"> </ns0:t>
      </ns0:r>
      <ns0:r>
        <ns0:t xml:space="preserve">measure.</ns0:t>
      </ns0:r>
    </ns0:p>
    <ns0:p>
      <ns0:pPr>
        <ns0:pStyle ns0:val="BodyText"/>
      </ns0:pPr>
      <ns0:r>
        <ns0:t xml:space="preserve">The legal-interest gate also limits cost. The operator bears ordinary expense for the local</ns0:t>
      </ns0:r>
      <ns0:r>
        <ns0:t xml:space="preserve"> </ns0:t>
      </ns0:r>
      <ns0:r>
        <ns0:t xml:space="preserve">manifest and first answer because observability is a condition of covered operation.</ns0:t>
      </ns0:r>
      <ns0:r>
        <ns0:t xml:space="preserve"> </ns0:t>
      </ns0:r>
      <ns0:r>
        <ns0:t xml:space="preserve">Extraordinary formatting or an expert protocol can be allocated under the designation and</ns0:t>
      </ns0:r>
      <ns0:r>
        <ns0:t xml:space="preserve"> </ns0:t>
      </ns0:r>
      <ns0:r>
        <ns0:t xml:space="preserve">forum law. An incomplete or evasive answer shifts the reasonable expense it causes. An</ns0:t>
      </ns0:r>
      <ns0:r>
        <ns0:t xml:space="preserve"> </ns0:t>
      </ns0:r>
      <ns0:r>
        <ns0:t xml:space="preserve">enterprise outside the prima facie control lane exits after Stage One. Those rules make the</ns0:t>
      </ns0:r>
      <ns0:r>
        <ns0:t xml:space="preserve"> </ns0:t>
      </ns0:r>
      <ns0:r>
        <ns0:t xml:space="preserve">information right usable without turning every covered deployment into continuing public</ns0:t>
      </ns0:r>
      <ns0:r>
        <ns0:t xml:space="preserve"> </ns0:t>
      </ns0:r>
      <ns0:r>
        <ns0:t xml:space="preserve">discovery.</ns0:t>
      </ns0:r>
    </ns0:p>
    <ns0:bookmarkEnd ns0:id="495"/>
    <ns0:bookmarkStart ns0:id="511" ns0:name="X64f128467567ab17075eb48d3ab4c084add7f59"/>
    <ns0:p>
      <ns0:pPr>
        <ns0:pStyle ns0:val="Heading4"/>
      </ns0:pPr>
      <ns0:r>
        <ns0:t xml:space="preserve">B</ns0:t>
      </ns0:r>
      <ns0:r>
        <ns0:t xml:space="preserve"> </ns0:t>
      </ns0:r>
      <ns0:r>
        <ns0:t xml:space="preserve"> </ns0:t>
      </ns0:r>
      <ns0:bookmarkStart ns0:id="496" ns0:name="x1-45000B"/>
      <ns0:bookmarkEnd ns0:id="496"/>
      <ns0:r>
        <ns0:t xml:space="preserve">Constitutional, Trade-Secret, and Privacy Protections Shape Access</ns0:t>
      </ns0:r>
    </ns0:p>
    <ns0:p>
      <ns0:pPr>
        <ns0:pStyle ns0:val="FirstParagraph"/>
      </ns0:pPr>
      <ns0:r>
        <ns0:t xml:space="preserve">A compelled answer must satisfy the Constitution as well as the model statute. The minimum</ns0:t>
      </ns0:r>
      <ns0:r>
        <ns0:t xml:space="preserve"> </ns0:t>
      </ns0:r>
      <ns0:r>
        <ns0:t xml:space="preserve">answer is transaction linked and principally factual: what system and version ran, which enterprise</ns0:t>
      </ns0:r>
      <ns0:r>
        <ns0:t xml:space="preserve"> </ns0:t>
      </ns0:r>
      <ns0:r>
        <ns0:t xml:space="preserve">holds the record, what output or notice occurred, and which role possessed listed authority. It is</ns0:t>
      </ns0:r>
      <ns0:r>
        <ns0:t xml:space="preserve"> </ns0:t>
      </ns0:r>
      <ns0:r>
        <ns0:t xml:space="preserve">delivered to the affected person or enforcing tribunal rather than published to the world. Those</ns0:t>
      </ns0:r>
      <ns0:r>
        <ns0:t xml:space="preserve"> </ns0:t>
      </ns0:r>
      <ns0:r>
        <ns0:t xml:space="preserve">features distinguish the first answer from compelled ideological speech or a requirement that an</ns0:t>
      </ns0:r>
      <ns0:r>
        <ns0:t xml:space="preserve"> </ns0:t>
      </ns0:r>
      <ns0:r>
        <ns0:t xml:space="preserve">enterprise confess legal fault.</ns0:t>
      </ns0:r>
    </ns0:p>
    <ns0:p>
      <ns0:pPr>
        <ns0:pStyle ns0:val="BodyText"/>
      </ns0:pPr>
      <ns0:r>
        <ns0:t xml:space="preserve">The governing First Amendment standard depends on the speaker, content, and regulatory</ns0:t>
      </ns0:r>
      <ns0:r>
        <ns0:t xml:space="preserve"> </ns0:t>
      </ns0:r>
      <ns0:r>
        <ns0:t xml:space="preserve">setting.</ns0:t>
      </ns0:r>
      <ns0:r>
        <ns0:t xml:space="preserve"> </ns0:t>
      </ns0:r>
      <ns0:r>
        <ns0:rPr>
          <ns0:i/>
          <ns0:iCs/>
        </ns0:rPr>
        <ns0:t xml:space="preserve">Zauderer</ns0:t>
      </ns0:r>
      <ns0:r>
        <ns0:rPr>
          <ns0:i/>
          <ns0:iCs/>
        </ns0:rPr>
        <ns0:t xml:space="preserve"> </ns0:t>
      </ns0:r>
      <ns0:r>
        <ns0:t xml:space="preserve">permits certain compelled disclosures of purely factual and uncontroversial</ns0:t>
      </ns0:r>
      <ns0:r>
        <ns0:t xml:space="preserve"> </ns0:t>
      </ns0:r>
      <ns0:r>
        <ns0:t xml:space="preserve">commercial information reasonably related to preventing deception;</ns0:t>
      </ns0:r>
      <ns0:r>
        <ns0:t xml:space="preserve"> </ns0:t>
      </ns0:r>
      <ns0:r>
        <ns0:rPr>
          <ns0:i/>
          <ns0:iCs/>
        </ns0:rPr>
        <ns0:t xml:space="preserve">NIFLA</ns0:t>
      </ns0:r>
      <ns0:r>
        <ns0:rPr>
          <ns0:i/>
          <ns0:iCs/>
        </ns0:rPr>
        <ns0:t xml:space="preserve"> </ns0:t>
      </ns0:r>
      <ns0:r>
        <ns0:t xml:space="preserve">rejects an</ns0:t>
      </ns0:r>
      <ns0:r>
        <ns0:t xml:space="preserve"> </ns0:t>
      </ns0:r>
      <ns0:r>
        <ns0:t xml:space="preserve">unlimited category of “professional speech” and requires courts to examine burdens and</ns0:t>
      </ns0:r>
      <ns0:r>
        <ns0:t xml:space="preserve"> </ns0:t>
      </ns0:r>
      <ns0:r>
        <ns0:t xml:space="preserve">fit.</ns0:t>
      </ns0:r>
      <ns0:r>
        <ns0:rPr>
          <ns0:rStyle ns0:val="FootnoteReference"/>
        </ns0:rPr>
        <ns0:footnoteReference ns0:id="500"/>
      </ns0:r>
      <ns0:bookmarkStart ns0:id="501" ns0:name="x1-45001f62"/>
      <ns0:bookmarkEnd ns0:id="501"/>
      <ns0:r>
        <ns0:t xml:space="preserve"> </ns0:t>
      </ns0:r>
      <ns0:r>
        <ns0:t xml:space="preserve">A</ns0:t>
      </ns0:r>
      <ns0:r>
        <ns0:t xml:space="preserve"> </ns0:t>
      </ns0:r>
      <ns0:r>
        <ns0:t xml:space="preserve">designation should therefore require operational facts, use neutral field definitions, and avoid</ns0:t>
      </ns0:r>
      <ns0:r>
        <ns0:t xml:space="preserve"> </ns0:t>
      </ns0:r>
      <ns0:r>
        <ns0:t xml:space="preserve">compelled normative characterizations such as “unsafe,” “biased,” or “responsible.” If a sector or</ns0:t>
      </ns0:r>
      <ns0:r>
        <ns0:t xml:space="preserve"> </ns0:t>
      </ns0:r>
      <ns0:r>
        <ns0:t xml:space="preserve">requested field falls outside the commercial-disclosure line, the ordinary level of constitutional</ns0:t>
      </ns0:r>
      <ns0:r>
        <ns0:t xml:space="preserve"> </ns0:t>
      </ns0:r>
      <ns0:r>
        <ns0:t xml:space="preserve">scrutiny governs. The statute’s closed fields and nonpublic protections narrow the burden; they do</ns0:t>
      </ns0:r>
      <ns0:r>
        <ns0:t xml:space="preserve"> </ns0:t>
      </ns0:r>
      <ns0:r>
        <ns0:t xml:space="preserve">not predetermine the constitutional result.</ns0:t>
      </ns0:r>
    </ns0:p>
    <ns0:p>
      <ns0:pPr>
        <ns0:pStyle ns0:val="BodyText"/>
      </ns0:pPr>
      <ns0:r>
        <ns0:t xml:space="preserve">Trade secrets receive protection, not categorical exclusion. Trade-secret interests</ns0:t>
      </ns0:r>
      <ns0:r>
        <ns0:t xml:space="preserve"> </ns0:t>
      </ns0:r>
      <ns0:r>
        <ns0:t xml:space="preserve">can constitute property and turn on reasonable expectations of confidentiality, while</ns0:t>
      </ns0:r>
      <ns0:r>
        <ns0:t xml:space="preserve"> </ns0:t>
      </ns0:r>
      <ns0:r>
        <ns0:t xml:space="preserve">litigation law has long used protective orders to limit disclosure of confidential commercial</ns0:t>
      </ns0:r>
      <ns0:r>
        <ns0:t xml:space="preserve"> </ns0:t>
      </ns0:r>
      <ns0:r>
        <ns0:t xml:space="preserve">material.</ns0:t>
      </ns0:r>
      <ns0:r>
        <ns0:rPr>
          <ns0:rStyle ns0:val="FootnoteReference"/>
        </ns0:rPr>
        <ns0:footnoteReference ns0:id="505"/>
      </ns0:r>
      <ns0:bookmarkStart ns0:id="506" ns0:name="x1-45005f63"/>
      <ns0:bookmarkEnd ns0:id="506"/>
      <ns0:r>
        <ns0:t xml:space="preserve"> </ns0:t>
      </ns0:r>
      <ns0:r>
        <ns0:t xml:space="preserve">Stage One does not require source code, weights, or unrestricted training data. It asks for identity,</ns0:t>
      </ns0:r>
      <ns0:r>
        <ns0:t xml:space="preserve"> </ns0:t>
      </ns0:r>
      <ns0:r>
        <ns0:t xml:space="preserve">version, event, custodian, and control fields. Those deeper materials may be considered only at</ns0:t>
      </ns0:r>
      <ns0:r>
        <ns0:t xml:space="preserve"> </ns0:t>
      </ns0:r>
      <ns0:r>
        <ns0:t xml:space="preserve">Stage Two upon necessity and proportionality, with redaction, attorneys’-eyes-only access, secure</ns0:t>
      </ns0:r>
      <ns0:r>
        <ns0:t xml:space="preserve"> </ns0:t>
      </ns0:r>
      <ns0:r>
        <ns0:t xml:space="preserve">expert review, in camera inspection, and testing protocols available. A withholding party identifies</ns0:t>
      </ns0:r>
      <ns0:r>
        <ns0:t xml:space="preserve"> </ns0:t>
      </ns0:r>
      <ns0:r>
        <ns0:t xml:space="preserve">the record, custodian, date, version, and legal basis so that protection does not become</ns0:t>
      </ns0:r>
      <ns0:r>
        <ns0:t xml:space="preserve"> </ns0:t>
      </ns0:r>
      <ns0:r>
        <ns0:t xml:space="preserve">invisibility.</ns0:t>
      </ns0:r>
    </ns0:p>
    <ns0:p>
      <ns0:pPr>
        <ns0:pStyle ns0:val="BodyText"/>
      </ns0:pPr>
      <ns0:r>
        <ns0:t xml:space="preserve">Privilege follows the same line developed in Section </ns0:t>
      </ns0:r>
      <ns0:hyperlink ns0:anchor="Xe223f864c9710e45f97a5c50cbfddf30155e637">
        <ns0:r>
          <ns0:rPr>
            <ns0:rStyle ns0:val="Hyperlink"/>
          </ns0:rPr>
          <ns0:t xml:space="preserve">3</ns0:t>
        </ns0:r>
      </ns0:hyperlink>
      <ns0:r>
        <ns0:t xml:space="preserve">. Legal advice and attorney work</ns0:t>
      </ns0:r>
      <ns0:r>
        <ns0:t xml:space="preserve"> </ns0:t>
      </ns0:r>
      <ns0:r>
        <ns0:t xml:space="preserve">product remain protected. The operator produces underlying nonprivileged facts and</ns0:t>
      </ns0:r>
      <ns0:r>
        <ns0:t xml:space="preserve"> </ns0:t>
      </ns0:r>
      <ns0:r>
        <ns0:t xml:space="preserve">ordinary-course business records and logs protected material with sufficient specificity for review.</ns0:t>
      </ns0:r>
      <ns0:r>
        <ns0:t xml:space="preserve"> </ns0:t>
      </ns0:r>
      <ns0:r>
        <ns0:t xml:space="preserve">The Act creates no privilege exception and no rule that counsel’s involvement automatically</ns0:t>
      </ns0:r>
      <ns0:r>
        <ns0:t xml:space="preserve"> </ns0:t>
      </ns0:r>
      <ns0:r>
        <ns0:t xml:space="preserve">removes an operational fact from the minimum record.</ns0:t>
      </ns0:r>
    </ns0:p>
    <ns0:p>
      <ns0:pPr>
        <ns0:pStyle ns0:val="BodyText"/>
      </ns0:pPr>
      <ns0:r>
        <ns0:t xml:space="preserve">Privacy and security limit both creation and production. Part IV’s separate clocks and event</ns0:t>
      </ns0:r>
      <ns0:r>
        <ns0:t xml:space="preserve"> </ns0:t>
      </ns0:r>
      <ns0:r>
        <ns0:t xml:space="preserve">schema keep unrelated users, raw conversations, worker surveillance, protected health information,</ns0:t>
      </ns0:r>
      <ns0:r>
        <ns0:t xml:space="preserve"> </ns0:t>
      </ns0:r>
      <ns0:r>
        <ns0:t xml:space="preserve">credentials, and security details outside the manifest by default. A request uses the narrowest</ns0:t>
      </ns0:r>
      <ns0:r>
        <ns0:t xml:space="preserve"> </ns0:t>
      </ns0:r>
      <ns0:r>
        <ns0:t xml:space="preserve">available event identifier, time window, feature, and population. Pseudonymization, aggregation,</ns0:t>
      </ns0:r>
      <ns0:r>
        <ns0:t xml:space="preserve"> </ns0:t>
      </ns0:r>
      <ns0:r>
        <ns0:t xml:space="preserve">secure review, and in camera testing can establish that a control existed without exposing the</ns0:t>
      </ns0:r>
      <ns0:r>
        <ns0:t xml:space="preserve"> </ns0:t>
      </ns0:r>
      <ns0:r>
        <ns0:t xml:space="preserve">control itself. A timely field-specific objection pauses only the contested protected field and permits</ns0:t>
      </ns0:r>
      <ns0:r>
        <ns0:t xml:space="preserve"> </ns0:t>
      </ns0:r>
      <ns0:r>
        <ns0:t xml:space="preserve">prompt neutral review before disclosure or penalty; uncontested identity and event fields remain</ns0:t>
      </ns0:r>
      <ns0:r>
        <ns0:t xml:space="preserve"> </ns0:t>
      </ns0:r>
      <ns0:r>
        <ns0:t xml:space="preserve">due.</ns0:t>
      </ns0:r>
      <ns0:r>
        <ns0:rPr>
          <ns0:rStyle ns0:val="FootnoteReference"/>
        </ns0:rPr>
        <ns0:footnoteReference ns0:id="510"/>
      </ns0:r>
      <ns0:bookmarkStart ns0:id="510" ns0:name="x1-45009f64"/>
      <ns0:bookmarkEnd ns0:id="510"/>
      <ns0:r>
        <ns0:t xml:space="preserve"> </ns0:t>
      </ns0:r>
      <ns0:r>
        <ns0:t xml:space="preserve">The constitutional and confidentiality boundary is therefore affirmative: define the factual</ns0:t>
      </ns0:r>
      <ns0:r>
        <ns0:t xml:space="preserve"> </ns0:t>
      </ns0:r>
      <ns0:r>
        <ns0:t xml:space="preserve">minimum, minimize collection, and use protected access for what remains.</ns0:t>
      </ns0:r>
    </ns0:p>
    <ns0:bookmarkEnd ns0:id="511"/>
    <ns0:bookmarkStart ns0:id="559" ns0:name="Xdc02b2c9f8ecb38a0d74a9a8d9de321f0e9eb2a"/>
    <ns0:p>
      <ns0:pPr>
        <ns0:pStyle ns0:val="Heading4"/>
      </ns0:pPr>
      <ns0:r>
        <ns0:t xml:space="preserve">C</ns0:t>
      </ns0:r>
      <ns0:r>
        <ns0:t xml:space="preserve"> </ns0:t>
      </ns0:r>
      <ns0:r>
        <ns0:t xml:space="preserve"> </ns0:t>
      </ns0:r>
      <ns0:bookmarkStart ns0:id="512" ns0:name="x1-46000C"/>
      <ns0:bookmarkEnd ns0:id="512"/>
      <ns0:r>
        <ns0:t xml:space="preserve">Arbitration, Territorial Limits, and Federal Preemption Govern the Forum</ns0:t>
      </ns0:r>
    </ns0:p>
    <ns0:p>
      <ns0:pPr>
        <ns0:pStyle ns0:val="FirstParagraph"/>
      </ns0:pPr>
      <ns0:r>
        <ns0:t xml:space="preserve">Nonwaiver describes the substantive duty, not an exclusive judicial forum. An operator cannot</ns0:t>
      </ns0:r>
      <ns0:r>
        <ns0:t xml:space="preserve"> </ns0:t>
      </ns0:r>
      <ns0:r>
        <ns0:t xml:space="preserve">contract away the affected person’s right to the minimum record. But a valid arbitration agreement</ns0:t>
      </ns0:r>
      <ns0:r>
        <ns0:t xml:space="preserve"> </ns0:t>
      </ns0:r>
      <ns0:r>
        <ns0:t xml:space="preserve">may govern who enforces that right. For a federal statutory right, a contrary congressional</ns0:t>
      </ns0:r>
      <ns0:r>
        <ns0:t xml:space="preserve"> </ns0:t>
      </ns0:r>
      <ns0:r>
        <ns0:t xml:space="preserve">command can displace the Federal Arbitration Act’s rule of arbitrability. A state model act cannot</ns0:t>
      </ns0:r>
      <ns0:r>
        <ns0:t xml:space="preserve"> </ns0:t>
      </ns0:r>
      <ns0:r>
        <ns0:t xml:space="preserve">single out arbitration agreements for disfavored treatment; it should make the duty</ns0:t>
      </ns0:r>
      <ns0:r>
        <ns0:t xml:space="preserve"> </ns0:t>
      </ns0:r>
      <ns0:r>
        <ns0:t xml:space="preserve">nonwaivable while allowing an otherwise valid agreement to select the private enforcement</ns0:t>
      </ns0:r>
      <ns0:r>
        <ns0:t xml:space="preserve"> </ns0:t>
      </ns0:r>
      <ns0:r>
        <ns0:t xml:space="preserve">forum.</ns0:t>
      </ns0:r>
      <ns0:r>
        <ns0:rPr>
          <ns0:rStyle ns0:val="FootnoteReference"/>
        </ns0:rPr>
        <ns0:footnoteReference ns0:id="516"/>
      </ns0:r>
      <ns0:bookmarkStart ns0:id="518" ns0:name="x1-46001f65"/>
      <ns0:bookmarkEnd ns0:id="518"/>
      <ns0:r>
        <ns0:t xml:space="preserve"> </ns0:t>
      </ns0:r>
      <ns0:r>
        <ns0:t xml:space="preserve">Questions about whether the parties delegated arbitrability follow federal arbitration</ns0:t>
      </ns0:r>
      <ns0:r>
        <ns0:t xml:space="preserve"> </ns0:t>
      </ns0:r>
      <ns0:r>
        <ns0:t xml:space="preserve">doctrine.</ns0:t>
      </ns0:r>
      <ns0:r>
        <ns0:rPr>
          <ns0:rStyle ns0:val="FootnoteReference"/>
        </ns0:rPr>
        <ns0:footnoteReference ns0:id="522"/>
      </ns0:r>
      <ns0:bookmarkStart ns0:id="522" ns0:name="x1-46006f66"/>
      <ns0:bookmarkEnd ns0:id="522"/>
    </ns0:p>
    <ns0:p>
      <ns0:pPr>
        <ns0:pStyle ns0:val="BodyText"/>
      </ns0:pPr>
      <ns0:r>
        <ns0:t xml:space="preserve">The duty still arises before the merits forum needs discovery. A covered operator must</ns0:t>
      </ns0:r>
      <ns0:r>
        <ns0:t xml:space="preserve"> </ns0:t>
      </ns0:r>
      <ns0:r>
        <ns0:t xml:space="preserve">maintain the local record and answer a qualifying request on the statutory timetable; completion</ns0:t>
      </ns0:r>
      <ns0:r>
        <ns0:t xml:space="preserve"> </ns0:t>
      </ns0:r>
      <ns0:r>
        <ns0:t xml:space="preserve">is not a condition precedent to commencing or continuing arbitration. If it disputes</ns0:t>
      </ns0:r>
      <ns0:r>
        <ns0:t xml:space="preserve"> </ns0:t>
      </ns0:r>
      <ns0:r>
        <ns0:t xml:space="preserve">enforceability or scope, the proper court or arbitrator resolves that dispute under the</ns0:t>
      </ns0:r>
      <ns0:r>
        <ns0:t xml:space="preserve"> </ns0:t>
      </ns0:r>
      <ns0:r>
        <ns0:t xml:space="preserve">agreement and the Federal Arbitration Act. An agreement to which the administering</ns0:t>
      </ns0:r>
      <ns0:r>
        <ns0:t xml:space="preserve"> </ns0:t>
      </ns0:r>
      <ns0:r>
        <ns0:t xml:space="preserve">agency is not a party does not eliminate public enforcement brought in the agency’s own</ns0:t>
      </ns0:r>
      <ns0:r>
        <ns0:t xml:space="preserve"> </ns0:t>
      </ns0:r>
      <ns0:r>
        <ns0:t xml:space="preserve">name.</ns0:t>
      </ns0:r>
      <ns0:r>
        <ns0:rPr>
          <ns0:rStyle ns0:val="FootnoteReference"/>
        </ns0:rPr>
        <ns0:footnoteReference ns0:id="526"/>
      </ns0:r>
      <ns0:bookmarkStart ns0:id="526" ns0:name="x1-46009f67"/>
      <ns0:bookmarkEnd ns0:id="526"/>
      <ns0:r>
        <ns0:t xml:space="preserve"> </ns0:t>
      </ns0:r>
      <ns0:r>
        <ns0:t xml:space="preserve">This allocation preserves the substantive right, the selected private forum, and independent public</ns0:t>
      </ns0:r>
      <ns0:r>
        <ns0:t xml:space="preserve"> </ns0:t>
      </ns0:r>
      <ns0:r>
        <ns0:t xml:space="preserve">enforcement.</ns0:t>
      </ns0:r>
    </ns0:p>
    <ns0:p>
      <ns0:pPr>
        <ns0:pStyle ns0:val="BodyText"/>
      </ns0:pPr>
      <ns0:r>
        <ns0:t xml:space="preserve">The local record is especially important because arbitral process may not reach an upstream</ns0:t>
      </ns0:r>
      <ns0:r>
        <ns0:t xml:space="preserve"> </ns0:t>
      </ns0:r>
      <ns0:r>
        <ns0:t xml:space="preserve">stranger. Federal Arbitration Act section 7 authorizes arbitrators to summon a person to attend and bring</ns0:t>
      </ns0:r>
      <ns0:r>
        <ns0:t xml:space="preserve"> </ns0:t>
      </ns0:r>
      <ns0:r>
        <ns0:t xml:space="preserve">documents; the Ninth Circuit reads it not to authorize a stand-alone prehearing document subpoena to a</ns0:t>
      </ns0:r>
      <ns0:r>
        <ns0:t xml:space="preserve"> </ns0:t>
      </ns0:r>
      <ns0:r>
        <ns0:t xml:space="preserve">nonparty.</ns0:t>
      </ns0:r>
      <ns0:r>
        <ns0:rPr>
          <ns0:rStyle ns0:val="FootnoteReference"/>
        </ns0:rPr>
        <ns0:footnoteReference ns0:id="530"/>
      </ns0:r>
      <ns0:bookmarkStart ns0:id="531" ns0:name="x1-46012f68"/>
      <ns0:bookmarkEnd ns0:id="531"/>
      <ns0:r>
        <ns0:t xml:space="preserve"> </ns0:t>
      </ns0:r>
      <ns0:r>
        <ns0:t xml:space="preserve">The operator’s predeployment retrieval right supplies the defined vendor fields without enlarging</ns0:t>
      </ns0:r>
      <ns0:r>
        <ns0:t xml:space="preserve"> </ns0:t>
      </ns0:r>
      <ns0:r>
        <ns0:t xml:space="preserve">arbitral subpoena power. A supplier that is itself bound by the Act or an arbitration agreement</ns0:t>
      </ns0:r>
      <ns0:r>
        <ns0:t xml:space="preserve"> </ns0:t>
      </ns0:r>
      <ns0:r>
        <ns0:t xml:space="preserve">answers on that source of authority; another supplier responds through the operator’s</ns0:t>
      </ns0:r>
      <ns0:r>
        <ns0:t xml:space="preserve"> </ns0:t>
      </ns0:r>
      <ns0:r>
        <ns0:t xml:space="preserve">contract.</ns0:t>
      </ns0:r>
    </ns0:p>
    <ns0:p>
      <ns0:pPr>
        <ns0:pStyle ns0:val="BodyText"/>
      </ns0:pPr>
      <ns0:r>
        <ns0:t xml:space="preserve">Territorial limits remain equally concrete. The State’s authority to apply its substantive</ns0:t>
      </ns0:r>
      <ns0:r>
        <ns0:t xml:space="preserve"> </ns0:t>
      </ns0:r>
      <ns0:r>
        <ns0:t xml:space="preserve">law, a tribunal’s personal jurisdiction, and valid service are separate predicates. Operator</ns0:t>
      </ns0:r>
      <ns0:r>
        <ns0:t xml:space="preserve"> </ns0:t>
      </ns0:r>
      <ns0:r>
        <ns0:t xml:space="preserve">notice supplies none of them. A control holder receives a direct statutory duty only when</ns0:t>
      </ns0:r>
      <ns0:r>
        <ns0:t xml:space="preserve"> </ns0:t>
      </ns0:r>
      <ns0:r>
        <ns0:t xml:space="preserve">the enterprise and identified deployment fall within valid territorial and choice-of-law</ns0:t>
      </ns0:r>
      <ns0:r>
        <ns0:t xml:space="preserve"> </ns0:t>
      </ns0:r>
      <ns0:r>
        <ns0:t xml:space="preserve">reach; coercive relief additionally requires service and an independent jurisdictional</ns0:t>
      </ns0:r>
      <ns0:r>
        <ns0:t xml:space="preserve"> </ns0:t>
      </ns0:r>
      <ns0:r>
        <ns0:t xml:space="preserve">basis.</ns0:t>
      </ns0:r>
      <ns0:r>
        <ns0:rPr>
          <ns0:rStyle ns0:val="FootnoteReference"/>
        </ns0:rPr>
        <ns0:footnoteReference ns0:id="535"/>
      </ns0:r>
      <ns0:bookmarkStart ns0:id="536" ns0:name="x1-46016f69"/>
      <ns0:bookmarkEnd ns0:id="536"/>
      <ns0:r>
        <ns0:t xml:space="preserve"> </ns0:t>
      </ns0:r>
      <ns0:r>
        <ns0:t xml:space="preserve">Appointment of the operator’s response agent authorizes the statutory delivery</ns0:t>
      </ns0:r>
      <ns0:r>
        <ns0:t xml:space="preserve"> </ns0:t>
      </ns0:r>
      <ns0:r>
        <ns0:t xml:space="preserve">route only. It should not silently become consent to all-purpose jurisdiction; an</ns0:t>
      </ns0:r>
      <ns0:r>
        <ns0:t xml:space="preserve"> </ns0:t>
      </ns0:r>
      <ns0:r>
        <ns0:t xml:space="preserve">express registration-based consent regime raises the distinct questions illustrated by</ns0:t>
      </ns0:r>
      <ns0:r>
        <ns0:t xml:space="preserve"> </ns0:t>
      </ns0:r>
      <ns0:r>
        <ns0:rPr>
          <ns0:i/>
          <ns0:iCs/>
        </ns0:rPr>
        <ns0:t xml:space="preserve">Mallory</ns0:t>
      </ns0:r>
      <ns0:r>
        <ns0:t xml:space="preserve">.</ns0:t>
      </ns0:r>
      <ns0:r>
        <ns0:rPr>
          <ns0:rStyle ns0:val="FootnoteReference"/>
        </ns0:rPr>
        <ns0:footnoteReference ns0:id="540"/>
      </ns0:r>
      <ns0:bookmarkStart ns0:id="540" ns0:name="x1-46020f70"/>
      <ns0:bookmarkEnd ns0:id="540"/>
      <ns0:r>
        <ns0:t xml:space="preserve"> </ns0:t>
      </ns0:r>
      <ns0:r>
        <ns0:t xml:space="preserve">The domestic visible operator nevertheless owes the local manifest, event receipt, and contractual</ns0:t>
      </ns0:r>
      <ns0:r>
        <ns0:t xml:space="preserve"> </ns0:t>
      </ns0:r>
      <ns0:r>
        <ns0:t xml:space="preserve">retrieval path. That nondelegable local architecture keeps the answer reachable without pretending</ns0:t>
      </ns0:r>
      <ns0:r>
        <ns0:t xml:space="preserve"> </ns0:t>
      </ns0:r>
      <ns0:r>
        <ns0:t xml:space="preserve">that state process reaches every global node.</ns0:t>
      </ns0:r>
    </ns0:p>
    <ns0:p>
      <ns0:pPr>
        <ns0:pStyle ns0:val="BodyText"/>
      </ns0:pPr>
      <ns0:r>
        <ns0:t xml:space="preserve">Sectoral designation must also perform a substantive federal-preemption check provision by</ns0:t>
      </ns0:r>
      <ns0:r>
        <ns0:t xml:space="preserve"> </ns0:t>
      </ns0:r>
      <ns0:r>
        <ns0:t xml:space="preserve">provision. FCRA expressly preempts specified state requirements concerning dispute procedures,</ns0:t>
      </ns0:r>
      <ns0:r>
        <ns0:t xml:space="preserve"> </ns0:t>
      </ns0:r>
      <ns0:r>
        <ns0:t xml:space="preserve">adverse-action duties, and furnisher responsibilities; its present agency interpretation replaced the</ns0:t>
      </ns0:r>
      <ns0:r>
        <ns0:t xml:space="preserve"> </ns0:t>
      </ns0:r>
      <ns0:r>
        <ns0:t xml:space="preserve">Bureau’s withdrawn 2022 narrow-preemption view, while recognizing that courts remain the final</ns0:t>
      </ns0:r>
      <ns0:r>
        <ns0:t xml:space="preserve"> </ns0:t>
      </ns0:r>
      <ns0:r>
        <ns0:t xml:space="preserve">arbiters.</ns0:t>
      </ns0:r>
      <ns0:r>
        <ns0:rPr>
          <ns0:rStyle ns0:val="FootnoteReference"/>
        </ns0:rPr>
        <ns0:footnoteReference ns0:id="544"/>
      </ns0:r>
      <ns0:bookmarkStart ns0:id="545" ns0:name="x1-46023f71"/>
      <ns0:bookmarkEnd ns0:id="545"/>
      <ns0:r>
        <ns0:t xml:space="preserve"> </ns0:t>
      </ns0:r>
      <ns0:r>
        <ns0:t xml:space="preserve">ERISA can displace state reporting regimes that intrude on nationally uniform plan</ns0:t>
      </ns0:r>
      <ns0:r>
        <ns0:t xml:space="preserve"> </ns0:t>
      </ns0:r>
      <ns0:r>
        <ns0:t xml:space="preserve">administration. Federal medical-device law preempts some requirements different</ns0:t>
      </ns0:r>
      <ns0:r>
        <ns0:t xml:space="preserve"> </ns0:t>
      </ns0:r>
      <ns0:r>
        <ns0:t xml:space="preserve">from or additional to federal requirements, while the HIPAA rules preserve</ns0:t>
      </ns0:r>
      <ns0:r>
        <ns0:t xml:space="preserve"> </ns0:t>
      </ns0:r>
      <ns0:r>
        <ns0:t xml:space="preserve">specified more-stringent state privacy provisions and forbid contrary disclosure</ns0:t>
      </ns0:r>
      <ns0:r>
        <ns0:t xml:space="preserve"> </ns0:t>
      </ns0:r>
      <ns0:r>
        <ns0:t xml:space="preserve">commands.</ns0:t>
      </ns0:r>
      <ns0:r>
        <ns0:rPr>
          <ns0:rStyle ns0:val="FootnoteReference"/>
        </ns0:rPr>
        <ns0:footnoteReference ns0:id="549"/>
      </ns0:r>
      <ns0:bookmarkStart ns0:id="554" ns0:name="x1-46027f72"/>
      <ns0:bookmarkEnd ns0:id="554"/>
      <ns0:r>
        <ns0:t xml:space="preserve"> </ns0:t>
      </ns0:r>
      <ns0:r>
        <ns0:t xml:space="preserve">Employment law</ns0:t>
      </ns0:r>
      <ns0:r>
        <ns0:t xml:space="preserve"> </ns0:t>
      </ns0:r>
      <ns0:r>
        <ns0:t xml:space="preserve">supplies a different savings rule.</ns0:t>
      </ns0:r>
      <ns0:r>
        <ns0:rPr>
          <ns0:rStyle ns0:val="FootnoteReference"/>
        </ns0:rPr>
        <ns0:footnoteReference ns0:id="558"/>
      </ns0:r>
      <ns0:bookmarkStart ns0:id="558" ns0:name="x1-46035f73"/>
      <ns0:bookmarkEnd ns0:id="558"/>
      <ns0:r>
        <ns0:t xml:space="preserve"> </ns0:t>
      </ns0:r>
      <ns0:r>
        <ns0:t xml:space="preserve">A designation should identify federal actors and exclusive remedies, whether federal law supplies a</ns0:t>
      </ns0:r>
      <ns0:r>
        <ns0:t xml:space="preserve"> </ns0:t>
      </ns0:r>
      <ns0:r>
        <ns0:t xml:space="preserve">floor, ceiling, or parallel-duty path, which actors and fields are excluded, how remedies overlap, and</ns0:t>
      </ns0:r>
      <ns0:r>
        <ns0:t xml:space="preserve"> </ns0:t>
      </ns0:r>
      <ns0:r>
        <ns0:t xml:space="preserve">which claims the State may toll. A generic savings clause cannot preserve an application federal</ns0:t>
      </ns0:r>
      <ns0:r>
        <ns0:t xml:space="preserve"> </ns0:t>
      </ns0:r>
      <ns0:r>
        <ns0:t xml:space="preserve">law forecloses. Congress can use the same front-door architecture when national uniformity is</ns0:t>
      </ns0:r>
      <ns0:r>
        <ns0:t xml:space="preserve"> </ns0:t>
      </ns0:r>
      <ns0:r>
        <ns0:t xml:space="preserve">required.</ns0:t>
      </ns0:r>
    </ns0:p>
    <ns0:bookmarkEnd ns0:id="559"/>
    <ns0:bookmarkStart ns0:id="565" ns0:name="Xcb4b30a26b8c574b82ee1211e6956218b6054e7"/>
    <ns0:p>
      <ns0:pPr>
        <ns0:pStyle ns0:val="Heading4"/>
      </ns0:pPr>
      <ns0:r>
        <ns0:t xml:space="preserve">D</ns0:t>
      </ns0:r>
      <ns0:r>
        <ns0:t xml:space="preserve"> </ns0:t>
      </ns0:r>
      <ns0:r>
        <ns0:t xml:space="preserve"> </ns0:t>
      </ns0:r>
      <ns0:bookmarkStart ns0:id="560" ns0:name="x1-47000D"/>
      <ns0:bookmarkEnd ns0:id="560"/>
      <ns0:r>
        <ns0:t xml:space="preserve">Classification Neutrality Preserves the Merits</ns0:t>
      </ns0:r>
    </ns0:p>
    <ns0:p>
      <ns0:pPr>
        <ns0:pStyle ns0:val="FirstParagraph"/>
      </ns0:pPr>
      <ns0:r>
        <ns0:t xml:space="preserve">The front door does not classify an AI system as a product, service, speaker, agent,</ns0:t>
      </ns0:r>
      <ns0:r>
        <ns0:t xml:space="preserve"> </ns0:t>
      </ns0:r>
      <ns0:r>
        <ns0:t xml:space="preserve">or legal person. A companion application can present design questions about access,</ns0:t>
      </ns0:r>
      <ns0:r>
        <ns0:t xml:space="preserve"> </ns0:t>
      </ns0:r>
      <ns0:r>
        <ns0:t xml:space="preserve">memory, engagement objectives, crisis response, and warnings while a claim directed at</ns0:t>
      </ns0:r>
      <ns0:r>
        <ns0:t xml:space="preserve"> </ns0:t>
      </ns0:r>
      <ns0:r>
        <ns0:t xml:space="preserve">an adopted message presents a distinct First Amendment question. An employment</ns0:t>
      </ns0:r>
      <ns0:r>
        <ns0:t xml:space="preserve"> </ns0:t>
      </ns0:r>
      <ns0:r>
        <ns0:t xml:space="preserve">score can participate in a decision without becoming a physical product. Generated</ns0:t>
      </ns0:r>
      <ns0:r>
        <ns0:t xml:space="preserve"> </ns0:t>
      </ns0:r>
      <ns0:r>
        <ns0:t xml:space="preserve">text can communicate an operator’s decision without making the model a juridical</ns0:t>
      </ns0:r>
      <ns0:r>
        <ns0:t xml:space="preserve"> </ns0:t>
      </ns0:r>
      <ns0:r>
        <ns0:t xml:space="preserve">actor.</ns0:t>
      </ns0:r>
    </ns0:p>
    <ns0:p>
      <ns0:pPr>
        <ns0:pStyle ns0:val="BodyText"/>
      </ns0:pPr>
      <ns0:r>
        <ns0:rPr>
          <ns0:i/>
          <ns0:iCs/>
        </ns0:rPr>
        <ns0:t xml:space="preserve">Garcia</ns0:t>
      </ns0:r>
      <ns0:r>
        <ns0:rPr>
          <ns0:i/>
          <ns0:iCs/>
        </ns0:rPr>
        <ns0:t xml:space="preserve"> </ns0:t>
      </ns0:r>
      <ns0:r>
        <ns0:t xml:space="preserve">illustrates the separation. At Rule 12, the district court treated Character.AI as</ns0:t>
      </ns0:r>
      <ns0:r>
        <ns0:t xml:space="preserve"> </ns0:t>
      </ns0:r>
      <ns0:r>
        <ns0:t xml:space="preserve">plausibly alleged to be a product because the challenged features concerned design and</ns0:t>
      </ns0:r>
      <ns0:r>
        <ns0:t xml:space="preserve"> </ns0:t>
      </ns0:r>
      <ns0:r>
        <ns0:t xml:space="preserve">commercial distribution. It declined on that record to classify the generated sequence as</ns0:t>
      </ns0:r>
      <ns0:r>
        <ns0:t xml:space="preserve"> </ns0:t>
      </ns0:r>
      <ns0:r>
        <ns0:t xml:space="preserve">protected speech where defendants had not identified a relevant expressive choice or</ns0:t>
      </ns0:r>
      <ns0:r>
        <ns0:t xml:space="preserve"> </ns0:t>
      </ns0:r>
      <ns0:r>
        <ns0:t xml:space="preserve">speaker.</ns0:t>
      </ns0:r>
      <ns0:r>
        <ns0:rPr>
          <ns0:rStyle ns0:val="FootnoteReference"/>
        </ns0:rPr>
        <ns0:footnoteReference ns0:id="564"/>
      </ns0:r>
      <ns0:bookmarkStart ns0:id="564" ns0:name="x1-47001f74"/>
      <ns0:bookmarkEnd ns0:id="564"/>
      <ns0:r>
        <ns0:t xml:space="preserve"> </ns0:t>
      </ns0:r>
      <ns0:r>
        <ns0:t xml:space="preserve">Those rulings were procedural and claim specific. The first answer would identify which conduct</ns0:t>
      </ns0:r>
      <ns0:r>
        <ns0:t xml:space="preserve"> </ns0:t>
      </ns0:r>
      <ns0:r>
        <ns0:t xml:space="preserve">the claim challenges, which human or organizational choices the deployment implemented, what</ns0:t>
      </ns0:r>
      <ns0:r>
        <ns0:t xml:space="preserve"> </ns0:t>
      </ns0:r>
      <ns0:r>
        <ns0:t xml:space="preserve">message an identified person adopted, and whether the requested remedy regulates</ns0:t>
      </ns0:r>
      <ns0:r>
        <ns0:t xml:space="preserve"> </ns0:t>
      </ns0:r>
      <ns0:r>
        <ns0:t xml:space="preserve">design, transaction, decision process, or expression. Governing law then classifies the</ns0:t>
      </ns0:r>
      <ns0:r>
        <ns0:t xml:space="preserve"> </ns0:t>
      </ns0:r>
      <ns0:r>
        <ns0:t xml:space="preserve">claim.</ns0:t>
      </ns0:r>
    </ns0:p>
    <ns0:p>
      <ns0:pPr>
        <ns0:pStyle ns0:val="BodyText"/>
      </ns0:pPr>
      <ns0:r>
        <ns0:t xml:space="preserve">Fragmented and open architectures change the control map, not this boundary. An</ns0:t>
      </ns0:r>
      <ns0:r>
        <ns0:t xml:space="preserve"> </ns0:t>
      </ns0:r>
      <ns0:r>
        <ns0:t xml:space="preserve">open-weights publisher with no continuing visibility, contractual right, or stopping power can exit</ns0:t>
      </ns0:r>
      <ns0:r>
        <ns0:t xml:space="preserve"> </ns0:t>
      </ns0:r>
      <ns0:r>
        <ns0:t xml:space="preserve">after the provenance answer. A downstream modifier that selects the protected use, adds data and</ns0:t>
      </ns0:r>
      <ns0:r>
        <ns0:t xml:space="preserve"> </ns0:t>
      </ns0:r>
      <ns0:r>
        <ns0:t xml:space="preserve">tools, removes safeguards, and controls operation can occupy the relevant lane. A provider that</ns0:t>
      </ns0:r>
      <ns0:r>
        <ns0:t xml:space="preserve"> </ns0:t>
      </ns0:r>
      <ns0:r>
        <ns0:t xml:space="preserve">retains mandatory updates, monitoring, or remote suspension may retain another lane. Contract</ns0:t>
      </ns0:r>
      <ns0:r>
        <ns0:t xml:space="preserve"> </ns0:t>
      </ns0:r>
      <ns0:r>
        <ns0:t xml:space="preserve">labels and brand association are evidence only to the extent they describe practical authority.</ns0:t>
      </ns0:r>
      <ns0:r>
        <ns0:t xml:space="preserve"> </ns0:t>
      </ns0:r>
      <ns0:r>
        <ns0:t xml:space="preserve">Stage Two follows only when the Stage One record supports that the function formed</ns0:t>
      </ns0:r>
      <ns0:r>
        <ns0:t xml:space="preserve"> </ns0:t>
      </ns0:r>
      <ns0:r>
        <ns0:t xml:space="preserve">part of the event path or governed a safeguard and the requested information bears</ns0:t>
      </ns0:r>
      <ns0:r>
        <ns0:t xml:space="preserve"> </ns0:t>
      </ns0:r>
      <ns0:r>
        <ns0:t xml:space="preserve">non-de-minimally on an element, defense, or remedy. Duty and causation remain for the</ns0:t>
      </ns0:r>
      <ns0:r>
        <ns0:t xml:space="preserve"> </ns0:t>
      </ns0:r>
      <ns0:r>
        <ns0:t xml:space="preserve">merits.</ns0:t>
      </ns0:r>
    </ns0:p>
    <ns0:p>
      <ns0:pPr>
        <ns0:pStyle ns0:val="BodyText"/>
      </ns0:pPr>
      <ns0:r>
        <ns0:t xml:space="preserve">The merits firewall completes the allocation. Compliance, noncompliance, production, and</ns0:t>
      </ns0:r>
      <ns0:r>
        <ns0:t xml:space="preserve"> </ns0:t>
      </ns0:r>
      <ns0:r>
        <ns0:t xml:space="preserve">front-door participation create no presumption on the enumerated merits questions. The rule</ns0:t>
      </ns0:r>
      <ns0:r>
        <ns0:t xml:space="preserve"> </ns0:t>
      </ns0:r>
      <ns0:r>
        <ns0:t xml:space="preserve">supplies a record from which existing law can distinguish reasonable deployment, independent</ns0:t>
      </ns0:r>
      <ns0:r>
        <ns0:t xml:space="preserve"> </ns0:t>
      </ns0:r>
      <ns0:r>
        <ns0:t xml:space="preserve">modification, residual risk, and actionable conduct. It opens adjudication without choosing its</ns0:t>
      </ns0:r>
      <ns0:r>
        <ns0:t xml:space="preserve"> </ns0:t>
      </ns0:r>
      <ns0:r>
        <ns0:t xml:space="preserve">substantive winner.</ns0:t>
      </ns0:r>
    </ns0:p>
    <ns0:bookmarkEnd ns0:id="565"/>
    <ns0:bookmarkEnd ns0:id="566"/>
    <ns0:bookmarkStart ns0:id="572" ns0:name="conclusion"/>
    <ns0:p>
      <ns0:pPr>
        <ns0:pStyle ns0:val="Heading3"/>
      </ns0:pPr>
      <ns0:bookmarkStart ns0:id="567" ns0:name="x1-48000"/>
      <ns0:bookmarkEnd ns0:id="567"/>
      <ns0:r>
        <ns0:t xml:space="preserve">Conclusion</ns0:t>
      </ns0:r>
    </ns0:p>
    <ns0:p>
      <ns0:pPr>
        <ns0:pStyle ns0:val="FirstParagraph"/>
      </ns0:pPr>
      <ns0:bookmarkStart ns0:id="568" ns0:name="Q1-1-55"/>
      <ns0:bookmarkEnd ns0:id="568"/>
      <ns0:r>
        <ns0:t xml:space="preserve"> </ns0:t>
      </ns0:r>
      <ns0:bookmarkStart ns0:id="569" ns0:name="x1-48000doc"/>
      <ns0:bookmarkEnd ns0:id="569"/>
    </ns0:p>
    <ns0:p>
      <ns0:pPr>
        <ns0:pStyle ns0:val="BodyText"/>
      </ns0:pPr>
      <ns0:r>
        <ns0:t xml:space="preserve">AI litigation can fail before duty, defect, discrimination, causation, immunity, or defense because</ns0:t>
      </ns0:r>
      <ns0:r>
        <ns0:t xml:space="preserve"> </ns0:t>
      </ns0:r>
      <ns0:r>
        <ns0:t xml:space="preserve">system identity, version, event path, custodian, and control records remain divided among</ns0:t>
      </ns0:r>
      <ns0:r>
        <ns0:t xml:space="preserve"> </ns0:t>
      </ns0:r>
      <ns0:r>
        <ns0:t xml:space="preserve">organizations. Ordinary procedure becomes powerful once the proper target and record holder are</ns0:t>
      </ns0:r>
      <ns0:r>
        <ns0:t xml:space="preserve"> </ns0:t>
      </ns0:r>
      <ns0:r>
        <ns0:t xml:space="preserve">known; it cannot create those predicates after the event.</ns0:t>
      </ns0:r>
    </ns0:p>
    <ns0:p>
      <ns0:pPr>
        <ns0:pStyle ns0:val="BodyText"/>
      </ns0:pPr>
      <ns0:r>
        <ns0:t xml:space="preserve">Model sectoral legislation supplies the deployment front door. A state legislature</ns0:t>
      </ns0:r>
      <ns0:r>
        <ns0:t xml:space="preserve"> </ns0:t>
      </ns0:r>
      <ns0:r>
        <ns0:t xml:space="preserve">designates the covered deployment, protected interest, visible operator, minimum record,</ns0:t>
      </ns0:r>
      <ns0:r>
        <ns0:t xml:space="preserve"> </ns0:t>
      </ns0:r>
      <ns0:r>
        <ns0:t xml:space="preserve">retention clock, enforcement route, and federal-law boundary; Congress can use the</ns0:t>
      </ns0:r>
      <ns0:r>
        <ns0:t xml:space="preserve"> </ns0:t>
      </ns0:r>
      <ns0:r>
        <ns0:t xml:space="preserve">same architecture for national markets or federal claims. Courts administer the first</ns0:t>
      </ns0:r>
      <ns0:r>
        <ns0:t xml:space="preserve"> </ns0:t>
      </ns0:r>
      <ns0:r>
        <ns0:t xml:space="preserve">answer and claim-specific Stage Two; they do not derive the ex ante duty from discovery</ns0:t>
      </ns0:r>
      <ns0:r>
        <ns0:t xml:space="preserve"> </ns0:t>
      </ns0:r>
      <ns0:r>
        <ns0:t xml:space="preserve">doctrine.</ns0:t>
      </ns0:r>
    </ns0:p>
    <ns0:p>
      <ns0:pPr>
        <ns0:pStyle ns0:val="BodyText"/>
      </ns0:pPr>
      <ns0:r>
        <ns0:t xml:space="preserve">Stage One begins with an adverse event affecting the specified interest, the covered</ns0:t>
      </ns0:r>
      <ns0:r>
        <ns0:t xml:space="preserve"> </ns0:t>
      </ns0:r>
      <ns0:r>
        <ns0:t xml:space="preserve">deployment through which it occurred, and facts connecting closed identity and event fields to that</ns0:t>
      </ns0:r>
      <ns0:r>
        <ns0:t xml:space="preserve"> </ns0:t>
      </ns0:r>
      <ns0:r>
        <ns0:t xml:space="preserve">occurrence—never with facts found only in the deployment record. The visible operator supplies an</ns0:t>
      </ns0:r>
      <ns0:r>
        <ns0:t xml:space="preserve"> </ns0:t>
      </ns0:r>
      <ns0:r>
        <ns0:t xml:space="preserve">event receipt and custodian map, preserves the slice, and activates its contractual retrieval</ns0:t>
      </ns0:r>
      <ns0:r>
        <ns0:t xml:space="preserve"> </ns0:t>
      </ns0:r>
      <ns0:r>
        <ns0:t xml:space="preserve">path. An enterprise remains for Stage Two only when it held risk-specific practical</ns0:t>
      </ns0:r>
      <ns0:r>
        <ns0:t xml:space="preserve"> </ns0:t>
      </ns0:r>
      <ns0:r>
        <ns0:t xml:space="preserve">authority, the Stage One record supports that its function formed part of the event</ns0:t>
      </ns0:r>
      <ns0:r>
        <ns0:t xml:space="preserve"> </ns0:t>
      </ns0:r>
      <ns0:r>
        <ns0:t xml:space="preserve">path or governed a safeguard, and the requested information bears non-de-minimally on</ns0:t>
      </ns0:r>
      <ns0:r>
        <ns0:t xml:space="preserve"> </ns0:t>
      </ns0:r>
      <ns0:r>
        <ns0:t xml:space="preserve">an element, defense, or remedy. No different-act, prevention, or causation showing is</ns0:t>
      </ns0:r>
      <ns0:r>
        <ns0:t xml:space="preserve"> </ns0:t>
      </ns0:r>
      <ns0:r>
        <ns0:t xml:space="preserve">required.</ns0:t>
      </ns0:r>
    </ns0:p>
    <ns0:p>
      <ns0:pPr>
        <ns0:pStyle ns0:val="BodyText"/>
      </ns0:pPr>
      <ns0:r>
        <ns0:t xml:space="preserve">The applications show why both stages matter.</ns0:t>
      </ns0:r>
      <ns0:r>
        <ns0:t xml:space="preserve"> </ns0:t>
      </ns0:r>
      <ns0:r>
        <ns0:rPr>
          <ns0:i/>
          <ns0:iCs/>
        </ns0:rPr>
        <ns0:t xml:space="preserve">Garcia</ns0:t>
      </ns0:r>
      <ns0:r>
        <ns0:rPr>
          <ns0:i/>
          <ns0:iCs/>
        </ns0:rPr>
        <ns0:t xml:space="preserve"> </ns0:t>
      </ns0:r>
      <ns0:r>
        <ns0:t xml:space="preserve">presents a visible operator and a</ns0:t>
      </ns0:r>
      <ns0:r>
        <ns0:t xml:space="preserve"> </ns0:t>
      </ns0:r>
      <ns0:r>
        <ns0:t xml:space="preserve">missing deployment record.</ns0:t>
      </ns0:r>
      <ns0:r>
        <ns0:t xml:space="preserve"> </ns0:t>
      </ns0:r>
      <ns0:r>
        <ns0:rPr>
          <ns0:i/>
          <ns0:iCs/>
        </ns0:rPr>
        <ns0:t xml:space="preserve">Mobley</ns0:t>
      </ns0:r>
      <ns0:r>
        <ns0:rPr>
          <ns0:i/>
          <ns0:iCs/>
        </ns0:rPr>
        <ns0:t xml:space="preserve"> </ns0:t>
      </ns0:r>
      <ns0:r>
        <ns0:t xml:space="preserve">presents feature identity, physical hosting, legal control,</ns0:t>
      </ns0:r>
      <ns0:r>
        <ns0:t xml:space="preserve"> </ns0:t>
      </ns0:r>
      <ns0:r>
        <ns0:t xml:space="preserve">privilege, and use divided across employers and a vendor. A common event identifier, local</ns0:t>
      </ns0:r>
      <ns0:r>
        <ns0:t xml:space="preserve"> </ns0:t>
      </ns0:r>
      <ns0:r>
        <ns0:t xml:space="preserve">manifest, and retrieval right make each architecture observable without treating every supplier as</ns0:t>
      </ns0:r>
      <ns0:r>
        <ns0:t xml:space="preserve"> </ns0:t>
      </ns0:r>
      <ns0:r>
        <ns0:t xml:space="preserve">a defendant. The merits firewall permits early exit without altering any element or</ns0:t>
      </ns0:r>
      <ns0:r>
        <ns0:t xml:space="preserve"> </ns0:t>
      </ns0:r>
      <ns0:r>
        <ns0:t xml:space="preserve">defense.</ns0:t>
      </ns0:r>
    </ns0:p>
    <ns0:p>
      <ns0:pPr>
        <ns0:pStyle ns0:val="BodyText"/>
      </ns0:pPr>
      <ns0:r>
        <ns0:t xml:space="preserve">The design lets an affected person identify the operative deployment before divided custody</ns0:t>
      </ns0:r>
      <ns0:r>
        <ns0:t xml:space="preserve"> </ns0:t>
      </ns0:r>
      <ns0:r>
        <ns0:t xml:space="preserve">or limitations decides the dispute. It also lets an enterprise show that a feature never ran, an</ns0:t>
      </ns0:r>
      <ns0:r>
        <ns0:t xml:space="preserve"> </ns0:t>
      </ns0:r>
      <ns0:r>
        <ns0:t xml:space="preserve">output never reached the decision path, a downstream actor modified the system, a warning</ns0:t>
      </ns0:r>
      <ns0:r>
        <ns0:t xml:space="preserve"> </ns0:t>
      </ns0:r>
      <ns0:r>
        <ns0:t xml:space="preserve">appeared or an intervention functioned as designed, or a proposed alternative was unavailable.</ns0:t>
      </ns0:r>
      <ns0:r>
        <ns0:t xml:space="preserve"> </ns0:t>
      </ns0:r>
      <ns0:r>
        <ns0:t xml:space="preserve">Privacy minimization, privilege, trade-secret protection, arbitration doctrine, territorial limits, and</ns0:t>
      </ns0:r>
      <ns0:r>
        <ns0:t xml:space="preserve"> </ns0:t>
      </ns0:r>
      <ns0:r>
        <ns0:t xml:space="preserve">federal preemption remain part of the rule.</ns0:t>
      </ns0:r>
    </ns0:p>
    <ns0:p>
      <ns0:pPr>
        <ns0:pStyle ns0:val="BodyText"/>
      </ns0:pPr>
      <ns0:r>
        <ns0:t xml:space="preserve">Probabilistic output does not eliminate legal responsibility; it relocates the evidence of</ns0:t>
      </ns0:r>
      <ns0:r>
        <ns0:t xml:space="preserve"> </ns0:t>
      </ns0:r>
      <ns0:r>
        <ns0:t xml:space="preserve">control. The deployment front door makes that evidence reachable before information asymmetry</ns0:t>
      </ns0:r>
      <ns0:r>
        <ns0:t xml:space="preserve"> </ns0:t>
      </ns0:r>
      <ns0:r>
        <ns0:t xml:space="preserve">decides the case.</ns0:t>
      </ns0:r>
    </ns0:p>
    <ns0:bookmarkEnd ns0:id="572"/>
    <ns0:sectPr>
      <ns0:footnotePr>
        <ns0:numRestart ns0:val="eachSect"/>
      </ns0:footnotePr>
      <ns0:pgSz ns0:w="12240" ns0:h="15840"/>
      <ns0:pgMar ns0:top="1440" ns0:right="1440" ns0:bottom="1440" ns0:left="1440" ns0:header="720" ns0:footer="720" ns0:gutter="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05" w:name="x1-2002x"/>
      <w:bookmarkEnd w:id="105"/>
      <w:r>
        <w:t xml:space="preserve">See</w:t>
      </w:r>
      <w:r>
        <w:t xml:space="preserve"> </w:t>
      </w:r>
      <w:bookmarkStart w:id="106" w:name="x1-2003"/>
      <w:bookmarkEnd w:id="106"/>
      <w:r>
        <w:rPr>
          <w:i/>
          <w:iCs/>
        </w:rPr>
        <w:t xml:space="preserve">Garcia v. Character Techs., Inc.,</w:t>
      </w:r>
      <w:r>
        <w:rPr>
          <w:i/>
          <w:iCs/>
        </w:rPr>
        <w:t xml:space="preserve"> </w:t>
      </w:r>
      <w:r>
        <w:t xml:space="preserve">785 F. Supp. 3d 1157, 1165–69, 1174–84 (M.D. Fla. 2025)</w:t>
      </w:r>
      <w:bookmarkStart w:id="107" w:name="x1-2002xdoc"/>
      <w:bookmarkEnd w:id="107"/>
      <w:r>
        <w:t xml:space="preserve">;</w:t>
      </w:r>
      <w:r>
        <w:t xml:space="preserve"> </w:t>
      </w:r>
      <w:bookmarkStart w:id="108" w:name="x1-2004"/>
      <w:bookmarkEnd w:id="108"/>
      <w:r>
        <w:t xml:space="preserve">Order</w:t>
      </w:r>
      <w:r>
        <w:t xml:space="preserve"> </w:t>
      </w:r>
      <w:r>
        <w:t xml:space="preserve">Dismissing Settled Action at 1,</w:t>
      </w:r>
      <w:r>
        <w:t xml:space="preserve"> </w:t>
      </w:r>
      <w:r>
        <w:rPr>
          <w:i/>
          <w:iCs/>
        </w:rPr>
        <w:t xml:space="preserve">Garcia v. Character Techs., Inc.,</w:t>
      </w:r>
      <w:r>
        <w:rPr>
          <w:i/>
          <w:iCs/>
        </w:rPr>
        <w:t xml:space="preserve"> </w:t>
      </w:r>
      <w:r>
        <w:t xml:space="preserve">No. 6:24-cv-01903-ACC-DCI (M.D. Fla.</w:t>
      </w:r>
      <w:r>
        <w:t xml:space="preserve"> </w:t>
      </w:r>
      <w:r>
        <w:t xml:space="preserve">Jan. 7, 2026), ECF No. 244;</w:t>
      </w:r>
      <w:r>
        <w:t xml:space="preserve"> </w:t>
      </w:r>
      <w:bookmarkStart w:id="109" w:name="x1-2005"/>
      <w:bookmarkEnd w:id="109"/>
      <w:r>
        <w:t xml:space="preserve">Order Resolving Charging Lien at 1,</w:t>
      </w:r>
      <w:r>
        <w:t xml:space="preserve"> </w:t>
      </w:r>
      <w:r>
        <w:rPr>
          <w:i/>
          <w:iCs/>
        </w:rPr>
        <w:t xml:space="preserve">Garcia v. Character Techs., Inc.,</w:t>
      </w:r>
      <w:r>
        <w:rPr>
          <w:i/>
          <w:iCs/>
        </w:rPr>
        <w:t xml:space="preserve"> </w:t>
      </w:r>
      <w:r>
        <w:t xml:space="preserve">No.</w:t>
      </w:r>
      <w:r>
        <w:t xml:space="preserve"> </w:t>
      </w:r>
      <w:r>
        <w:t xml:space="preserve">6:24-cv-01903-ACC-DCI (M.D. Fla. June 11, 2026), ECF No. 273. The complaint’s disputed account remains an</w:t>
      </w:r>
      <w:r>
        <w:t xml:space="preserve"> </w:t>
      </w:r>
      <w:r>
        <w:t xml:space="preserve">allegation. This Article uses the published Rule 12 order for its classification and pleading analysis, not as a merits</w:t>
      </w:r>
      <w:r>
        <w:t xml:space="preserve"> </w:t>
      </w:r>
      <w:r>
        <w:t xml:space="preserve">judgment.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12" w:name="x1-2007x"/>
      <w:bookmarkEnd w:id="112"/>
      <w:r>
        <w:t xml:space="preserve">See</w:t>
      </w:r>
      <w:r>
        <w:t xml:space="preserve"> </w:t>
      </w:r>
      <w:bookmarkStart w:id="113" w:name="x1-2008"/>
      <w:bookmarkEnd w:id="113"/>
      <w:r>
        <w:t xml:space="preserve">Anat Lior,</w:t>
      </w:r>
      <w:r>
        <w:t xml:space="preserve"> </w:t>
      </w:r>
      <w:r>
        <w:rPr>
          <w:i/>
          <w:iCs/>
        </w:rPr>
        <w:t xml:space="preserve">AI Strict Liability Vis-À-Vis AI Monopolization</w:t>
      </w:r>
      <w:r>
        <w:t xml:space="preserve">, 22</w:t>
      </w:r>
      <w:r>
        <w:t xml:space="preserve"> </w:t>
      </w:r>
      <w:r>
        <w:rPr>
          <w:smallCaps/>
        </w:rPr>
        <w:t xml:space="preserve">C</w:t>
      </w:r>
      <w:r>
        <w:rPr>
          <w:smallCaps/>
          <w:smallCaps/>
        </w:rPr>
        <w:t xml:space="preserve">olum</w:t>
      </w:r>
      <w:r>
        <w:rPr>
          <w:smallCaps/>
        </w:rPr>
        <w:t xml:space="preserve">. S</w:t>
      </w:r>
      <w:r>
        <w:rPr>
          <w:smallCaps/>
          <w:smallCaps/>
        </w:rPr>
        <w:t xml:space="preserve">ci</w:t>
      </w:r>
      <w:r>
        <w:rPr>
          <w:smallCaps/>
        </w:rPr>
        <w:t xml:space="preserve">. &amp; T</w:t>
      </w:r>
      <w:r>
        <w:rPr>
          <w:smallCaps/>
          <w:smallCaps/>
        </w:rPr>
        <w:t xml:space="preserve">ech</w:t>
      </w:r>
      <w:r>
        <w:rPr>
          <w:smallCaps/>
        </w:rPr>
        <w:t xml:space="preserve">. L. R</w:t>
      </w:r>
      <w:r>
        <w:rPr>
          <w:smallCaps/>
          <w:smallCaps/>
        </w:rPr>
        <w:t xml:space="preserve">ev</w:t>
      </w:r>
      <w:r>
        <w:rPr>
          <w:smallCaps/>
        </w:rPr>
        <w:t xml:space="preserve">.</w:t>
      </w:r>
      <w:r>
        <w:rPr>
          <w:smallCaps/>
        </w:rPr>
        <w:t xml:space="preserve"> </w:t>
      </w:r>
      <w:r>
        <w:t xml:space="preserve">90, 91,</w:t>
      </w:r>
      <w:r>
        <w:t xml:space="preserve"> </w:t>
      </w:r>
      <w:r>
        <w:t xml:space="preserve">94–97 (2021)</w:t>
      </w:r>
      <w:bookmarkStart w:id="114" w:name="x1-2007xdoc"/>
      <w:bookmarkEnd w:id="114"/>
      <w:r>
        <w:t xml:space="preserve">;</w:t>
      </w:r>
      <w:r>
        <w:t xml:space="preserve"> </w:t>
      </w:r>
      <w:bookmarkStart w:id="115" w:name="x1-2009"/>
      <w:bookmarkEnd w:id="115"/>
      <w:r>
        <w:t xml:space="preserve">Zachary Henderson,</w:t>
      </w:r>
      <w:r>
        <w:t xml:space="preserve"> </w:t>
      </w:r>
      <w:r>
        <w:rPr>
          <w:i/>
          <w:iCs/>
        </w:rPr>
        <w:t xml:space="preserve">Rethinking Robot Liability</w:t>
      </w:r>
      <w:r>
        <w:t xml:space="preserve">, 67</w:t>
      </w:r>
      <w:r>
        <w:t xml:space="preserve"> </w:t>
      </w:r>
      <w:r>
        <w:rPr>
          <w:smallCaps/>
        </w:rPr>
        <w:t xml:space="preserve">B.C. L. R</w:t>
      </w:r>
      <w:r>
        <w:rPr>
          <w:smallCaps/>
          <w:smallCaps/>
        </w:rPr>
        <w:t xml:space="preserve">ev</w:t>
      </w:r>
      <w:r>
        <w:rPr>
          <w:smallCaps/>
        </w:rPr>
        <w:t xml:space="preserve">.</w:t>
      </w:r>
      <w:r>
        <w:rPr>
          <w:smallCaps/>
        </w:rPr>
        <w:t xml:space="preserve"> </w:t>
      </w:r>
      <w:r>
        <w:t xml:space="preserve">479, 483, 515–17 (2026);</w:t>
      </w:r>
      <w:r>
        <w:t xml:space="preserve"> </w:t>
      </w:r>
      <w:bookmarkStart w:id="116" w:name="x1-2010"/>
      <w:bookmarkEnd w:id="116"/>
      <w:r>
        <w:t xml:space="preserve">Catherine M. Sharkey,</w:t>
      </w:r>
      <w:r>
        <w:t xml:space="preserve"> </w:t>
      </w:r>
      <w:r>
        <w:rPr>
          <w:i/>
          <w:iCs/>
        </w:rPr>
        <w:t xml:space="preserve">A Products Liability Framework for AI</w:t>
      </w:r>
      <w:r>
        <w:t xml:space="preserve">, 25</w:t>
      </w:r>
      <w:r>
        <w:t xml:space="preserve"> </w:t>
      </w:r>
      <w:r>
        <w:rPr>
          <w:smallCaps/>
        </w:rPr>
        <w:t xml:space="preserve">C</w:t>
      </w:r>
      <w:r>
        <w:rPr>
          <w:smallCaps/>
          <w:smallCaps/>
        </w:rPr>
        <w:t xml:space="preserve">olum</w:t>
      </w:r>
      <w:r>
        <w:rPr>
          <w:smallCaps/>
        </w:rPr>
        <w:t xml:space="preserve">. S</w:t>
      </w:r>
      <w:r>
        <w:rPr>
          <w:smallCaps/>
          <w:smallCaps/>
        </w:rPr>
        <w:t xml:space="preserve">ci</w:t>
      </w:r>
      <w:r>
        <w:rPr>
          <w:smallCaps/>
        </w:rPr>
        <w:t xml:space="preserve">. &amp; T</w:t>
      </w:r>
      <w:r>
        <w:rPr>
          <w:smallCaps/>
          <w:smallCaps/>
        </w:rPr>
        <w:t xml:space="preserve">ech</w:t>
      </w:r>
      <w:r>
        <w:rPr>
          <w:smallCaps/>
        </w:rPr>
        <w:t xml:space="preserve">. L. R</w:t>
      </w:r>
      <w:r>
        <w:rPr>
          <w:smallCaps/>
          <w:smallCaps/>
        </w:rPr>
        <w:t xml:space="preserve">ev</w:t>
      </w:r>
      <w:r>
        <w:rPr>
          <w:smallCaps/>
        </w:rPr>
        <w:t xml:space="preserve">.</w:t>
      </w:r>
      <w:r>
        <w:rPr>
          <w:smallCaps/>
        </w:rPr>
        <w:t xml:space="preserve"> </w:t>
      </w:r>
      <w:r>
        <w:t xml:space="preserve">240, 240, 244–47</w:t>
      </w:r>
      <w:r>
        <w:t xml:space="preserve"> </w:t>
      </w:r>
      <w:r>
        <w:t xml:space="preserve">(2024);</w:t>
      </w:r>
      <w:r>
        <w:t xml:space="preserve"> </w:t>
      </w:r>
      <w:bookmarkStart w:id="117" w:name="x1-2011"/>
      <w:bookmarkEnd w:id="117"/>
      <w:r>
        <w:t xml:space="preserve">Ketan Ramakrishnan,</w:t>
      </w:r>
      <w:r>
        <w:t xml:space="preserve"> </w:t>
      </w:r>
      <w:r>
        <w:rPr>
          <w:i/>
          <w:iCs/>
        </w:rPr>
        <w:t xml:space="preserve">Tort Law at the Frontier of Artificial Intelligence</w:t>
      </w:r>
      <w:r>
        <w:t xml:space="preserve">, 43</w:t>
      </w:r>
      <w:r>
        <w:t xml:space="preserve"> </w:t>
      </w:r>
      <w:r>
        <w:rPr>
          <w:smallCaps/>
        </w:rPr>
        <w:t xml:space="preserve">Y</w:t>
      </w:r>
      <w:r>
        <w:rPr>
          <w:smallCaps/>
          <w:smallCaps/>
        </w:rPr>
        <w:t xml:space="preserve">ale</w:t>
      </w:r>
      <w:r>
        <w:rPr>
          <w:smallCaps/>
        </w:rPr>
        <w:t xml:space="preserve"> </w:t>
      </w:r>
      <w:r>
        <w:rPr>
          <w:smallCaps/>
        </w:rPr>
        <w:t xml:space="preserve">J.</w:t>
      </w:r>
      <w:r>
        <w:rPr>
          <w:smallCaps/>
        </w:rPr>
        <w:t xml:space="preserve"> </w:t>
      </w:r>
      <w:r>
        <w:rPr>
          <w:smallCaps/>
          <w:smallCaps/>
        </w:rPr>
        <w:t xml:space="preserve">on</w:t>
      </w:r>
      <w:r>
        <w:rPr>
          <w:smallCaps/>
        </w:rPr>
        <w:t xml:space="preserve"> </w:t>
      </w:r>
      <w:r>
        <w:rPr>
          <w:smallCaps/>
        </w:rPr>
        <w:t xml:space="preserve">R</w:t>
      </w:r>
      <w:r>
        <w:rPr>
          <w:smallCaps/>
          <w:smallCaps/>
        </w:rPr>
        <w:t xml:space="preserve">eg</w:t>
      </w:r>
      <w:r>
        <w:rPr>
          <w:smallCaps/>
        </w:rPr>
        <w:t xml:space="preserve">.</w:t>
      </w:r>
      <w:r>
        <w:rPr>
          <w:smallCaps/>
        </w:rPr>
        <w:t xml:space="preserve"> </w:t>
      </w:r>
      <w:r>
        <w:t xml:space="preserve">960, 960–61</w:t>
      </w:r>
      <w:r>
        <w:t xml:space="preserve"> </w:t>
      </w:r>
      <w:r>
        <w:t xml:space="preserve">(2026). A systematic review of 559 federal opinions likewise reports that courts predominantly resolve AI disputes</w:t>
      </w:r>
      <w:r>
        <w:t xml:space="preserve"> </w:t>
      </w:r>
      <w:r>
        <w:t xml:space="preserve">through preexisting legal doctrines and that litigated harms are shaped by existing causes of action. See</w:t>
      </w:r>
      <w:r>
        <w:t xml:space="preserve"> </w:t>
      </w:r>
      <w:bookmarkStart w:id="118" w:name="x1-2012"/>
      <w:bookmarkEnd w:id="118"/>
      <w:r>
        <w:t xml:space="preserve">Julie Yu</w:t>
      </w:r>
      <w:r>
        <w:t xml:space="preserve"> </w:t>
      </w:r>
      <w:r>
        <w:t xml:space="preserve">et al., Visible to the Court: How AI Is (and Isn’t) Litigated in U.S. Federal Court Opinions, at 1, 8–9 (2026),</w:t>
      </w:r>
      <w:r>
        <w:t xml:space="preserve"> </w:t>
      </w:r>
      <w:r>
        <w:t xml:space="preserve"> </w:t>
      </w:r>
      <w:hyperlink r:id="rId119">
        <w:r>
          <w:rPr>
            <w:rStyle w:val="Hyperlink"/>
          </w:rPr>
          <w:t xml:space="preserve">https://arxiv.org/abs/2607.23888</w:t>
        </w:r>
      </w:hyperlink>
      <w:r>
        <w:t xml:space="preserve">.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22" w:name="x1-2014x"/>
      <w:bookmarkEnd w:id="122"/>
      <w:r>
        <w:t xml:space="preserve">See</w:t>
      </w:r>
      <w:r>
        <w:t xml:space="preserve"> </w:t>
      </w:r>
      <w:bookmarkStart w:id="123" w:name="x1-2015"/>
      <w:bookmarkEnd w:id="123"/>
      <w:r>
        <w:t xml:space="preserve">Matthew Stewart,</w:t>
      </w:r>
      <w:r>
        <w:t xml:space="preserve"> </w:t>
      </w:r>
      <w:r>
        <w:rPr>
          <w:i/>
          <w:iCs/>
        </w:rPr>
        <w:t xml:space="preserve">Beyond Explanation: Evidentiary Rights for Algorithmic Accountability</w:t>
      </w:r>
      <w:r>
        <w:t xml:space="preserve">, in</w:t>
      </w:r>
      <w:r>
        <w:t xml:space="preserve"> </w:t>
      </w:r>
      <w:r>
        <w:rPr>
          <w:smallCaps/>
        </w:rPr>
        <w:t xml:space="preserve">P</w:t>
      </w:r>
      <w:r>
        <w:rPr>
          <w:smallCaps/>
          <w:smallCaps/>
        </w:rPr>
        <w:t xml:space="preserve">roceedings</w:t>
      </w:r>
      <w:r>
        <w:t xml:space="preserve"> </w:t>
      </w:r>
      <w:r>
        <w:rPr>
          <w:smallCaps/>
          <w:smallCaps/>
        </w:rPr>
        <w:t xml:space="preserve">of the</w:t>
      </w:r>
      <w:r>
        <w:rPr>
          <w:smallCaps/>
        </w:rPr>
        <w:t xml:space="preserve"> </w:t>
      </w:r>
      <w:r>
        <w:rPr>
          <w:smallCaps/>
        </w:rPr>
        <w:t xml:space="preserve">2026 ACM C</w:t>
      </w:r>
      <w:r>
        <w:rPr>
          <w:smallCaps/>
          <w:smallCaps/>
        </w:rPr>
        <w:t xml:space="preserve">onference on</w:t>
      </w:r>
      <w:r>
        <w:rPr>
          <w:smallCaps/>
        </w:rPr>
        <w:t xml:space="preserve"> </w:t>
      </w:r>
      <w:r>
        <w:rPr>
          <w:smallCaps/>
        </w:rPr>
        <w:t xml:space="preserve">F</w:t>
      </w:r>
      <w:r>
        <w:rPr>
          <w:smallCaps/>
          <w:smallCaps/>
        </w:rPr>
        <w:t xml:space="preserve">airness</w:t>
      </w:r>
      <w:r>
        <w:rPr>
          <w:smallCaps/>
        </w:rPr>
        <w:t xml:space="preserve">, A</w:t>
      </w:r>
      <w:r>
        <w:rPr>
          <w:smallCaps/>
          <w:smallCaps/>
        </w:rPr>
        <w:t xml:space="preserve">ccountability</w:t>
      </w:r>
      <w:r>
        <w:rPr>
          <w:smallCaps/>
        </w:rPr>
        <w:t xml:space="preserve">,</w:t>
      </w:r>
      <w:r>
        <w:rPr>
          <w:smallCaps/>
        </w:rPr>
        <w:t xml:space="preserve"> </w:t>
      </w:r>
      <w:r>
        <w:rPr>
          <w:smallCaps/>
          <w:smallCaps/>
        </w:rPr>
        <w:t xml:space="preserve">and</w:t>
      </w:r>
      <w:r>
        <w:rPr>
          <w:smallCaps/>
        </w:rPr>
        <w:t xml:space="preserve"> </w:t>
      </w:r>
      <w:r>
        <w:rPr>
          <w:smallCaps/>
        </w:rPr>
        <w:t xml:space="preserve">T</w:t>
      </w:r>
      <w:r>
        <w:rPr>
          <w:smallCaps/>
          <w:smallCaps/>
        </w:rPr>
        <w:t xml:space="preserve">ransparency</w:t>
      </w:r>
      <w:r>
        <w:rPr>
          <w:smallCaps/>
        </w:rPr>
        <w:t xml:space="preserve"> </w:t>
      </w:r>
      <w:r>
        <w:t xml:space="preserve">1066, 1067, 1076–79</w:t>
      </w:r>
      <w:r>
        <w:t xml:space="preserve"> </w:t>
      </w:r>
      <w:r>
        <w:t xml:space="preserve">(2026),</w:t>
      </w:r>
      <w:r>
        <w:t xml:space="preserve"> </w:t>
      </w:r>
      <w:hyperlink r:id="rId124">
        <w:r>
          <w:rPr>
            <w:rStyle w:val="Hyperlink"/>
          </w:rPr>
          <w:t xml:space="preserve">https://doi.org/10.1145/3805689.3806532</w:t>
        </w:r>
      </w:hyperlink>
      <w:bookmarkStart w:id="125" w:name="x1-2014xdoc"/>
      <w:bookmarkEnd w:id="125"/>
      <w:r>
        <w:t xml:space="preserve">;</w:t>
      </w:r>
      <w:r>
        <w:t xml:space="preserve"> </w:t>
      </w:r>
      <w:bookmarkStart w:id="126" w:name="x1-2016"/>
      <w:bookmarkEnd w:id="126"/>
      <w:r>
        <w:t xml:space="preserve">Sarah H. Cen, Hannah Ismael &amp; Lucia Zheng,</w:t>
      </w:r>
      <w:r>
        <w:t xml:space="preserve"> </w:t>
      </w:r>
      <w:r>
        <w:rPr>
          <w:i/>
          <w:iCs/>
        </w:rPr>
        <w:t xml:space="preserve">Barriers to</w:t>
      </w:r>
      <w:r>
        <w:rPr>
          <w:i/>
          <w:iCs/>
        </w:rPr>
        <w:t xml:space="preserve"> </w:t>
      </w:r>
      <w:r>
        <w:rPr>
          <w:i/>
          <w:iCs/>
        </w:rPr>
        <w:t xml:space="preserve">Evidence in AI-Related Cases and the Privatization of Proof</w:t>
      </w:r>
      <w:r>
        <w:t xml:space="preserve">, in</w:t>
      </w:r>
      <w:r>
        <w:t xml:space="preserve"> </w:t>
      </w:r>
      <w:r>
        <w:rPr>
          <w:smallCaps/>
        </w:rPr>
        <w:t xml:space="preserve">P</w:t>
      </w:r>
      <w:r>
        <w:rPr>
          <w:smallCaps/>
          <w:smallCaps/>
        </w:rPr>
        <w:t xml:space="preserve">roceedings of the</w:t>
      </w:r>
      <w:r>
        <w:rPr>
          <w:smallCaps/>
        </w:rPr>
        <w:t xml:space="preserve"> </w:t>
      </w:r>
      <w:r>
        <w:rPr>
          <w:smallCaps/>
        </w:rPr>
        <w:t xml:space="preserve">2026 ACM</w:t>
      </w:r>
      <w:r>
        <w:t xml:space="preserve"> </w:t>
      </w:r>
      <w:r>
        <w:rPr>
          <w:smallCaps/>
        </w:rPr>
        <w:t xml:space="preserve">C</w:t>
      </w:r>
      <w:r>
        <w:rPr>
          <w:smallCaps/>
          <w:smallCaps/>
        </w:rPr>
        <w:t xml:space="preserve">onference on</w:t>
      </w:r>
      <w:r>
        <w:rPr>
          <w:smallCaps/>
        </w:rPr>
        <w:t xml:space="preserve"> </w:t>
      </w:r>
      <w:r>
        <w:rPr>
          <w:smallCaps/>
        </w:rPr>
        <w:t xml:space="preserve">F</w:t>
      </w:r>
      <w:r>
        <w:rPr>
          <w:smallCaps/>
          <w:smallCaps/>
        </w:rPr>
        <w:t xml:space="preserve">airness</w:t>
      </w:r>
      <w:r>
        <w:rPr>
          <w:smallCaps/>
        </w:rPr>
        <w:t xml:space="preserve">, A</w:t>
      </w:r>
      <w:r>
        <w:rPr>
          <w:smallCaps/>
          <w:smallCaps/>
        </w:rPr>
        <w:t xml:space="preserve">ccountability</w:t>
      </w:r>
      <w:r>
        <w:rPr>
          <w:smallCaps/>
        </w:rPr>
        <w:t xml:space="preserve">,</w:t>
      </w:r>
      <w:r>
        <w:rPr>
          <w:smallCaps/>
        </w:rPr>
        <w:t xml:space="preserve"> </w:t>
      </w:r>
      <w:r>
        <w:rPr>
          <w:smallCaps/>
          <w:smallCaps/>
        </w:rPr>
        <w:t xml:space="preserve">and</w:t>
      </w:r>
      <w:r>
        <w:rPr>
          <w:smallCaps/>
        </w:rPr>
        <w:t xml:space="preserve"> </w:t>
      </w:r>
      <w:r>
        <w:rPr>
          <w:smallCaps/>
        </w:rPr>
        <w:t xml:space="preserve">T</w:t>
      </w:r>
      <w:r>
        <w:rPr>
          <w:smallCaps/>
          <w:smallCaps/>
        </w:rPr>
        <w:t xml:space="preserve">ransparency</w:t>
      </w:r>
      <w:r>
        <w:rPr>
          <w:smallCaps/>
        </w:rPr>
        <w:t xml:space="preserve"> </w:t>
      </w:r>
      <w:r>
        <w:t xml:space="preserve">7793, 7794–95, 7801–05 (2026),</w:t>
      </w:r>
      <w:r>
        <w:t xml:space="preserve"> </w:t>
      </w:r>
      <w:r>
        <w:t xml:space="preserve"> </w:t>
      </w:r>
      <w:hyperlink r:id="rId127">
        <w:r>
          <w:rPr>
            <w:rStyle w:val="Hyperlink"/>
          </w:rPr>
          <w:t xml:space="preserve">https://doi.org/10.1145/3805689.3812219</w:t>
        </w:r>
      </w:hyperlink>
      <w:r>
        <w:t xml:space="preserve">.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33" w:name="x1-4002xA"/>
      <w:bookmarkEnd w:id="133"/>
      <w:r>
        <w:t xml:space="preserve">See, e.g.,</w:t>
      </w:r>
      <w:r>
        <w:t xml:space="preserve"> </w:t>
      </w:r>
      <w:bookmarkStart w:id="134" w:name="x1-4003"/>
      <w:bookmarkEnd w:id="134"/>
      <w:r>
        <w:rPr>
          <w:i/>
          <w:iCs/>
        </w:rPr>
        <w:t xml:space="preserve">United States v. U.S. Gypsum Co.,</w:t>
      </w:r>
      <w:r>
        <w:rPr>
          <w:i/>
          <w:iCs/>
        </w:rPr>
        <w:t xml:space="preserve"> </w:t>
      </w:r>
      <w:r>
        <w:t xml:space="preserve">438 U.S. 422, 444–46 (1978);</w:t>
      </w:r>
      <w:r>
        <w:t xml:space="preserve"> </w:t>
      </w:r>
      <w:bookmarkStart w:id="135" w:name="x1-4004"/>
      <w:bookmarkEnd w:id="135"/>
      <w:r>
        <w:rPr>
          <w:i/>
          <w:iCs/>
        </w:rPr>
        <w:t xml:space="preserve">Speller v. Sears, Roebuck &amp; Co.,</w:t>
      </w:r>
      <w:r>
        <w:rPr>
          <w:i/>
          <w:iCs/>
        </w:rPr>
        <w:t xml:space="preserve"> </w:t>
      </w:r>
      <w:r>
        <w:t xml:space="preserve">100 N.Y.2d 38, 41–43 (2003);</w:t>
      </w:r>
      <w:r>
        <w:t xml:space="preserve"> </w:t>
      </w:r>
      <w:bookmarkStart w:id="136" w:name="x1-4005"/>
      <w:bookmarkEnd w:id="136"/>
      <w:r>
        <w:rPr>
          <w:smallCaps/>
        </w:rPr>
        <w:t xml:space="preserve">R</w:t>
      </w:r>
      <w:r>
        <w:rPr>
          <w:smallCaps/>
          <w:smallCaps/>
        </w:rPr>
        <w:t xml:space="preserve">estatement</w:t>
      </w:r>
      <w:r>
        <w:rPr>
          <w:smallCaps/>
        </w:rPr>
        <w:t xml:space="preserve"> </w:t>
      </w:r>
      <w:r>
        <w:rPr>
          <w:smallCaps/>
        </w:rPr>
        <w:t xml:space="preserve">(T</w:t>
      </w:r>
      <w:r>
        <w:rPr>
          <w:smallCaps/>
          <w:smallCaps/>
        </w:rPr>
        <w:t xml:space="preserve">hird</w:t>
      </w:r>
      <w:r>
        <w:rPr>
          <w:smallCaps/>
        </w:rPr>
        <w:t xml:space="preserve">)</w:t>
      </w:r>
      <w:r>
        <w:rPr>
          <w:smallCaps/>
        </w:rPr>
        <w:t xml:space="preserve"> </w:t>
      </w:r>
      <w:r>
        <w:rPr>
          <w:smallCaps/>
          <w:smallCaps/>
        </w:rPr>
        <w:t xml:space="preserve">of</w:t>
      </w:r>
      <w:r>
        <w:rPr>
          <w:smallCaps/>
        </w:rPr>
        <w:t xml:space="preserve"> </w:t>
      </w:r>
      <w:r>
        <w:rPr>
          <w:smallCaps/>
        </w:rPr>
        <w:t xml:space="preserve">A</w:t>
      </w:r>
      <w:r>
        <w:rPr>
          <w:smallCaps/>
          <w:smallCaps/>
        </w:rPr>
        <w:t xml:space="preserve">gency</w:t>
      </w:r>
      <w:r>
        <w:rPr>
          <w:smallCaps/>
        </w:rPr>
        <w:t xml:space="preserve"> </w:t>
      </w:r>
      <w:r>
        <w:t xml:space="preserve">§§</w:t>
      </w:r>
      <w:r>
        <w:t xml:space="preserve"> 7.03(1), 7.05 (Am. L. Inst.</w:t>
      </w:r>
      <w:r>
        <w:t xml:space="preserve"> </w:t>
      </w:r>
      <w:r>
        <w:t xml:space="preserve">2006).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39" w:name="x1-4007xA"/>
      <w:bookmarkEnd w:id="139"/>
      <w:r>
        <w:t xml:space="preserve">See</w:t>
      </w:r>
      <w:r>
        <w:t xml:space="preserve"> </w:t>
      </w:r>
      <w:bookmarkStart w:id="140" w:name="x1-4008"/>
      <w:bookmarkEnd w:id="140"/>
      <w:r>
        <w:rPr>
          <w:i/>
          <w:iCs/>
        </w:rPr>
        <w:t xml:space="preserve">Mobley v. Workday, Inc.,</w:t>
      </w:r>
      <w:r>
        <w:rPr>
          <w:i/>
          <w:iCs/>
        </w:rPr>
        <w:t xml:space="preserve"> </w:t>
      </w:r>
      <w:r>
        <w:t xml:space="preserve">740 F. Supp. 3d 796, 806–08 (N.D. Cal. 2024). The decision granted in part and</w:t>
      </w:r>
      <w:r>
        <w:t xml:space="preserve"> </w:t>
      </w:r>
      <w:r>
        <w:t xml:space="preserve">denied in part Workday’s motion to dismiss the first amended complaint; it did not find discriminatory operation or</w:t>
      </w:r>
      <w:r>
        <w:t xml:space="preserve"> </w:t>
      </w:r>
      <w:r>
        <w:t xml:space="preserve">resolve the merits.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47" w:name="x1-6002xC"/>
      <w:bookmarkEnd w:id="147"/>
      <w:r>
        <w:t xml:space="preserve">See</w:t>
      </w:r>
      <w:r>
        <w:t xml:space="preserve"> </w:t>
      </w:r>
      <w:bookmarkStart w:id="148" w:name="x1-6003"/>
      <w:bookmarkEnd w:id="148"/>
      <w:r>
        <w:t xml:space="preserve">Fed. R. Civ. P. 8(a)(2);</w:t>
      </w:r>
      <w:r>
        <w:t xml:space="preserve"> </w:t>
      </w:r>
      <w:bookmarkStart w:id="149" w:name="x1-6004"/>
      <w:bookmarkEnd w:id="149"/>
      <w:r>
        <w:t xml:space="preserve">Fed. R. Civ. P. 11(b)(3);</w:t>
      </w:r>
      <w:r>
        <w:t xml:space="preserve"> </w:t>
      </w:r>
      <w:bookmarkStart w:id="150" w:name="x1-6005"/>
      <w:bookmarkEnd w:id="150"/>
      <w:r>
        <w:rPr>
          <w:i/>
          <w:iCs/>
        </w:rPr>
        <w:t xml:space="preserve">Bell Atl. Corp. v. Twombly,</w:t>
      </w:r>
      <w:r>
        <w:rPr>
          <w:i/>
          <w:iCs/>
        </w:rPr>
        <w:t xml:space="preserve"> </w:t>
      </w:r>
      <w:r>
        <w:t xml:space="preserve">550 U.S. 544, 555–59, 570</w:t>
      </w:r>
      <w:r>
        <w:t xml:space="preserve"> </w:t>
      </w:r>
      <w:r>
        <w:t xml:space="preserve">(2007);</w:t>
      </w:r>
      <w:r>
        <w:t xml:space="preserve"> </w:t>
      </w:r>
      <w:bookmarkStart w:id="151" w:name="x1-6006"/>
      <w:bookmarkEnd w:id="151"/>
      <w:r>
        <w:rPr>
          <w:i/>
          <w:iCs/>
        </w:rPr>
        <w:t xml:space="preserve">Ashcroft v. Iqbal,</w:t>
      </w:r>
      <w:r>
        <w:rPr>
          <w:i/>
          <w:iCs/>
        </w:rPr>
        <w:t xml:space="preserve"> </w:t>
      </w:r>
      <w:r>
        <w:t xml:space="preserve">556 U.S. 662, 678–79, 686 (2009);</w:t>
      </w:r>
      <w:r>
        <w:t xml:space="preserve"> </w:t>
      </w:r>
      <w:bookmarkStart w:id="152" w:name="x1-6007"/>
      <w:bookmarkEnd w:id="152"/>
      <w:r>
        <w:rPr>
          <w:i/>
          <w:iCs/>
        </w:rPr>
        <w:t xml:space="preserve">Rotella v. Wood,</w:t>
      </w:r>
      <w:r>
        <w:rPr>
          <w:i/>
          <w:iCs/>
        </w:rPr>
        <w:t xml:space="preserve"> </w:t>
      </w:r>
      <w:r>
        <w:t xml:space="preserve">528 U.S. 549, 560–61</w:t>
      </w:r>
      <w:r>
        <w:t xml:space="preserve"> </w:t>
      </w:r>
      <w:r>
        <w:t xml:space="preserve">(2000).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55" w:name="x1-6009xC"/>
      <w:bookmarkEnd w:id="155"/>
      <w:r>
        <w:t xml:space="preserve">See</w:t>
      </w:r>
      <w:r>
        <w:t xml:space="preserve"> </w:t>
      </w:r>
      <w:bookmarkStart w:id="156" w:name="x1-6010"/>
      <w:bookmarkEnd w:id="156"/>
      <w:r>
        <w:t xml:space="preserve">Fed. R. Civ. P. 26;</w:t>
      </w:r>
      <w:r>
        <w:t xml:space="preserve"> </w:t>
      </w:r>
      <w:bookmarkStart w:id="157" w:name="x1-6011"/>
      <w:bookmarkEnd w:id="157"/>
      <w:r>
        <w:t xml:space="preserve">Fed. R. Civ. P. 34(a)(1), 45.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60" w:name="x1-6013xC"/>
      <w:bookmarkEnd w:id="160"/>
      <w:r>
        <w:t xml:space="preserve">See</w:t>
      </w:r>
      <w:r>
        <w:t xml:space="preserve"> </w:t>
      </w:r>
      <w:bookmarkStart w:id="161" w:name="x1-6014"/>
      <w:bookmarkEnd w:id="161"/>
      <w:r>
        <w:t xml:space="preserve">Fed. R. Civ. P. 26(a)(1)(A)(i)–(iv), 26(a)(1)(C), 26(f).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64" w:name="x1-6016xC"/>
      <w:bookmarkEnd w:id="164"/>
      <w:r>
        <w:t xml:space="preserve">See</w:t>
      </w:r>
      <w:r>
        <w:t xml:space="preserve"> </w:t>
      </w:r>
      <w:bookmarkStart w:id="165" w:name="x1-6017"/>
      <w:bookmarkEnd w:id="165"/>
      <w:r>
        <w:rPr>
          <w:i/>
          <w:iCs/>
        </w:rPr>
        <w:t xml:space="preserve">Strike 3 Holdings, LLC v. Doe,</w:t>
      </w:r>
      <w:r>
        <w:rPr>
          <w:i/>
          <w:iCs/>
        </w:rPr>
        <w:t xml:space="preserve"> </w:t>
      </w:r>
      <w:r>
        <w:t xml:space="preserve">964 F.3d 1203, 1207, 1210–11 (D.C. Cir. 2020); see also</w:t>
      </w:r>
      <w:r>
        <w:t xml:space="preserve"> </w:t>
      </w:r>
      <w:bookmarkStart w:id="166" w:name="x1-6018"/>
      <w:bookmarkEnd w:id="166"/>
      <w:r>
        <w:rPr>
          <w:i/>
          <w:iCs/>
        </w:rPr>
        <w:t xml:space="preserve">Columbia Ins. Co. v.</w:t>
      </w:r>
      <w:r>
        <w:rPr>
          <w:i/>
          <w:iCs/>
        </w:rPr>
        <w:t xml:space="preserve"> </w:t>
      </w:r>
      <w:r>
        <w:rPr>
          <w:i/>
          <w:iCs/>
        </w:rPr>
        <w:t xml:space="preserve">Seescandy.com,</w:t>
      </w:r>
      <w:r>
        <w:rPr>
          <w:i/>
          <w:iCs/>
        </w:rPr>
        <w:t xml:space="preserve"> </w:t>
      </w:r>
      <w:r>
        <w:t xml:space="preserve">185 F.R.D. 573, 577–80 (N.D. Cal. 1999).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69" w:name="x1-6020xC"/>
      <w:bookmarkEnd w:id="169"/>
      <w:r>
        <w:t xml:space="preserve">See</w:t>
      </w:r>
      <w:r>
        <w:t xml:space="preserve"> </w:t>
      </w:r>
      <w:bookmarkStart w:id="170" w:name="x1-6021"/>
      <w:bookmarkEnd w:id="170"/>
      <w:r>
        <w:t xml:space="preserve">Fed. R. Civ. P. 27;</w:t>
      </w:r>
      <w:r>
        <w:t xml:space="preserve"> </w:t>
      </w:r>
      <w:bookmarkStart w:id="171" w:name="x1-6022"/>
      <w:bookmarkEnd w:id="171"/>
      <w:r>
        <w:rPr>
          <w:i/>
          <w:iCs/>
        </w:rPr>
        <w:t xml:space="preserve">Workman v. U.S. Postal Serv.,</w:t>
      </w:r>
      <w:r>
        <w:rPr>
          <w:i/>
          <w:iCs/>
        </w:rPr>
        <w:t xml:space="preserve"> </w:t>
      </w:r>
      <w:r>
        <w:t xml:space="preserve">127 F.4th 237, 240–45 (10th Cir. 2025);</w:t>
      </w:r>
      <w:r>
        <w:t xml:space="preserve"> </w:t>
      </w:r>
      <w:bookmarkStart w:id="172" w:name="x1-6023"/>
      <w:bookmarkEnd w:id="172"/>
      <w:r>
        <w:rPr>
          <w:i/>
          <w:iCs/>
        </w:rPr>
        <w:t xml:space="preserve">Ash v. Cort,</w:t>
      </w:r>
      <w:r>
        <w:rPr>
          <w:i/>
          <w:iCs/>
        </w:rPr>
        <w:t xml:space="preserve"> </w:t>
      </w:r>
      <w:r>
        <w:t xml:space="preserve">512</w:t>
      </w:r>
      <w:r>
        <w:t xml:space="preserve"> </w:t>
      </w:r>
      <w:r>
        <w:t xml:space="preserve">F.2d 909, 912 (3d Cir. 1975).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75" w:name="x1-6025xC"/>
      <w:bookmarkEnd w:id="175"/>
      <w:r>
        <w:t xml:space="preserve">Compare</w:t>
      </w:r>
      <w:r>
        <w:t xml:space="preserve"> </w:t>
      </w:r>
      <w:bookmarkStart w:id="176" w:name="x1-6026"/>
      <w:bookmarkEnd w:id="176"/>
      <w:r>
        <w:rPr>
          <w:i/>
          <w:iCs/>
        </w:rPr>
        <w:t xml:space="preserve">In re Citric Acid Litig.,</w:t>
      </w:r>
      <w:r>
        <w:rPr>
          <w:i/>
          <w:iCs/>
        </w:rPr>
        <w:t xml:space="preserve"> </w:t>
      </w:r>
      <w:r>
        <w:t xml:space="preserve">191 F.3d 1090, 1107–08 (9th Cir. 1999), with</w:t>
      </w:r>
      <w:r>
        <w:t xml:space="preserve"> </w:t>
      </w:r>
      <w:bookmarkStart w:id="177" w:name="x1-6027"/>
      <w:bookmarkEnd w:id="177"/>
      <w:r>
        <w:rPr>
          <w:i/>
          <w:iCs/>
        </w:rPr>
        <w:t xml:space="preserve">Sergeeva v. Tripleton Int’l Ltd.,</w:t>
      </w:r>
      <w:r>
        <w:rPr>
          <w:i/>
          <w:iCs/>
        </w:rPr>
        <w:t xml:space="preserve"> </w:t>
      </w:r>
      <w:r>
        <w:t xml:space="preserve">834 F.3d 1194, 1200–02 (11th Cir. 2016).</w:t>
      </w:r>
      <w:r>
        <w:t xml:space="preserve"> </w:t>
      </w:r>
      <w:r>
        <w:rPr>
          <w:i/>
          <w:iCs/>
        </w:rPr>
        <w:t xml:space="preserve">Sergeeva</w:t>
      </w:r>
      <w:r>
        <w:rPr>
          <w:i/>
          <w:iCs/>
        </w:rPr>
        <w:t xml:space="preserve"> </w:t>
      </w:r>
      <w:r>
        <w:t xml:space="preserve">arose under 28 U.S.C.</w:t>
      </w:r>
      <w:r>
        <w:t xml:space="preserve"> </w:t>
      </w:r>
      <w:r>
        <w:t xml:space="preserve">§</w:t>
      </w:r>
      <w:r>
        <w:t xml:space="preserve"> 1782; it illustrates a practical-control</w:t>
      </w:r>
      <w:r>
        <w:t xml:space="preserve"> </w:t>
      </w:r>
      <w:r>
        <w:t xml:space="preserve">approach rather than deciding ordinary domestic merits discovery.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80" w:name="x1-6029xC"/>
      <w:bookmarkEnd w:id="180"/>
      <w:r>
        <w:t xml:space="preserve">See</w:t>
      </w:r>
      <w:r>
        <w:t xml:space="preserve"> </w:t>
      </w:r>
      <w:bookmarkStart w:id="181" w:name="x1-6030"/>
      <w:bookmarkEnd w:id="181"/>
      <w:r>
        <w:t xml:space="preserve">Fed. R. Civ. P. 15(c);</w:t>
      </w:r>
      <w:r>
        <w:t xml:space="preserve"> </w:t>
      </w:r>
      <w:bookmarkStart w:id="182" w:name="x1-6031"/>
      <w:bookmarkEnd w:id="182"/>
      <w:r>
        <w:rPr>
          <w:i/>
          <w:iCs/>
        </w:rPr>
        <w:t xml:space="preserve">Krupski v. Costa Crociere S.p.A.,</w:t>
      </w:r>
      <w:r>
        <w:rPr>
          <w:i/>
          <w:iCs/>
        </w:rPr>
        <w:t xml:space="preserve"> </w:t>
      </w:r>
      <w:r>
        <w:t xml:space="preserve">560 U.S. 538, 547–57 (2010);</w:t>
      </w:r>
      <w:r>
        <w:t xml:space="preserve"> </w:t>
      </w:r>
      <w:bookmarkStart w:id="183" w:name="x1-6032"/>
      <w:bookmarkEnd w:id="183"/>
      <w:r>
        <w:rPr>
          <w:i/>
          <w:iCs/>
        </w:rPr>
        <w:t xml:space="preserve">Winzer v. Kaufman</w:t>
      </w:r>
      <w:r>
        <w:rPr>
          <w:i/>
          <w:iCs/>
        </w:rPr>
        <w:t xml:space="preserve"> </w:t>
      </w:r>
      <w:r>
        <w:rPr>
          <w:i/>
          <w:iCs/>
        </w:rPr>
        <w:t xml:space="preserve">Cnty.,</w:t>
      </w:r>
      <w:r>
        <w:rPr>
          <w:i/>
          <w:iCs/>
        </w:rPr>
        <w:t xml:space="preserve"> </w:t>
      </w:r>
      <w:r>
        <w:t xml:space="preserve">916 F.3d 464, 470–71 (5th Cir. 2019);</w:t>
      </w:r>
      <w:r>
        <w:t xml:space="preserve"> </w:t>
      </w:r>
      <w:bookmarkStart w:id="184" w:name="x1-6033"/>
      <w:bookmarkEnd w:id="184"/>
      <w:r>
        <w:rPr>
          <w:i/>
          <w:iCs/>
        </w:rPr>
        <w:t xml:space="preserve">Butler v. Nat’l Cmty. Renaissance,</w:t>
      </w:r>
      <w:r>
        <w:rPr>
          <w:i/>
          <w:iCs/>
        </w:rPr>
        <w:t xml:space="preserve"> </w:t>
      </w:r>
      <w:r>
        <w:t xml:space="preserve">766 F.3d 1191, 1200–02 (9th Cir.</w:t>
      </w:r>
      <w:r>
        <w:t xml:space="preserve"> </w:t>
      </w:r>
      <w:r>
        <w:t xml:space="preserve">2014).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87" w:name="x1-6035xC"/>
      <w:bookmarkEnd w:id="187"/>
      <w:r>
        <w:t xml:space="preserve">See</w:t>
      </w:r>
      <w:r>
        <w:t xml:space="preserve"> </w:t>
      </w:r>
      <w:bookmarkStart w:id="188" w:name="x1-6036"/>
      <w:bookmarkEnd w:id="188"/>
      <w:r>
        <w:t xml:space="preserve">Ill. Sup. Ct. R. 224(a)(1)–(2), (b), (c);</w:t>
      </w:r>
      <w:r>
        <w:t xml:space="preserve"> </w:t>
      </w:r>
      <w:bookmarkStart w:id="189" w:name="x1-6037"/>
      <w:bookmarkEnd w:id="189"/>
      <w:r>
        <w:t xml:space="preserve">Tex. R. Civ. P. 202.1, 202.2(g), 202.4(a), 202.5;</w:t>
      </w:r>
      <w:r>
        <w:t xml:space="preserve"> </w:t>
      </w:r>
      <w:bookmarkStart w:id="190" w:name="x1-6038"/>
      <w:bookmarkEnd w:id="190"/>
      <w:r>
        <w:t xml:space="preserve">N.Y. C.P.L.R.</w:t>
      </w:r>
      <w:r>
        <w:t xml:space="preserve"> </w:t>
      </w:r>
      <w:r>
        <w:t xml:space="preserve">§</w:t>
      </w:r>
      <w:r>
        <w:t xml:space="preserve"> 3102(c) (2026);</w:t>
      </w:r>
      <w:r>
        <w:t xml:space="preserve"> </w:t>
      </w:r>
      <w:bookmarkStart w:id="191" w:name="x1-6039"/>
      <w:bookmarkEnd w:id="191"/>
      <w:r>
        <w:t xml:space="preserve">Cal. Civ. Proc. Code</w:t>
      </w:r>
      <w:r>
        <w:t xml:space="preserve"> </w:t>
      </w:r>
      <w:r>
        <w:t xml:space="preserve">§</w:t>
      </w:r>
      <w:r>
        <w:t xml:space="preserve"> 2035.010(b) (2026). A New York pre-action petition does not</w:t>
      </w:r>
      <w:r>
        <w:t xml:space="preserve"> </w:t>
      </w:r>
      <w:r>
        <w:t xml:space="preserve">become a federal Rule 27 proceeding simply because a respondent removes it;</w:t>
      </w:r>
      <w:r>
        <w:t xml:space="preserve"> </w:t>
      </w:r>
      <w:r>
        <w:rPr>
          <w:i/>
          <w:iCs/>
        </w:rPr>
        <w:t xml:space="preserve">Teamsters Local 404</w:t>
      </w:r>
      <w:r>
        <w:rPr>
          <w:i/>
          <w:iCs/>
        </w:rPr>
        <w:t xml:space="preserve"> </w:t>
      </w:r>
      <w:r>
        <w:t xml:space="preserve">treated the state petition as outside the removable civil action described by 28 U.S.C.</w:t>
      </w:r>
      <w:r>
        <w:t xml:space="preserve"> </w:t>
      </w:r>
      <w:r>
        <w:t xml:space="preserve">§</w:t>
      </w:r>
      <w:r>
        <w:t xml:space="preserve"> 1441. See</w:t>
      </w:r>
      <w:r>
        <w:t xml:space="preserve"> </w:t>
      </w:r>
      <w:bookmarkStart w:id="192" w:name="x1-6040"/>
      <w:bookmarkEnd w:id="192"/>
      <w:r>
        <w:rPr>
          <w:i/>
          <w:iCs/>
        </w:rPr>
        <w:t xml:space="preserve">Teamsters Loc. 404 Health Servs. &amp; Ins. Plan v. King Pharms., Inc.,</w:t>
      </w:r>
      <w:r>
        <w:rPr>
          <w:i/>
          <w:iCs/>
        </w:rPr>
        <w:t xml:space="preserve"> </w:t>
      </w:r>
      <w:r>
        <w:t xml:space="preserve">906 F.3d 260, 264–69 (2d Cir.</w:t>
      </w:r>
      <w:r>
        <w:t xml:space="preserve"> </w:t>
      </w:r>
      <w:r>
        <w:t xml:space="preserve">2018).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97" w:name="x1-7002xD"/>
      <w:bookmarkEnd w:id="197"/>
      <w:r>
        <w:t xml:space="preserve">See</w:t>
      </w:r>
      <w:r>
        <w:t xml:space="preserve"> </w:t>
      </w:r>
      <w:bookmarkStart w:id="198" w:name="x1-7003"/>
      <w:bookmarkEnd w:id="198"/>
      <w:r>
        <w:t xml:space="preserve">Stewart, supra note</w:t>
      </w:r>
      <w:r>
        <w:t xml:space="preserve"> </w:t>
      </w:r>
      <w:hyperlink w:anchor="x1-2014xdoc">
        <w:r>
          <w:rPr>
            <w:rStyle w:val="Hyperlink"/>
          </w:rPr>
          <w:t xml:space="preserve">3</w:t>
        </w:r>
      </w:hyperlink>
      <w:r>
        <w:t xml:space="preserve">, at 1067, 1075–79.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01" w:name="x1-7005xD"/>
      <w:bookmarkEnd w:id="201"/>
      <w:r>
        <w:t xml:space="preserve">See</w:t>
      </w:r>
      <w:r>
        <w:t xml:space="preserve"> </w:t>
      </w:r>
      <w:bookmarkStart w:id="202" w:name="x1-7006"/>
      <w:bookmarkEnd w:id="202"/>
      <w:r>
        <w:t xml:space="preserve">Cen, Ismael &amp; Zheng, supra note</w:t>
      </w:r>
      <w:r>
        <w:t xml:space="preserve"> </w:t>
      </w:r>
      <w:hyperlink w:anchor="x1-2014xdoc">
        <w:r>
          <w:rPr>
            <w:rStyle w:val="Hyperlink"/>
          </w:rPr>
          <w:t xml:space="preserve">3</w:t>
        </w:r>
      </w:hyperlink>
      <w:r>
        <w:t xml:space="preserve">, at 7794–95, 7801–05. Their analysis includes nonparty developers,</w:t>
      </w:r>
      <w:r>
        <w:t xml:space="preserve"> </w:t>
      </w:r>
      <w:r>
        <w:t xml:space="preserve">preservation, procurement, and logging. The distinction here is institutional sequence: the front door imposes a</w:t>
      </w:r>
      <w:r>
        <w:t xml:space="preserve"> </w:t>
      </w:r>
      <w:r>
        <w:t xml:space="preserve">visible-operator gateway, minimum deployment record, material-control routing rule, and safe exit before a court</w:t>
      </w:r>
      <w:r>
        <w:t xml:space="preserve"> </w:t>
      </w:r>
      <w:r>
        <w:t xml:space="preserve">can apply an access test to a defined requester–producer relation.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05" w:name="x1-7008xD"/>
      <w:bookmarkEnd w:id="205"/>
      <w:r>
        <w:t xml:space="preserve">See</w:t>
      </w:r>
      <w:r>
        <w:t xml:space="preserve"> </w:t>
      </w:r>
      <w:bookmarkStart w:id="206" w:name="x1-7009"/>
      <w:bookmarkEnd w:id="206"/>
      <w:r>
        <w:t xml:space="preserve">Carlos García-Llorente &amp; Ignacio Olmeda,</w:t>
      </w:r>
      <w:r>
        <w:t xml:space="preserve"> </w:t>
      </w:r>
      <w:r>
        <w:rPr>
          <w:i/>
          <w:iCs/>
        </w:rPr>
        <w:t xml:space="preserve">Making Algorithmic Transparency Enforceable: Sufficient</w:t>
      </w:r>
      <w:r>
        <w:rPr>
          <w:i/>
          <w:iCs/>
        </w:rPr>
        <w:t xml:space="preserve"> </w:t>
      </w:r>
      <w:r>
        <w:rPr>
          <w:i/>
          <w:iCs/>
        </w:rPr>
        <w:t xml:space="preserve">Intelligibility, Technical Evidence, and Auditability Across the EU and the US</w:t>
      </w:r>
      <w:r>
        <w:t xml:space="preserve">, 34</w:t>
      </w:r>
      <w:r>
        <w:t xml:space="preserve"> </w:t>
      </w:r>
      <w:r>
        <w:rPr>
          <w:smallCaps/>
        </w:rPr>
        <w:t xml:space="preserve">I</w:t>
      </w:r>
      <w:r>
        <w:rPr>
          <w:smallCaps/>
          <w:smallCaps/>
        </w:rPr>
        <w:t xml:space="preserve">nt</w:t>
      </w:r>
      <w:r>
        <w:rPr>
          <w:smallCaps/>
        </w:rPr>
        <w:t xml:space="preserve">’</w:t>
      </w:r>
      <w:r>
        <w:rPr>
          <w:smallCaps/>
          <w:smallCaps/>
        </w:rPr>
        <w:t xml:space="preserve">l</w:t>
      </w:r>
      <w:r>
        <w:rPr>
          <w:smallCaps/>
        </w:rPr>
        <w:t xml:space="preserve"> </w:t>
      </w:r>
      <w:r>
        <w:rPr>
          <w:smallCaps/>
        </w:rPr>
        <w:t xml:space="preserve">J.L. &amp; I</w:t>
      </w:r>
      <w:r>
        <w:rPr>
          <w:smallCaps/>
          <w:smallCaps/>
        </w:rPr>
        <w:t xml:space="preserve">nfo</w:t>
      </w:r>
      <w:r>
        <w:rPr>
          <w:smallCaps/>
        </w:rPr>
        <w:t xml:space="preserve">. T</w:t>
      </w:r>
      <w:r>
        <w:rPr>
          <w:smallCaps/>
          <w:smallCaps/>
        </w:rPr>
        <w:t xml:space="preserve">ech</w:t>
      </w:r>
      <w:r>
        <w:rPr>
          <w:smallCaps/>
        </w:rPr>
        <w:t xml:space="preserve">.</w:t>
      </w:r>
      <w:r>
        <w:t xml:space="preserve"> </w:t>
      </w:r>
      <w:r>
        <w:t xml:space="preserve">eaag008 (2026) (abstract) (proposing a minimum technical-evidence package);</w:t>
      </w:r>
      <w:r>
        <w:t xml:space="preserve"> </w:t>
      </w:r>
      <w:bookmarkStart w:id="207" w:name="x1-7010"/>
      <w:bookmarkEnd w:id="207"/>
      <w:r>
        <w:t xml:space="preserve">Oswaldo Maxwell, The Procurement</w:t>
      </w:r>
      <w:r>
        <w:t xml:space="preserve"> </w:t>
      </w:r>
      <w:r>
        <w:t xml:space="preserve">Record: How AI Contracts Decouple Evidence, Risk, Control, and Accountability (unpublished manuscript, July 10,</w:t>
      </w:r>
      <w:r>
        <w:t xml:space="preserve"> </w:t>
      </w:r>
      <w:r>
        <w:t xml:space="preserve">2026),</w:t>
      </w:r>
      <w:r>
        <w:t xml:space="preserve"> </w:t>
      </w:r>
      <w:hyperlink r:id="rId208">
        <w:r>
          <w:rPr>
            <w:rStyle w:val="Hyperlink"/>
          </w:rPr>
          <w:t xml:space="preserve">https://ssrn.com/abstract=7097518</w:t>
        </w:r>
      </w:hyperlink>
      <w:r>
        <w:t xml:space="preserve"> </w:t>
      </w:r>
      <w:r>
        <w:t xml:space="preserve">(abstract) (treating the procurement file as a governance record);</w:t>
      </w:r>
      <w:r>
        <w:t xml:space="preserve"> </w:t>
      </w:r>
      <w:bookmarkStart w:id="209" w:name="x1-7011"/>
      <w:bookmarkEnd w:id="209"/>
      <w:r>
        <w:t xml:space="preserve">Shreya Chappidi et al.,</w:t>
      </w:r>
      <w:r>
        <w:t xml:space="preserve"> </w:t>
      </w:r>
      <w:r>
        <w:rPr>
          <w:i/>
          <w:iCs/>
        </w:rPr>
        <w:t xml:space="preserve">Accountability Capture: How Record-Keeping to Support AI Transparency and</w:t>
      </w:r>
      <w:r>
        <w:rPr>
          <w:i/>
          <w:iCs/>
        </w:rPr>
        <w:t xml:space="preserve"> </w:t>
      </w:r>
      <w:r>
        <w:rPr>
          <w:i/>
          <w:iCs/>
        </w:rPr>
        <w:t xml:space="preserve">Accountability (Re)shapes Algorithmic Oversight</w:t>
      </w:r>
      <w:r>
        <w:t xml:space="preserve">, 8</w:t>
      </w:r>
      <w:r>
        <w:t xml:space="preserve"> </w:t>
      </w:r>
      <w:r>
        <w:rPr>
          <w:smallCaps/>
        </w:rPr>
        <w:t xml:space="preserve">P</w:t>
      </w:r>
      <w:r>
        <w:rPr>
          <w:smallCaps/>
          <w:smallCaps/>
        </w:rPr>
        <w:t xml:space="preserve">roceedings of the</w:t>
      </w:r>
      <w:r>
        <w:rPr>
          <w:smallCaps/>
        </w:rPr>
        <w:t xml:space="preserve"> </w:t>
      </w:r>
      <w:r>
        <w:rPr>
          <w:smallCaps/>
        </w:rPr>
        <w:t xml:space="preserve">AAAI/ACM C</w:t>
      </w:r>
      <w:r>
        <w:rPr>
          <w:smallCaps/>
          <w:smallCaps/>
        </w:rPr>
        <w:t xml:space="preserve">onference</w:t>
      </w:r>
      <w:r>
        <w:t xml:space="preserve"> </w:t>
      </w:r>
      <w:r>
        <w:rPr>
          <w:smallCaps/>
          <w:smallCaps/>
        </w:rPr>
        <w:t xml:space="preserve">on</w:t>
      </w:r>
      <w:r>
        <w:rPr>
          <w:smallCaps/>
        </w:rPr>
        <w:t xml:space="preserve"> </w:t>
      </w:r>
      <w:r>
        <w:rPr>
          <w:smallCaps/>
        </w:rPr>
        <w:t xml:space="preserve">AI, E</w:t>
      </w:r>
      <w:r>
        <w:rPr>
          <w:smallCaps/>
          <w:smallCaps/>
        </w:rPr>
        <w:t xml:space="preserve">thics</w:t>
      </w:r>
      <w:r>
        <w:rPr>
          <w:smallCaps/>
        </w:rPr>
        <w:t xml:space="preserve">,</w:t>
      </w:r>
      <w:r>
        <w:rPr>
          <w:smallCaps/>
        </w:rPr>
        <w:t xml:space="preserve"> </w:t>
      </w:r>
      <w:r>
        <w:rPr>
          <w:smallCaps/>
          <w:smallCaps/>
        </w:rPr>
        <w:t xml:space="preserve">and</w:t>
      </w:r>
      <w:r>
        <w:rPr>
          <w:smallCaps/>
        </w:rPr>
        <w:t xml:space="preserve"> </w:t>
      </w:r>
      <w:r>
        <w:rPr>
          <w:smallCaps/>
        </w:rPr>
        <w:t xml:space="preserve">S</w:t>
      </w:r>
      <w:r>
        <w:rPr>
          <w:smallCaps/>
          <w:smallCaps/>
        </w:rPr>
        <w:t xml:space="preserve">ociety</w:t>
      </w:r>
      <w:r>
        <w:rPr>
          <w:smallCaps/>
        </w:rPr>
        <w:t xml:space="preserve"> </w:t>
      </w:r>
      <w:r>
        <w:t xml:space="preserve">554, 558–63 (2025) (identifying behavioral effects of accountability</w:t>
      </w:r>
      <w:r>
        <w:t xml:space="preserve"> </w:t>
      </w:r>
      <w:r>
        <w:t xml:space="preserve">records).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12" w:name="x1-7013xD"/>
      <w:bookmarkEnd w:id="212"/>
      <w:r>
        <w:t xml:space="preserve">See</w:t>
      </w:r>
      <w:r>
        <w:t xml:space="preserve"> </w:t>
      </w:r>
      <w:bookmarkStart w:id="213" w:name="x1-7014"/>
      <w:bookmarkEnd w:id="213"/>
      <w:r>
        <w:t xml:space="preserve">Yu et al., supra note</w:t>
      </w:r>
      <w:r>
        <w:t xml:space="preserve"> </w:t>
      </w:r>
      <w:hyperlink w:anchor="x1-2007xdoc">
        <w:r>
          <w:rPr>
            <w:rStyle w:val="Hyperlink"/>
          </w:rPr>
          <w:t xml:space="preserve">2</w:t>
        </w:r>
      </w:hyperlink>
      <w:r>
        <w:t xml:space="preserve">, at 1–2, 8–9. The study codes federal opinions in which AI appears in the</w:t>
      </w:r>
      <w:r>
        <w:t xml:space="preserve"> </w:t>
      </w:r>
      <w:r>
        <w:t xml:space="preserve">parties’ contentions; it does not estimate the universe of AI incidents or adjudicate the validity of any</w:t>
      </w:r>
      <w:r>
        <w:t xml:space="preserve"> </w:t>
      </w:r>
      <w:r>
        <w:t xml:space="preserve">claim.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18" w:name="x1-8002xE"/>
      <w:bookmarkEnd w:id="218"/>
      <w:r>
        <w:t xml:space="preserve">See</w:t>
      </w:r>
      <w:r>
        <w:t xml:space="preserve"> </w:t>
      </w:r>
      <w:bookmarkStart w:id="219" w:name="x1-8003"/>
      <w:bookmarkEnd w:id="219"/>
      <w:r>
        <w:rPr>
          <w:smallCaps/>
        </w:rPr>
        <w:t xml:space="preserve">N</w:t>
      </w:r>
      <w:r>
        <w:rPr>
          <w:smallCaps/>
          <w:smallCaps/>
        </w:rPr>
        <w:t xml:space="preserve">ancy</w:t>
      </w:r>
      <w:r>
        <w:rPr>
          <w:smallCaps/>
        </w:rPr>
        <w:t xml:space="preserve"> </w:t>
      </w:r>
      <w:r>
        <w:rPr>
          <w:smallCaps/>
        </w:rPr>
        <w:t xml:space="preserve">G. L</w:t>
      </w:r>
      <w:r>
        <w:rPr>
          <w:smallCaps/>
          <w:smallCaps/>
        </w:rPr>
        <w:t xml:space="preserve">eveson</w:t>
      </w:r>
      <w:r>
        <w:t xml:space="preserve">,</w:t>
      </w:r>
      <w:r>
        <w:t xml:space="preserve"> </w:t>
      </w:r>
      <w:r>
        <w:rPr>
          <w:smallCaps/>
        </w:rPr>
        <w:t xml:space="preserve">E</w:t>
      </w:r>
      <w:r>
        <w:rPr>
          <w:smallCaps/>
          <w:smallCaps/>
        </w:rPr>
        <w:t xml:space="preserve">ngineering a</w:t>
      </w:r>
      <w:r>
        <w:rPr>
          <w:smallCaps/>
        </w:rPr>
        <w:t xml:space="preserve"> </w:t>
      </w:r>
      <w:r>
        <w:rPr>
          <w:smallCaps/>
        </w:rPr>
        <w:t xml:space="preserve">S</w:t>
      </w:r>
      <w:r>
        <w:rPr>
          <w:smallCaps/>
          <w:smallCaps/>
        </w:rPr>
        <w:t xml:space="preserve">afer</w:t>
      </w:r>
      <w:r>
        <w:rPr>
          <w:smallCaps/>
        </w:rPr>
        <w:t xml:space="preserve"> </w:t>
      </w:r>
      <w:r>
        <w:rPr>
          <w:smallCaps/>
        </w:rPr>
        <w:t xml:space="preserve">W</w:t>
      </w:r>
      <w:r>
        <w:rPr>
          <w:smallCaps/>
          <w:smallCaps/>
        </w:rPr>
        <w:t xml:space="preserve">orld</w:t>
      </w:r>
      <w:r>
        <w:rPr>
          <w:smallCaps/>
        </w:rPr>
        <w:t xml:space="preserve">: S</w:t>
      </w:r>
      <w:r>
        <w:rPr>
          <w:smallCaps/>
          <w:smallCaps/>
        </w:rPr>
        <w:t xml:space="preserve">ystems</w:t>
      </w:r>
      <w:r>
        <w:rPr>
          <w:smallCaps/>
        </w:rPr>
        <w:t xml:space="preserve"> </w:t>
      </w:r>
      <w:r>
        <w:rPr>
          <w:smallCaps/>
        </w:rPr>
        <w:t xml:space="preserve">T</w:t>
      </w:r>
      <w:r>
        <w:rPr>
          <w:smallCaps/>
          <w:smallCaps/>
        </w:rPr>
        <w:t xml:space="preserve">hinking</w:t>
      </w:r>
      <w:r>
        <w:rPr>
          <w:smallCaps/>
        </w:rPr>
        <w:t xml:space="preserve"> </w:t>
      </w:r>
      <w:r>
        <w:rPr>
          <w:smallCaps/>
        </w:rPr>
        <w:t xml:space="preserve">A</w:t>
      </w:r>
      <w:r>
        <w:rPr>
          <w:smallCaps/>
          <w:smallCaps/>
        </w:rPr>
        <w:t xml:space="preserve">pplied to</w:t>
      </w:r>
      <w:r>
        <w:rPr>
          <w:smallCaps/>
        </w:rPr>
        <w:t xml:space="preserve"> </w:t>
      </w:r>
      <w:r>
        <w:rPr>
          <w:smallCaps/>
        </w:rPr>
        <w:t xml:space="preserve">S</w:t>
      </w:r>
      <w:r>
        <w:rPr>
          <w:smallCaps/>
          <w:smallCaps/>
        </w:rPr>
        <w:t xml:space="preserve">afety</w:t>
      </w:r>
      <w:r>
        <w:t xml:space="preserve"> </w:t>
      </w:r>
      <w:r>
        <w:t xml:space="preserve">75–76, 87–90 (2012) (developing the systems-theoretic premise);</w:t>
      </w:r>
      <w:r>
        <w:t xml:space="preserve"> </w:t>
      </w:r>
      <w:bookmarkStart w:id="220" w:name="x1-8004"/>
      <w:bookmarkEnd w:id="220"/>
      <w:r>
        <w:t xml:space="preserve">Nancy G. Leveson &amp; John P. Thomas,</w:t>
      </w:r>
      <w:r>
        <w:t xml:space="preserve"> </w:t>
      </w:r>
      <w:r>
        <w:t xml:space="preserve">STPA Handbook, at 14–15 (MIT Partnership for Systems Approaches to Safety and Security, 2018),</w:t>
      </w:r>
      <w:r>
        <w:t xml:space="preserve"> </w:t>
      </w:r>
      <w:r>
        <w:t xml:space="preserve"> </w:t>
      </w:r>
      <w:hyperlink r:id="rId221">
        <w:r>
          <w:rPr>
            <w:rStyle w:val="Hyperlink"/>
          </w:rPr>
          <w:t xml:space="preserve">https://psas.scripts.mit.edu/home/get_file.php?name=STPA_handbook.pdf</w:t>
        </w:r>
      </w:hyperlink>
      <w:r>
        <w:t xml:space="preserve"> </w:t>
      </w:r>
      <w:r>
        <w:t xml:space="preserve">(specifying the STPA</w:t>
      </w:r>
      <w:r>
        <w:t xml:space="preserve"> </w:t>
      </w:r>
      <w:r>
        <w:t xml:space="preserve">method);</w:t>
      </w:r>
      <w:r>
        <w:t xml:space="preserve"> </w:t>
      </w:r>
      <w:bookmarkStart w:id="222" w:name="x1-8005"/>
      <w:bookmarkEnd w:id="222"/>
      <w:r>
        <w:t xml:space="preserve">Shalaleh Rismani et al.,</w:t>
      </w:r>
      <w:r>
        <w:t xml:space="preserve"> </w:t>
      </w:r>
      <w:r>
        <w:rPr>
          <w:i/>
          <w:iCs/>
        </w:rPr>
        <w:t xml:space="preserve">From Plane Crashes to Algorithmic Harm: Applicability of Safety</w:t>
      </w:r>
      <w:r>
        <w:rPr>
          <w:i/>
          <w:iCs/>
        </w:rPr>
        <w:t xml:space="preserve"> </w:t>
      </w:r>
      <w:r>
        <w:rPr>
          <w:i/>
          <w:iCs/>
        </w:rPr>
        <w:t xml:space="preserve">Engineering Frameworks for Responsible ML</w:t>
      </w:r>
      <w:r>
        <w:t xml:space="preserve">, in</w:t>
      </w:r>
      <w:r>
        <w:t xml:space="preserve"> </w:t>
      </w:r>
      <w:r>
        <w:rPr>
          <w:smallCaps/>
        </w:rPr>
        <w:t xml:space="preserve">CHI ’23 P</w:t>
      </w:r>
      <w:r>
        <w:rPr>
          <w:smallCaps/>
          <w:smallCaps/>
        </w:rPr>
        <w:t xml:space="preserve">roc</w:t>
      </w:r>
      <w:r>
        <w:rPr>
          <w:smallCaps/>
        </w:rPr>
        <w:t xml:space="preserve">.</w:t>
      </w:r>
      <w:r>
        <w:rPr>
          <w:smallCaps/>
        </w:rPr>
        <w:t xml:space="preserve"> </w:t>
      </w:r>
      <w:r>
        <w:t xml:space="preserve">2:1–2:18, 2:5–2:6, 2:14–2:18 (2023),</w:t>
      </w:r>
      <w:r>
        <w:t xml:space="preserve"> </w:t>
      </w:r>
      <w:r>
        <w:t xml:space="preserve"> </w:t>
      </w:r>
      <w:hyperlink r:id="rId223">
        <w:r>
          <w:rPr>
            <w:rStyle w:val="Hyperlink"/>
          </w:rPr>
          <w:t xml:space="preserve">https://doi.org/10.1145/3544548.3581407</w:t>
        </w:r>
      </w:hyperlink>
      <w:r>
        <w:t xml:space="preserve"> </w:t>
      </w:r>
      <w:r>
        <w:t xml:space="preserve">(applying safety-engineering frameworks to responsible machine</w:t>
      </w:r>
      <w:r>
        <w:t xml:space="preserve"> </w:t>
      </w:r>
      <w:r>
        <w:t xml:space="preserve">learning).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37" w:name="x1-10002xA"/>
      <w:bookmarkEnd w:id="237"/>
      <w:r>
        <w:t xml:space="preserve">See</w:t>
      </w:r>
      <w:r>
        <w:t xml:space="preserve"> </w:t>
      </w:r>
      <w:bookmarkStart w:id="238" w:name="x1-10003"/>
      <w:bookmarkEnd w:id="238"/>
      <w:r>
        <w:t xml:space="preserve">Companion Chatbots, Cal. Bus. &amp; Prof. Code</w:t>
      </w:r>
      <w:r>
        <w:t xml:space="preserve"> </w:t>
      </w:r>
      <w:r>
        <w:t xml:space="preserve">§§</w:t>
      </w:r>
      <w:r>
        <w:t xml:space="preserve"> 22601(b), (e), 22602(a)–(c), 22603(a)–(d), 22604–22606</w:t>
      </w:r>
      <w:r>
        <w:t xml:space="preserve"> </w:t>
      </w:r>
      <w:r>
        <w:t xml:space="preserve">(2025). The enacted provisions do not contain the deployment front-door rule proposed here; they demonstrate that</w:t>
      </w:r>
      <w:r>
        <w:t xml:space="preserve"> </w:t>
      </w:r>
      <w:r>
        <w:t xml:space="preserve">a legislature can designate a relational deployment, identify its operator, and attach enforceable protocol and</w:t>
      </w:r>
      <w:r>
        <w:t xml:space="preserve"> </w:t>
      </w:r>
      <w:r>
        <w:t xml:space="preserve">reporting duties.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52" w:name="x1-15002x1"/>
      <w:bookmarkEnd w:id="252"/>
      <w:r>
        <w:t xml:space="preserve">See</w:t>
      </w:r>
      <w:r>
        <w:t xml:space="preserve"> </w:t>
      </w:r>
      <w:bookmarkStart w:id="253" w:name="x1-15003"/>
      <w:bookmarkEnd w:id="253"/>
      <w:r>
        <w:rPr>
          <w:i/>
          <w:iCs/>
        </w:rPr>
        <w:t xml:space="preserve">Bristol-Myers Squibb Co. v. Superior Ct. of Cal.,</w:t>
      </w:r>
      <w:r>
        <w:rPr>
          <w:i/>
          <w:iCs/>
        </w:rPr>
        <w:t xml:space="preserve"> </w:t>
      </w:r>
      <w:r>
        <w:t xml:space="preserve">582 U.S. 255, 264–68 (2017);</w:t>
      </w:r>
      <w:r>
        <w:t xml:space="preserve"> </w:t>
      </w:r>
      <w:bookmarkStart w:id="254" w:name="x1-15004"/>
      <w:bookmarkEnd w:id="254"/>
      <w:r>
        <w:rPr>
          <w:i/>
          <w:iCs/>
        </w:rPr>
        <w:t xml:space="preserve">Ford Motor Co. v. Mont.</w:t>
      </w:r>
      <w:r>
        <w:rPr>
          <w:i/>
          <w:iCs/>
        </w:rPr>
        <w:t xml:space="preserve"> </w:t>
      </w:r>
      <w:r>
        <w:rPr>
          <w:i/>
          <w:iCs/>
        </w:rPr>
        <w:t xml:space="preserve">Eighth Jud. Dist. Ct.,</w:t>
      </w:r>
      <w:r>
        <w:rPr>
          <w:i/>
          <w:iCs/>
        </w:rPr>
        <w:t xml:space="preserve"> </w:t>
      </w:r>
      <w:r>
        <w:t xml:space="preserve">592 U.S. 351, 359–71 (2021). The model statute therefore distinguishes a control</w:t>
      </w:r>
      <w:r>
        <w:t xml:space="preserve"> </w:t>
      </w:r>
      <w:r>
        <w:t xml:space="preserve">holder directly subject to the Act from a supplier reached through the operator’s contract and local</w:t>
      </w:r>
      <w:r>
        <w:t xml:space="preserve"> </w:t>
      </w:r>
      <w:r>
        <w:t xml:space="preserve">record.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61" w:name="x1-17002x3"/>
      <w:bookmarkEnd w:id="261"/>
      <w:r>
        <w:t xml:space="preserve">See</w:t>
      </w:r>
      <w:r>
        <w:t xml:space="preserve"> </w:t>
      </w:r>
      <w:bookmarkStart w:id="262" w:name="x1-17003"/>
      <w:bookmarkEnd w:id="262"/>
      <w:r>
        <w:t xml:space="preserve">Stewart, supra note</w:t>
      </w:r>
      <w:r>
        <w:t xml:space="preserve"> </w:t>
      </w:r>
      <w:hyperlink w:anchor="x1-2014xdoc">
        <w:r>
          <w:rPr>
            <w:rStyle w:val="Hyperlink"/>
          </w:rPr>
          <w:t xml:space="preserve">3</w:t>
        </w:r>
      </w:hyperlink>
      <w:r>
        <w:t xml:space="preserve">, at 1076–79. Counterfactual interrogation tests the behavior of a known</w:t>
      </w:r>
      <w:r>
        <w:t xml:space="preserve"> </w:t>
      </w:r>
      <w:r>
        <w:t xml:space="preserve">decision-time version; Stage One supplies the identity and preservation predicates needed to direct that</w:t>
      </w:r>
      <w:r>
        <w:t xml:space="preserve"> </w:t>
      </w:r>
      <w:r>
        <w:t xml:space="preserve">tool.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68" w:name="x1-18002xE"/>
      <w:bookmarkEnd w:id="268"/>
      <w:r>
        <w:t xml:space="preserve">See</w:t>
      </w:r>
      <w:r>
        <w:t xml:space="preserve"> </w:t>
      </w:r>
      <w:bookmarkStart w:id="269" w:name="x1-18003"/>
      <w:bookmarkEnd w:id="269"/>
      <w:r>
        <w:t xml:space="preserve">Fed. R. Civ. P. 26(c)(1)(G).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76" w:name="x1-20002xG"/>
      <w:bookmarkEnd w:id="276"/>
      <w:r>
        <w:t xml:space="preserve">See, e.g.,</w:t>
      </w:r>
      <w:r>
        <w:t xml:space="preserve"> </w:t>
      </w:r>
      <w:bookmarkStart w:id="277" w:name="x1-20003"/>
      <w:bookmarkEnd w:id="277"/>
      <w:r>
        <w:rPr>
          <w:i/>
          <w:iCs/>
        </w:rPr>
        <w:t xml:space="preserve">Pledger v. Lynch,</w:t>
      </w:r>
      <w:r>
        <w:rPr>
          <w:i/>
          <w:iCs/>
        </w:rPr>
        <w:t xml:space="preserve"> </w:t>
      </w:r>
      <w:r>
        <w:t xml:space="preserve">5 F.4th 511, 516–24 (4th Cir. 2021).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80" w:name="x1-20005xG"/>
      <w:bookmarkEnd w:id="280"/>
      <w:r>
        <w:t xml:space="preserve">See</w:t>
      </w:r>
      <w:r>
        <w:t xml:space="preserve"> </w:t>
      </w:r>
      <w:bookmarkStart w:id="281" w:name="x1-20006"/>
      <w:bookmarkEnd w:id="281"/>
      <w:r>
        <w:t xml:space="preserve">28 U.S.C.</w:t>
      </w:r>
      <w:r>
        <w:t xml:space="preserve"> </w:t>
      </w:r>
      <w:r>
        <w:t xml:space="preserve">§§</w:t>
      </w:r>
      <w:r>
        <w:t xml:space="preserve"> 1331, 1332, 1367 (2024).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84" w:name="x1-20008xG"/>
      <w:bookmarkEnd w:id="284"/>
      <w:r>
        <w:t xml:space="preserve">See</w:t>
      </w:r>
      <w:r>
        <w:t xml:space="preserve"> </w:t>
      </w:r>
      <w:bookmarkStart w:id="285" w:name="x1-20009"/>
      <w:bookmarkEnd w:id="285"/>
      <w:r>
        <w:rPr>
          <w:i/>
          <w:iCs/>
        </w:rPr>
        <w:t xml:space="preserve">TransUnion LLC v. Ramirez,</w:t>
      </w:r>
      <w:r>
        <w:rPr>
          <w:i/>
          <w:iCs/>
        </w:rPr>
        <w:t xml:space="preserve"> </w:t>
      </w:r>
      <w:r>
        <w:t xml:space="preserve">594 U.S. 413, 425–31, 440–42 (2021);</w:t>
      </w:r>
      <w:r>
        <w:t xml:space="preserve"> </w:t>
      </w:r>
      <w:bookmarkStart w:id="286" w:name="x1-20010"/>
      <w:bookmarkEnd w:id="286"/>
      <w:r>
        <w:rPr>
          <w:i/>
          <w:iCs/>
        </w:rPr>
        <w:t xml:space="preserve">Spokeo, Inc. v. Robins,</w:t>
      </w:r>
      <w:r>
        <w:rPr>
          <w:i/>
          <w:iCs/>
        </w:rPr>
        <w:t xml:space="preserve"> </w:t>
      </w:r>
      <w:r>
        <w:t xml:space="preserve">578 U.S. 330,</w:t>
      </w:r>
      <w:r>
        <w:t xml:space="preserve"> </w:t>
      </w:r>
      <w:r>
        <w:t xml:space="preserve">339–43 (2016).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89" w:name="x1-20012xG"/>
      <w:bookmarkEnd w:id="289"/>
      <w:r>
        <w:t xml:space="preserve">See</w:t>
      </w:r>
      <w:r>
        <w:t xml:space="preserve"> </w:t>
      </w:r>
      <w:bookmarkStart w:id="290" w:name="x1-20013"/>
      <w:bookmarkEnd w:id="290"/>
      <w:r>
        <w:rPr>
          <w:i/>
          <w:iCs/>
        </w:rPr>
        <w:t xml:space="preserve">Havens Realty Corp. v. Coleman,</w:t>
      </w:r>
      <w:r>
        <w:rPr>
          <w:i/>
          <w:iCs/>
        </w:rPr>
        <w:t xml:space="preserve"> </w:t>
      </w:r>
      <w:r>
        <w:t xml:space="preserve">455 U.S. 363, 373–74 (1982);</w:t>
      </w:r>
      <w:r>
        <w:t xml:space="preserve"> </w:t>
      </w:r>
      <w:bookmarkStart w:id="291" w:name="x1-20014"/>
      <w:bookmarkEnd w:id="291"/>
      <w:r>
        <w:rPr>
          <w:i/>
          <w:iCs/>
        </w:rPr>
        <w:t xml:space="preserve">Pub. Citizen v. U.S. Dep’t of Just.,</w:t>
      </w:r>
      <w:r>
        <w:rPr>
          <w:i/>
          <w:iCs/>
        </w:rPr>
        <w:t xml:space="preserve"> </w:t>
      </w:r>
      <w:r>
        <w:t xml:space="preserve">491 U.S.</w:t>
      </w:r>
      <w:r>
        <w:t xml:space="preserve"> </w:t>
      </w:r>
      <w:r>
        <w:t xml:space="preserve">440, 449–50 (1989);</w:t>
      </w:r>
      <w:r>
        <w:t xml:space="preserve"> </w:t>
      </w:r>
      <w:bookmarkStart w:id="292" w:name="x1-20015"/>
      <w:bookmarkEnd w:id="292"/>
      <w:r>
        <w:rPr>
          <w:i/>
          <w:iCs/>
        </w:rPr>
        <w:t xml:space="preserve">Fed. Election Comm’n v. Akins,</w:t>
      </w:r>
      <w:r>
        <w:rPr>
          <w:i/>
          <w:iCs/>
        </w:rPr>
        <w:t xml:space="preserve"> </w:t>
      </w:r>
      <w:r>
        <w:t xml:space="preserve">524 U.S. 11, 21–25 (1998).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95" w:name="x1-20017xG"/>
      <w:bookmarkEnd w:id="295"/>
      <w:r>
        <w:t xml:space="preserve">See</w:t>
      </w:r>
      <w:r>
        <w:t xml:space="preserve"> </w:t>
      </w:r>
      <w:bookmarkStart w:id="296" w:name="x1-20018"/>
      <w:bookmarkEnd w:id="296"/>
      <w:r>
        <w:rPr>
          <w:i/>
          <w:iCs/>
        </w:rPr>
        <w:t xml:space="preserve">ASARCO Inc. v. Kadish,</w:t>
      </w:r>
      <w:r>
        <w:rPr>
          <w:i/>
          <w:iCs/>
        </w:rPr>
        <w:t xml:space="preserve"> </w:t>
      </w:r>
      <w:r>
        <w:t xml:space="preserve">490 U.S. 605, 617–18 (1989).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99" w:name="x1-20020xG"/>
      <w:bookmarkEnd w:id="299"/>
      <w:r>
        <w:t xml:space="preserve">See</w:t>
      </w:r>
      <w:r>
        <w:t xml:space="preserve"> </w:t>
      </w:r>
      <w:bookmarkStart w:id="300" w:name="x1-20021"/>
      <w:bookmarkEnd w:id="300"/>
      <w:r>
        <w:rPr>
          <w:i/>
          <w:iCs/>
        </w:rPr>
        <w:t xml:space="preserve">Hanna v. Plumer,</w:t>
      </w:r>
      <w:r>
        <w:rPr>
          <w:i/>
          <w:iCs/>
        </w:rPr>
        <w:t xml:space="preserve"> </w:t>
      </w:r>
      <w:r>
        <w:t xml:space="preserve">380 U.S. 460, 464–65, 468, 471–74 (1965);</w:t>
      </w:r>
      <w:r>
        <w:t xml:space="preserve"> </w:t>
      </w:r>
      <w:bookmarkStart w:id="301" w:name="x1-20022"/>
      <w:bookmarkEnd w:id="301"/>
      <w:r>
        <w:rPr>
          <w:i/>
          <w:iCs/>
        </w:rPr>
        <w:t xml:space="preserve">Burlington N. R.R. Co. v. Woods,</w:t>
      </w:r>
      <w:r>
        <w:rPr>
          <w:i/>
          <w:iCs/>
        </w:rPr>
        <w:t xml:space="preserve"> </w:t>
      </w:r>
      <w:r>
        <w:t xml:space="preserve">480 U.S. 1,</w:t>
      </w:r>
      <w:r>
        <w:t xml:space="preserve"> </w:t>
      </w:r>
      <w:r>
        <w:t xml:space="preserve">4–8 (1987);</w:t>
      </w:r>
      <w:r>
        <w:t xml:space="preserve"> </w:t>
      </w:r>
      <w:bookmarkStart w:id="302" w:name="x1-20023"/>
      <w:bookmarkEnd w:id="302"/>
      <w:r>
        <w:rPr>
          <w:i/>
          <w:iCs/>
        </w:rPr>
        <w:t xml:space="preserve">Walker v. Armco Steel Corp.,</w:t>
      </w:r>
      <w:r>
        <w:rPr>
          <w:i/>
          <w:iCs/>
        </w:rPr>
        <w:t xml:space="preserve"> </w:t>
      </w:r>
      <w:r>
        <w:t xml:space="preserve">446 U.S. 740, 749–52 (1980);</w:t>
      </w:r>
      <w:r>
        <w:t xml:space="preserve"> </w:t>
      </w:r>
      <w:bookmarkStart w:id="303" w:name="x1-20024"/>
      <w:bookmarkEnd w:id="303"/>
      <w:r>
        <w:t xml:space="preserve">Rules Enabling Act, 28 U.S.C.</w:t>
      </w:r>
      <w:r>
        <w:t xml:space="preserve"> </w:t>
      </w:r>
      <w:r>
        <w:t xml:space="preserve">§</w:t>
      </w:r>
      <w:r>
        <w:t xml:space="preserve"> 2072(a)–(b)</w:t>
      </w:r>
      <w:r>
        <w:t xml:space="preserve"> </w:t>
      </w:r>
      <w:r>
        <w:t xml:space="preserve">(2024).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06" w:name="x1-20026xG"/>
      <w:bookmarkEnd w:id="306"/>
      <w:r>
        <w:t xml:space="preserve">See</w:t>
      </w:r>
      <w:r>
        <w:t xml:space="preserve"> </w:t>
      </w:r>
      <w:bookmarkStart w:id="307" w:name="x1-20027"/>
      <w:bookmarkEnd w:id="307"/>
      <w:r>
        <w:t xml:space="preserve">Fed. R. Civ. P. 37(e).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13" w:name="x1-21002xIII"/>
      <w:bookmarkEnd w:id="313"/>
      <w:r>
        <w:t xml:space="preserve">This Article’s</w:t>
      </w:r>
      <w:r>
        <w:t xml:space="preserve"> </w:t>
      </w:r>
      <w:r>
        <w:rPr>
          <w:i/>
          <w:iCs/>
        </w:rPr>
        <w:t xml:space="preserve">Mobley</w:t>
      </w:r>
      <w:r>
        <w:rPr>
          <w:i/>
          <w:iCs/>
        </w:rPr>
        <w:t xml:space="preserve"> </w:t>
      </w:r>
      <w:r>
        <w:t xml:space="preserve">docket cutoff is July 2, 2026. At that point, the case had proceeded through provisional</w:t>
      </w:r>
      <w:r>
        <w:t xml:space="preserve"> </w:t>
      </w:r>
      <w:r>
        <w:t xml:space="preserve">certification of an ADEA collective, discovery remained ongoing, and Workday’s decertification motion was due later</w:t>
      </w:r>
      <w:r>
        <w:t xml:space="preserve"> </w:t>
      </w:r>
      <w:r>
        <w:t xml:space="preserve">that month. See</w:t>
      </w:r>
      <w:r>
        <w:t xml:space="preserve"> </w:t>
      </w:r>
      <w:bookmarkStart w:id="314" w:name="x1-21003"/>
      <w:bookmarkEnd w:id="314"/>
      <w:r>
        <w:t xml:space="preserve">Order Denying Certification of an Interlocutory Appeal at 2,</w:t>
      </w:r>
      <w:r>
        <w:t xml:space="preserve"> </w:t>
      </w:r>
      <w:r>
        <w:rPr>
          <w:i/>
          <w:iCs/>
        </w:rPr>
        <w:t xml:space="preserve">Mobley v. Workday, Inc.,</w:t>
      </w:r>
      <w:r>
        <w:rPr>
          <w:i/>
          <w:iCs/>
        </w:rPr>
        <w:t xml:space="preserve"> </w:t>
      </w:r>
      <w:r>
        <w:t xml:space="preserve">No.</w:t>
      </w:r>
      <w:r>
        <w:t xml:space="preserve"> </w:t>
      </w:r>
      <w:r>
        <w:t xml:space="preserve">3:23-cv-00770-RFL (N.D. Cal. July 2, 2026), ECF No. 376.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18" w:name="x1-22002xA"/>
      <w:bookmarkEnd w:id="318"/>
      <w:r>
        <w:t xml:space="preserve">See</w:t>
      </w:r>
      <w:r>
        <w:t xml:space="preserve"> </w:t>
      </w:r>
      <w:bookmarkStart w:id="319" w:name="x1-22003"/>
      <w:bookmarkEnd w:id="319"/>
      <w:r>
        <w:rPr>
          <w:i/>
          <w:iCs/>
        </w:rPr>
        <w:t xml:space="preserve">Garcia</w:t>
      </w:r>
      <w:r>
        <w:t xml:space="preserve">, 785 F. Supp. 3d at 1165–69, 1174–84;</w:t>
      </w:r>
      <w:r>
        <w:t xml:space="preserve"> </w:t>
      </w:r>
      <w:bookmarkStart w:id="320" w:name="x1-22004"/>
      <w:bookmarkEnd w:id="320"/>
      <w:r>
        <w:t xml:space="preserve">Garcia Dismissal, ECF No. 244, at 1;</w:t>
      </w:r>
      <w:r>
        <w:t xml:space="preserve"> </w:t>
      </w:r>
      <w:bookmarkStart w:id="321" w:name="x1-22005"/>
      <w:bookmarkEnd w:id="321"/>
      <w:r>
        <w:t xml:space="preserve">Garcia Charging-Lien</w:t>
      </w:r>
      <w:r>
        <w:t xml:space="preserve"> </w:t>
      </w:r>
      <w:r>
        <w:t xml:space="preserve">Order, ECF No. 273, at 1.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25" w:name="x1-23002x1"/>
      <w:bookmarkEnd w:id="325"/>
      <w:r>
        <w:t xml:space="preserve">See First Amended Complaint</w:t>
      </w:r>
      <w:r>
        <w:t xml:space="preserve"> </w:t>
      </w:r>
      <w:r>
        <w:t xml:space="preserve">¶¶</w:t>
      </w:r>
      <w:r>
        <w:t xml:space="preserve"> 24–25, 50–72,</w:t>
      </w:r>
      <w:r>
        <w:t xml:space="preserve"> </w:t>
      </w:r>
      <w:r>
        <w:rPr>
          <w:i/>
          <w:iCs/>
        </w:rPr>
        <w:t xml:space="preserve">Garcia v. Character Techs., Inc.</w:t>
      </w:r>
      <w:r>
        <w:t xml:space="preserve">, No. 6:24-cv-01903-ACC-EJK</w:t>
      </w:r>
      <w:r>
        <w:t xml:space="preserve"> </w:t>
      </w:r>
      <w:r>
        <w:t xml:space="preserve">(M.D. Fla. Nov. 9, 2024), ECF No. 11;</w:t>
      </w:r>
      <w:r>
        <w:t xml:space="preserve"> </w:t>
      </w:r>
      <w:bookmarkStart w:id="326" w:name="x1-23003"/>
      <w:bookmarkEnd w:id="326"/>
      <w:r>
        <w:rPr>
          <w:i/>
          <w:iCs/>
        </w:rPr>
        <w:t xml:space="preserve">Garcia</w:t>
      </w:r>
      <w:r>
        <w:t xml:space="preserve">, 785 F. Supp. 3d at 1165–66, 1183–84.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31" w:name="x1-24002x2"/>
      <w:bookmarkEnd w:id="331"/>
      <w:r>
        <w:t xml:space="preserve">See</w:t>
      </w:r>
      <w:r>
        <w:t xml:space="preserve"> </w:t>
      </w:r>
      <w:bookmarkStart w:id="332" w:name="x1-24003"/>
      <w:bookmarkEnd w:id="332"/>
      <w:r>
        <w:t xml:space="preserve">Julian De Freitas et al., Lessons from an App Update at Replika AI: Identity Discontinuity</w:t>
      </w:r>
      <w:r>
        <w:t xml:space="preserve"> </w:t>
      </w:r>
      <w:r>
        <w:t xml:space="preserve">in Human–AI Relationships, at 11–25 (Harv. Bus. Sch. Working Paper No. 25-018, 2025),</w:t>
      </w:r>
      <w:r>
        <w:t xml:space="preserve"> </w:t>
      </w:r>
      <w:r>
        <w:t xml:space="preserve"> </w:t>
      </w:r>
      <w:hyperlink r:id="rId333">
        <w:r>
          <w:rPr>
            <w:rStyle w:val="Hyperlink"/>
          </w:rPr>
          <w:t xml:space="preserve">https://www.hbs.edu/ris/Publication%20Files/25-018_d256c104-e5ba-4911-b72c-874c5492166e.pdf</w:t>
        </w:r>
      </w:hyperlink>
      <w:r>
        <w:t xml:space="preserve">;</w:t>
      </w:r>
      <w:r>
        <w:t xml:space="preserve"> </w:t>
      </w:r>
      <w:bookmarkStart w:id="334" w:name="x1-24004"/>
      <w:bookmarkEnd w:id="334"/>
      <w:r>
        <w:t xml:space="preserve">Jaime Banks,</w:t>
      </w:r>
      <w:r>
        <w:t xml:space="preserve"> </w:t>
      </w:r>
      <w:r>
        <w:rPr>
          <w:i/>
          <w:iCs/>
        </w:rPr>
        <w:t xml:space="preserve">Deletion, Departure, Death: Experiences of AI Companion Loss</w:t>
      </w:r>
      <w:r>
        <w:t xml:space="preserve">, 41</w:t>
      </w:r>
      <w:r>
        <w:t xml:space="preserve"> </w:t>
      </w:r>
      <w:r>
        <w:rPr>
          <w:smallCaps/>
        </w:rPr>
        <w:t xml:space="preserve">J. S</w:t>
      </w:r>
      <w:r>
        <w:rPr>
          <w:smallCaps/>
          <w:smallCaps/>
        </w:rPr>
        <w:t xml:space="preserve">oc</w:t>
      </w:r>
      <w:r>
        <w:rPr>
          <w:smallCaps/>
        </w:rPr>
        <w:t xml:space="preserve">. &amp; P</w:t>
      </w:r>
      <w:r>
        <w:rPr>
          <w:smallCaps/>
          <w:smallCaps/>
        </w:rPr>
        <w:t xml:space="preserve">ers</w:t>
      </w:r>
      <w:r>
        <w:rPr>
          <w:smallCaps/>
        </w:rPr>
        <w:t xml:space="preserve">. R</w:t>
      </w:r>
      <w:r>
        <w:rPr>
          <w:smallCaps/>
          <w:smallCaps/>
        </w:rPr>
        <w:t xml:space="preserve">elationships</w:t>
      </w:r>
      <w:r>
        <w:t xml:space="preserve"> </w:t>
      </w:r>
      <w:r>
        <w:t xml:space="preserve">3547, 3547–49, 3555–69 (2024);</w:t>
      </w:r>
      <w:r>
        <w:t xml:space="preserve"> </w:t>
      </w:r>
      <w:bookmarkStart w:id="335" w:name="x1-24005"/>
      <w:bookmarkEnd w:id="335"/>
      <w:r>
        <w:t xml:space="preserve">Linnea Laestadius et al.,</w:t>
      </w:r>
      <w:r>
        <w:t xml:space="preserve"> </w:t>
      </w:r>
      <w:r>
        <w:rPr>
          <w:i/>
          <w:iCs/>
        </w:rPr>
        <w:t xml:space="preserve">Too Human and Not Human Enough: A Grounded Theory</w:t>
      </w:r>
      <w:r>
        <w:rPr>
          <w:i/>
          <w:iCs/>
        </w:rPr>
        <w:t xml:space="preserve"> </w:t>
      </w:r>
      <w:r>
        <w:rPr>
          <w:i/>
          <w:iCs/>
        </w:rPr>
        <w:t xml:space="preserve">Analysis of Mental Health Harms from Emotional Dependence on the Social Chatbot Replika</w:t>
      </w:r>
      <w:r>
        <w:t xml:space="preserve">, 26</w:t>
      </w:r>
      <w:r>
        <w:t xml:space="preserve"> </w:t>
      </w:r>
      <w:r>
        <w:rPr>
          <w:smallCaps/>
        </w:rPr>
        <w:t xml:space="preserve">N</w:t>
      </w:r>
      <w:r>
        <w:rPr>
          <w:smallCaps/>
          <w:smallCaps/>
        </w:rPr>
        <w:t xml:space="preserve">ew</w:t>
      </w:r>
      <w:r>
        <w:rPr>
          <w:smallCaps/>
        </w:rPr>
        <w:t xml:space="preserve"> </w:t>
      </w:r>
      <w:r>
        <w:rPr>
          <w:smallCaps/>
        </w:rPr>
        <w:t xml:space="preserve">M</w:t>
      </w:r>
      <w:r>
        <w:rPr>
          <w:smallCaps/>
          <w:smallCaps/>
        </w:rPr>
        <w:t xml:space="preserve">edia</w:t>
      </w:r>
      <w:r>
        <w:rPr>
          <w:smallCaps/>
        </w:rPr>
        <w:t xml:space="preserve"> </w:t>
      </w:r>
      <w:r>
        <w:rPr>
          <w:smallCaps/>
        </w:rPr>
        <w:t xml:space="preserve">&amp;</w:t>
      </w:r>
      <w:r>
        <w:t xml:space="preserve"> </w:t>
      </w:r>
      <w:r>
        <w:rPr>
          <w:smallCaps/>
        </w:rPr>
        <w:t xml:space="preserve">S</w:t>
      </w:r>
      <w:r>
        <w:rPr>
          <w:smallCaps/>
          <w:smallCaps/>
        </w:rPr>
        <w:t xml:space="preserve">oc</w:t>
      </w:r>
      <w:r>
        <w:rPr>
          <w:smallCaps/>
        </w:rPr>
        <w:t xml:space="preserve">’</w:t>
      </w:r>
      <w:r>
        <w:rPr>
          <w:smallCaps/>
          <w:smallCaps/>
        </w:rPr>
        <w:t xml:space="preserve">y</w:t>
      </w:r>
      <w:r>
        <w:rPr>
          <w:smallCaps/>
        </w:rPr>
        <w:t xml:space="preserve"> </w:t>
      </w:r>
      <w:r>
        <w:t xml:space="preserve">5923, 5926–38 (2024);</w:t>
      </w:r>
      <w:r>
        <w:t xml:space="preserve"> </w:t>
      </w:r>
      <w:bookmarkStart w:id="336" w:name="x1-24006"/>
      <w:bookmarkEnd w:id="336"/>
      <w:r>
        <w:t xml:space="preserve">Renwen Zhang et al.,</w:t>
      </w:r>
      <w:r>
        <w:t xml:space="preserve"> </w:t>
      </w:r>
      <w:r>
        <w:rPr>
          <w:i/>
          <w:iCs/>
        </w:rPr>
        <w:t xml:space="preserve">The Dark Side of AI Companionship: A Taxonomy</w:t>
      </w:r>
      <w:r>
        <w:rPr>
          <w:i/>
          <w:iCs/>
        </w:rPr>
        <w:t xml:space="preserve"> </w:t>
      </w:r>
      <w:r>
        <w:rPr>
          <w:i/>
          <w:iCs/>
        </w:rPr>
        <w:t xml:space="preserve">of Harmful Algorithmic Behaviors in Human–AI Relationships</w:t>
      </w:r>
      <w:r>
        <w:t xml:space="preserve">, in</w:t>
      </w:r>
      <w:r>
        <w:t xml:space="preserve"> </w:t>
      </w:r>
      <w:r>
        <w:rPr>
          <w:smallCaps/>
        </w:rPr>
        <w:t xml:space="preserve">CHI ’25 P</w:t>
      </w:r>
      <w:r>
        <w:rPr>
          <w:smallCaps/>
          <w:smallCaps/>
        </w:rPr>
        <w:t xml:space="preserve">roc</w:t>
      </w:r>
      <w:r>
        <w:rPr>
          <w:smallCaps/>
        </w:rPr>
        <w:t xml:space="preserve">.</w:t>
      </w:r>
      <w:r>
        <w:rPr>
          <w:smallCaps/>
        </w:rPr>
        <w:t xml:space="preserve"> </w:t>
      </w:r>
      <w:r>
        <w:t xml:space="preserve">1, 5–19, 22–23</w:t>
      </w:r>
      <w:r>
        <w:t xml:space="preserve"> </w:t>
      </w:r>
      <w:r>
        <w:t xml:space="preserve">(2025).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39" w:name="x1-24008x2"/>
      <w:bookmarkEnd w:id="339"/>
      <w:r>
        <w:t xml:space="preserve">See</w:t>
      </w:r>
      <w:r>
        <w:t xml:space="preserve"> </w:t>
      </w:r>
      <w:bookmarkStart w:id="340" w:name="x1-24009"/>
      <w:bookmarkEnd w:id="340"/>
      <w:r>
        <w:t xml:space="preserve">Hannah Rose Kirk et al., Neural Steering Vectors Reveal Dose and Exposure-Dependent Impacts of</w:t>
      </w:r>
      <w:r>
        <w:t xml:space="preserve"> </w:t>
      </w:r>
      <w:r>
        <w:t xml:space="preserve">Human–AI Relationships, at 2–3, 5–8, 10–11, arXiv:2512.01991v2 (Feb. 18, 2026). The 2026 preprint supports</w:t>
      </w:r>
      <w:r>
        <w:t xml:space="preserve"> </w:t>
      </w:r>
      <w:r>
        <w:t xml:space="preserve">causal propositions about its experimental exposures. It does not estimate commercial-population incidence,</w:t>
      </w:r>
      <w:r>
        <w:t xml:space="preserve"> </w:t>
      </w:r>
      <w:r>
        <w:t xml:space="preserve">historical foreseeability, clinical injury, or tort causation in</w:t>
      </w:r>
      <w:r>
        <w:t xml:space="preserve"> </w:t>
      </w:r>
      <w:r>
        <w:rPr>
          <w:i/>
          <w:iCs/>
        </w:rPr>
        <w:t xml:space="preserve">Garcia</w:t>
      </w:r>
      <w:r>
        <w:t xml:space="preserve">.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47" w:name="x1-25002x3"/>
      <w:bookmarkEnd w:id="347"/>
      <w:r>
        <w:t xml:space="preserve">See</w:t>
      </w:r>
      <w:r>
        <w:t xml:space="preserve"> </w:t>
      </w:r>
      <w:bookmarkStart w:id="348" w:name="x1-25003"/>
      <w:bookmarkEnd w:id="348"/>
      <w:r>
        <w:rPr>
          <w:i/>
          <w:iCs/>
        </w:rPr>
        <w:t xml:space="preserve">Garcia</w:t>
      </w:r>
      <w:r>
        <w:t xml:space="preserve">, 785 F. Supp. 3d at 1167–69.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51" w:name="x1-25005x3"/>
      <w:bookmarkEnd w:id="351"/>
      <w:r>
        <w:t xml:space="preserve">See Fed. R. Evid. 407;</w:t>
      </w:r>
      <w:r>
        <w:t xml:space="preserve"> </w:t>
      </w:r>
      <w:r>
        <w:rPr>
          <w:i/>
          <w:iCs/>
        </w:rPr>
        <w:t xml:space="preserve">Garcia</w:t>
      </w:r>
      <w:r>
        <w:t xml:space="preserve">, 785 F. Supp. 3d at 1169.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58" w:name="x1-27002x1"/>
      <w:bookmarkEnd w:id="358"/>
      <w:r>
        <w:t xml:space="preserve">See</w:t>
      </w:r>
      <w:r>
        <w:t xml:space="preserve"> </w:t>
      </w:r>
      <w:bookmarkStart w:id="359" w:name="x1-27003"/>
      <w:bookmarkEnd w:id="359"/>
      <w:r>
        <w:rPr>
          <w:i/>
          <w:iCs/>
        </w:rPr>
        <w:t xml:space="preserve">Mobley</w:t>
      </w:r>
      <w:r>
        <w:t xml:space="preserve">, 740 F. Supp. 3d at 806–08, 815–16. The order granted in part and denied in part a motion to</w:t>
      </w:r>
      <w:r>
        <w:t xml:space="preserve"> </w:t>
      </w:r>
      <w:r>
        <w:t xml:space="preserve">dismiss; it made no finding of discriminatory operation or ultimate agency.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62" w:name="x1-27005x1"/>
      <w:bookmarkEnd w:id="362"/>
      <w:r>
        <w:t xml:space="preserve">See</w:t>
      </w:r>
      <w:r>
        <w:t xml:space="preserve"> </w:t>
      </w:r>
      <w:bookmarkStart w:id="363" w:name="x1-27006"/>
      <w:bookmarkEnd w:id="363"/>
      <w:r>
        <w:t xml:space="preserve">Order Granting Preliminary Collective Certification at 2, 4, 10–13, 18–20,</w:t>
      </w:r>
      <w:r>
        <w:t xml:space="preserve"> </w:t>
      </w:r>
      <w:r>
        <w:rPr>
          <w:i/>
          <w:iCs/>
        </w:rPr>
        <w:t xml:space="preserve">Mobley v. Workday, Inc.,</w:t>
      </w:r>
      <w:r>
        <w:rPr>
          <w:i/>
          <w:iCs/>
        </w:rPr>
        <w:t xml:space="preserve"> </w:t>
      </w:r>
      <w:r>
        <w:t xml:space="preserve">No.</w:t>
      </w:r>
      <w:r>
        <w:t xml:space="preserve"> </w:t>
      </w:r>
      <w:r>
        <w:t xml:space="preserve">3:23-cv-00770-RFL (N.D. Cal. May 16, 2025), ECF No. 128. Preliminary certification authorized notice and</w:t>
      </w:r>
      <w:r>
        <w:t xml:space="preserve"> </w:t>
      </w:r>
      <w:r>
        <w:t xml:space="preserve">preserved Workday’s right to seek decertification; it was not a merits or final class ruling.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68" w:name="x1-28002x2"/>
      <w:bookmarkEnd w:id="368"/>
      <w:r>
        <w:t xml:space="preserve">See</w:t>
      </w:r>
      <w:r>
        <w:t xml:space="preserve"> </w:t>
      </w:r>
      <w:bookmarkStart w:id="369" w:name="x1-28003"/>
      <w:bookmarkEnd w:id="369"/>
      <w:r>
        <w:t xml:space="preserve">Discovery Order at 1–3, 8–10,</w:t>
      </w:r>
      <w:r>
        <w:t xml:space="preserve"> </w:t>
      </w:r>
      <w:r>
        <w:rPr>
          <w:i/>
          <w:iCs/>
        </w:rPr>
        <w:t xml:space="preserve">Mobley v. Workday, Inc.,</w:t>
      </w:r>
      <w:r>
        <w:rPr>
          <w:i/>
          <w:iCs/>
        </w:rPr>
        <w:t xml:space="preserve"> </w:t>
      </w:r>
      <w:r>
        <w:t xml:space="preserve">No. 3:23-cv-00770-RFL (N.D. Cal. May 29, 2026),</w:t>
      </w:r>
      <w:r>
        <w:t xml:space="preserve"> </w:t>
      </w:r>
      <w:r>
        <w:t xml:space="preserve">ECF No. 340. The holding concerns the agreement and record before the court; it does not classify every hosted</w:t>
      </w:r>
      <w:r>
        <w:t xml:space="preserve"> </w:t>
      </w:r>
      <w:r>
        <w:t xml:space="preserve">Workday record.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74" w:name="x1-29002x3"/>
      <w:bookmarkEnd w:id="374"/>
      <w:r>
        <w:t xml:space="preserve">See</w:t>
      </w:r>
      <w:r>
        <w:t xml:space="preserve"> </w:t>
      </w:r>
      <w:bookmarkStart w:id="375" w:name="x1-29003"/>
      <w:bookmarkEnd w:id="375"/>
      <w:r>
        <w:t xml:space="preserve">Id. at 3, 7–8, 10–11. The order protected identified attorney-directed testing; it did not classify every</w:t>
      </w:r>
      <w:r>
        <w:t xml:space="preserve"> </w:t>
      </w:r>
      <w:r>
        <w:t xml:space="preserve">evaluation or underlying business fact as privileged.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78" w:name="x1-29005x3"/>
      <w:bookmarkEnd w:id="378"/>
      <w:r>
        <w:t xml:space="preserve">See</w:t>
      </w:r>
      <w:r>
        <w:t xml:space="preserve"> </w:t>
      </w:r>
      <w:bookmarkStart w:id="379" w:name="x1-29006"/>
      <w:bookmarkEnd w:id="379"/>
      <w:r>
        <w:rPr>
          <w:i/>
          <w:iCs/>
        </w:rPr>
        <w:t xml:space="preserve">Upjohn Co. v. United States,</w:t>
      </w:r>
      <w:r>
        <w:rPr>
          <w:i/>
          <w:iCs/>
        </w:rPr>
        <w:t xml:space="preserve"> </w:t>
      </w:r>
      <w:r>
        <w:t xml:space="preserve">449 U.S. 383, 395–96 (1981);</w:t>
      </w:r>
      <w:r>
        <w:t xml:space="preserve"> </w:t>
      </w:r>
      <w:bookmarkStart w:id="380" w:name="x1-29007"/>
      <w:bookmarkEnd w:id="380"/>
      <w:r>
        <w:t xml:space="preserve">Fed. R. Civ. P. 26(b)(3), 26(b)(5)(A).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85" w:name="x1-30002x4"/>
      <w:bookmarkEnd w:id="385"/>
      <w:r>
        <w:t xml:space="preserve">See</w:t>
      </w:r>
      <w:r>
        <w:t xml:space="preserve"> </w:t>
      </w:r>
      <w:bookmarkStart w:id="386" w:name="x1-30003"/>
      <w:bookmarkEnd w:id="386"/>
      <w:r>
        <w:t xml:space="preserve">Order Concerning HiredScore Features and Customer Identification at 1–2,</w:t>
      </w:r>
      <w:r>
        <w:t xml:space="preserve"> </w:t>
      </w:r>
      <w:r>
        <w:rPr>
          <w:i/>
          <w:iCs/>
        </w:rPr>
        <w:t xml:space="preserve">Mobley v. Workday, Inc.,</w:t>
      </w:r>
      <w:r>
        <w:rPr>
          <w:i/>
          <w:iCs/>
        </w:rPr>
        <w:t xml:space="preserve"> </w:t>
      </w:r>
      <w:r>
        <w:t xml:space="preserve">No.</w:t>
      </w:r>
      <w:r>
        <w:t xml:space="preserve"> </w:t>
      </w:r>
      <w:r>
        <w:t xml:space="preserve">3:23-cv-00770-RFL (N.D. Cal. July 29, 2025), ECF No. 158.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91" w:name="x1-31002x5"/>
      <w:bookmarkEnd w:id="391"/>
      <w:r>
        <w:t xml:space="preserve">See</w:t>
      </w:r>
      <w:r>
        <w:t xml:space="preserve"> </w:t>
      </w:r>
      <w:bookmarkStart w:id="392" w:name="x1-31003"/>
      <w:bookmarkEnd w:id="392"/>
      <w:r>
        <w:rPr>
          <w:i/>
          <w:iCs/>
        </w:rPr>
        <w:t xml:space="preserve">Hous. Fed’n of Tchrs., Loc. 2415 v. Hous. Indep. Sch. Dist.,</w:t>
      </w:r>
      <w:r>
        <w:rPr>
          <w:i/>
          <w:iCs/>
        </w:rPr>
        <w:t xml:space="preserve"> </w:t>
      </w:r>
      <w:r>
        <w:t xml:space="preserve">251 F. Supp. 3d 1168, 1172–73, 1177–78 (S.D.</w:t>
      </w:r>
      <w:r>
        <w:t xml:space="preserve"> </w:t>
      </w:r>
      <w:r>
        <w:t xml:space="preserve">Tex. 2017).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95" w:name="x1-31005x5"/>
      <w:bookmarkEnd w:id="395"/>
      <w:r>
        <w:t xml:space="preserve">See</w:t>
      </w:r>
      <w:r>
        <w:t xml:space="preserve"> </w:t>
      </w:r>
      <w:bookmarkStart w:id="396" w:name="x1-31006"/>
      <w:bookmarkEnd w:id="396"/>
      <w:r>
        <w:t xml:space="preserve">Id. at 1179–80, 1185.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99" w:name="x1-31008x5"/>
      <w:bookmarkEnd w:id="399"/>
      <w:r>
        <w:t xml:space="preserve">See Id. at 1180–83.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06" w:name="x1-32002xIV"/>
      <w:bookmarkEnd w:id="406"/>
      <w:r>
        <w:t xml:space="preserve">See</w:t>
      </w:r>
      <w:r>
        <w:t xml:space="preserve"> </w:t>
      </w:r>
      <w:bookmarkStart w:id="407" w:name="x1-32003"/>
      <w:bookmarkEnd w:id="407"/>
      <w:r>
        <w:t xml:space="preserve">Fed. R. Civ. P. 34(a)(1).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13" w:name="x1-33003xA"/>
      <w:bookmarkEnd w:id="413"/>
      <w:r>
        <w:t xml:space="preserve">See</w:t>
      </w:r>
      <w:r>
        <w:t xml:space="preserve"> </w:t>
      </w:r>
      <w:bookmarkStart w:id="414" w:name="x1-33004"/>
      <w:bookmarkEnd w:id="414"/>
      <w:r>
        <w:rPr>
          <w:smallCaps/>
        </w:rPr>
        <w:t xml:space="preserve">R</w:t>
      </w:r>
      <w:r>
        <w:rPr>
          <w:smallCaps/>
          <w:smallCaps/>
        </w:rPr>
        <w:t xml:space="preserve">estatement</w:t>
      </w:r>
      <w:r>
        <w:rPr>
          <w:smallCaps/>
        </w:rPr>
        <w:t xml:space="preserve"> </w:t>
      </w:r>
      <w:r>
        <w:rPr>
          <w:smallCaps/>
        </w:rPr>
        <w:t xml:space="preserve">(T</w:t>
      </w:r>
      <w:r>
        <w:rPr>
          <w:smallCaps/>
          <w:smallCaps/>
        </w:rPr>
        <w:t xml:space="preserve">hird</w:t>
      </w:r>
      <w:r>
        <w:rPr>
          <w:smallCaps/>
        </w:rPr>
        <w:t xml:space="preserve">)</w:t>
      </w:r>
      <w:r>
        <w:rPr>
          <w:smallCaps/>
        </w:rPr>
        <w:t xml:space="preserve"> </w:t>
      </w:r>
      <w:r>
        <w:rPr>
          <w:smallCaps/>
          <w:smallCaps/>
        </w:rPr>
        <w:t xml:space="preserve">of</w:t>
      </w:r>
      <w:r>
        <w:rPr>
          <w:smallCaps/>
        </w:rPr>
        <w:t xml:space="preserve"> </w:t>
      </w:r>
      <w:r>
        <w:rPr>
          <w:smallCaps/>
        </w:rPr>
        <w:t xml:space="preserve">T</w:t>
      </w:r>
      <w:r>
        <w:rPr>
          <w:smallCaps/>
          <w:smallCaps/>
        </w:rPr>
        <w:t xml:space="preserve">orts</w:t>
      </w:r>
      <w:r>
        <w:rPr>
          <w:smallCaps/>
        </w:rPr>
        <w:t xml:space="preserve">: L</w:t>
      </w:r>
      <w:r>
        <w:rPr>
          <w:smallCaps/>
          <w:smallCaps/>
        </w:rPr>
        <w:t xml:space="preserve">iability for</w:t>
      </w:r>
      <w:r>
        <w:rPr>
          <w:smallCaps/>
        </w:rPr>
        <w:t xml:space="preserve"> </w:t>
      </w:r>
      <w:r>
        <w:rPr>
          <w:smallCaps/>
        </w:rPr>
        <w:t xml:space="preserve">P</w:t>
      </w:r>
      <w:r>
        <w:rPr>
          <w:smallCaps/>
          <w:smallCaps/>
        </w:rPr>
        <w:t xml:space="preserve">hysical and</w:t>
      </w:r>
      <w:r>
        <w:rPr>
          <w:smallCaps/>
        </w:rPr>
        <w:t xml:space="preserve"> </w:t>
      </w:r>
      <w:r>
        <w:rPr>
          <w:smallCaps/>
        </w:rPr>
        <w:t xml:space="preserve">E</w:t>
      </w:r>
      <w:r>
        <w:rPr>
          <w:smallCaps/>
          <w:smallCaps/>
        </w:rPr>
        <w:t xml:space="preserve">motional</w:t>
      </w:r>
      <w:r>
        <w:rPr>
          <w:smallCaps/>
        </w:rPr>
        <w:t xml:space="preserve"> </w:t>
      </w:r>
      <w:r>
        <w:rPr>
          <w:smallCaps/>
        </w:rPr>
        <w:t xml:space="preserve">H</w:t>
      </w:r>
      <w:r>
        <w:rPr>
          <w:smallCaps/>
          <w:smallCaps/>
        </w:rPr>
        <w:t xml:space="preserve">arm</w:t>
      </w:r>
      <w:r>
        <w:rPr>
          <w:smallCaps/>
        </w:rPr>
        <w:t xml:space="preserve"> </w:t>
      </w:r>
      <w:r>
        <w:t xml:space="preserve">§</w:t>
      </w:r>
      <w:r>
        <w:t xml:space="preserve"> 16(a) (Am. L.</w:t>
      </w:r>
      <w:r>
        <w:t xml:space="preserve"> </w:t>
      </w:r>
      <w:r>
        <w:t xml:space="preserve">Inst. 2010);</w:t>
      </w:r>
      <w:r>
        <w:t xml:space="preserve"> </w:t>
      </w:r>
      <w:bookmarkStart w:id="415" w:name="x1-33005"/>
      <w:bookmarkEnd w:id="415"/>
      <w:r>
        <w:rPr>
          <w:smallCaps/>
        </w:rPr>
        <w:t xml:space="preserve">R</w:t>
      </w:r>
      <w:r>
        <w:rPr>
          <w:smallCaps/>
          <w:smallCaps/>
        </w:rPr>
        <w:t xml:space="preserve">estatement</w:t>
      </w:r>
      <w:r>
        <w:rPr>
          <w:smallCaps/>
        </w:rPr>
        <w:t xml:space="preserve"> </w:t>
      </w:r>
      <w:r>
        <w:rPr>
          <w:smallCaps/>
        </w:rPr>
        <w:t xml:space="preserve">(T</w:t>
      </w:r>
      <w:r>
        <w:rPr>
          <w:smallCaps/>
          <w:smallCaps/>
        </w:rPr>
        <w:t xml:space="preserve">hird</w:t>
      </w:r>
      <w:r>
        <w:rPr>
          <w:smallCaps/>
        </w:rPr>
        <w:t xml:space="preserve">)</w:t>
      </w:r>
      <w:r>
        <w:rPr>
          <w:smallCaps/>
        </w:rPr>
        <w:t xml:space="preserve"> </w:t>
      </w:r>
      <w:r>
        <w:rPr>
          <w:smallCaps/>
          <w:smallCaps/>
        </w:rPr>
        <w:t xml:space="preserve">of</w:t>
      </w:r>
      <w:r>
        <w:rPr>
          <w:smallCaps/>
        </w:rPr>
        <w:t xml:space="preserve"> </w:t>
      </w:r>
      <w:r>
        <w:rPr>
          <w:smallCaps/>
        </w:rPr>
        <w:t xml:space="preserve">T</w:t>
      </w:r>
      <w:r>
        <w:rPr>
          <w:smallCaps/>
          <w:smallCaps/>
        </w:rPr>
        <w:t xml:space="preserve">orts</w:t>
      </w:r>
      <w:r>
        <w:rPr>
          <w:smallCaps/>
        </w:rPr>
        <w:t xml:space="preserve">: P</w:t>
      </w:r>
      <w:r>
        <w:rPr>
          <w:smallCaps/>
          <w:smallCaps/>
        </w:rPr>
        <w:t xml:space="preserve">roducts</w:t>
      </w:r>
      <w:r>
        <w:rPr>
          <w:smallCaps/>
        </w:rPr>
        <w:t xml:space="preserve"> </w:t>
      </w:r>
      <w:r>
        <w:rPr>
          <w:smallCaps/>
        </w:rPr>
        <w:t xml:space="preserve">L</w:t>
      </w:r>
      <w:r>
        <w:rPr>
          <w:smallCaps/>
          <w:smallCaps/>
        </w:rPr>
        <w:t xml:space="preserve">iability</w:t>
      </w:r>
      <w:r>
        <w:rPr>
          <w:smallCaps/>
        </w:rPr>
        <w:t xml:space="preserve"> </w:t>
      </w:r>
      <w:r>
        <w:t xml:space="preserve">§</w:t>
      </w:r>
      <w:r>
        <w:t xml:space="preserve"> 4(b) (Am. L. Inst. 1998). Jurisdictions</w:t>
      </w:r>
      <w:r>
        <w:t xml:space="preserve"> </w:t>
      </w:r>
      <w:r>
        <w:t xml:space="preserve">may assign statutory compliance a different effect.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20" w:name="x1-34002xB"/>
      <w:bookmarkEnd w:id="420"/>
      <w:r>
        <w:t xml:space="preserve">See</w:t>
      </w:r>
      <w:r>
        <w:t xml:space="preserve"> </w:t>
      </w:r>
      <w:bookmarkStart w:id="421" w:name="x1-34003"/>
      <w:bookmarkEnd w:id="421"/>
      <w:r>
        <w:t xml:space="preserve">Maxwell, supra note</w:t>
      </w:r>
      <w:r>
        <w:t xml:space="preserve"> </w:t>
      </w:r>
      <w:hyperlink w:anchor="x1-7008xD">
        <w:r>
          <w:rPr>
            <w:rStyle w:val="Hyperlink"/>
          </w:rPr>
          <w:t xml:space="preserve">16</w:t>
        </w:r>
      </w:hyperlink>
      <w:r>
        <w:t xml:space="preserve"> </w:t>
      </w:r>
      <w:r>
        <w:t xml:space="preserve">(abstract) (treating the procurement file as a governance record). The front door</w:t>
      </w:r>
      <w:r>
        <w:t xml:space="preserve"> </w:t>
      </w:r>
      <w:r>
        <w:t xml:space="preserve">adds a nonwaivable affected-person-facing answer and event-specific enforcement path.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29" w:name="x1-37002x1"/>
      <w:bookmarkEnd w:id="429"/>
      <w:r>
        <w:t xml:space="preserve">See</w:t>
      </w:r>
      <w:r>
        <w:t xml:space="preserve"> </w:t>
      </w:r>
      <w:bookmarkStart w:id="430" w:name="x1-37003"/>
      <w:bookmarkEnd w:id="430"/>
      <w:r>
        <w:t xml:space="preserve">14 C.F.R.</w:t>
      </w:r>
      <w:r>
        <w:t xml:space="preserve"> </w:t>
      </w:r>
      <w:r>
        <w:t xml:space="preserve">§§</w:t>
      </w:r>
      <w:r>
        <w:t xml:space="preserve"> 5.1–5.17, 5.21–5.25, 5.53–5.57, 5.71–5.75, 5.95–5.97 (2025).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33" w:name="x1-37005x1"/>
      <w:bookmarkEnd w:id="433"/>
      <w:r>
        <w:t xml:space="preserve">See</w:t>
      </w:r>
      <w:r>
        <w:t xml:space="preserve"> </w:t>
      </w:r>
      <w:bookmarkStart w:id="434" w:name="x1-37006"/>
      <w:bookmarkEnd w:id="434"/>
      <w:r>
        <w:t xml:space="preserve">Federal Aviation Administration, Aviation Safety Reporting Program, Advisory Circular 00-46F, at</w:t>
      </w:r>
      <w:r>
        <w:t xml:space="preserve"> </w:t>
      </w:r>
      <w:r>
        <w:t xml:space="preserve">¶¶</w:t>
      </w:r>
      <w:r>
        <w:t xml:space="preserve"> 2, 6.2,</w:t>
      </w:r>
      <w:r>
        <w:t xml:space="preserve"> </w:t>
      </w:r>
      <w:r>
        <w:t xml:space="preserve">8.1–8.3, 12.3 (Apr. 2, 2021),</w:t>
      </w:r>
      <w:r>
        <w:t xml:space="preserve"> </w:t>
      </w:r>
      <w:hyperlink r:id="rId435">
        <w:r>
          <w:rPr>
            <w:rStyle w:val="Hyperlink"/>
          </w:rPr>
          <w:t xml:space="preserve">https://www.faa.gov/documentLibrary/media/Advisory_Circular/AC_00-46F.pdf</w:t>
        </w:r>
      </w:hyperlink>
      <w:r>
        <w:t xml:space="preserve">.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40" w:name="x1-38002x2"/>
      <w:bookmarkEnd w:id="440"/>
      <w:r>
        <w:t xml:space="preserve">See</w:t>
      </w:r>
      <w:r>
        <w:t xml:space="preserve"> </w:t>
      </w:r>
      <w:bookmarkStart w:id="441" w:name="x1-38003"/>
      <w:bookmarkEnd w:id="441"/>
      <w:r>
        <w:t xml:space="preserve">Federal Trade Commission, Model Order to File a Special Report Regarding AI Companion</w:t>
      </w:r>
      <w:r>
        <w:t xml:space="preserve"> </w:t>
      </w:r>
      <w:r>
        <w:t xml:space="preserve">Chatbots, File No. P254500, at Definitions &amp; Instructions; specs. 3, 11–17 (Sept. 10, 2025),</w:t>
      </w:r>
      <w:r>
        <w:t xml:space="preserve"> </w:t>
      </w:r>
      <w:r>
        <w:t xml:space="preserve"> </w:t>
      </w:r>
      <w:hyperlink r:id="rId442">
        <w:r>
          <w:rPr>
            <w:rStyle w:val="Hyperlink"/>
          </w:rPr>
          <w:t xml:space="preserve">https://www.ftc.gov/system/files/ftc_gov/pdf/AICompanionChatbot6(b)Order.pdf</w:t>
        </w:r>
      </w:hyperlink>
      <w:r>
        <w:t xml:space="preserve">. The order gathers</w:t>
      </w:r>
      <w:r>
        <w:t xml:space="preserve"> </w:t>
      </w:r>
      <w:r>
        <w:t xml:space="preserve">information; it is not a finding that a recipient violated law.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45" w:name="x1-38005x2"/>
      <w:bookmarkEnd w:id="445"/>
      <w:r>
        <w:t xml:space="preserve">See</w:t>
      </w:r>
      <w:r>
        <w:t xml:space="preserve"> </w:t>
      </w:r>
      <w:bookmarkStart w:id="446" w:name="x1-38006"/>
      <w:bookmarkEnd w:id="446"/>
      <w:r>
        <w:t xml:space="preserve">National Institute of Standards and Technology, Artificial Intelligence Risk Management Framework (AI</w:t>
      </w:r>
      <w:r>
        <w:t xml:space="preserve"> </w:t>
      </w:r>
      <w:r>
        <w:t xml:space="preserve">RMF 1.0), NIST AI 100-1, at GOVERN 1.7, 2.1, 2.3; MAP 3.5; MEASURE 2.5; MANAGE 4.1 (Jan. 2023),</w:t>
      </w:r>
      <w:r>
        <w:t xml:space="preserve"> </w:t>
      </w:r>
      <w:r>
        <w:t xml:space="preserve"> </w:t>
      </w:r>
      <w:hyperlink r:id="rId447">
        <w:r>
          <w:rPr>
            <w:rStyle w:val="Hyperlink"/>
          </w:rPr>
          <w:t xml:space="preserve">https://nvlpubs.nist.gov/nistpubs/ai/NIST.AI.100-1.pdf</w:t>
        </w:r>
      </w:hyperlink>
      <w:r>
        <w:t xml:space="preserve">.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52" w:name="x1-39002x3"/>
      <w:bookmarkEnd w:id="452"/>
      <w:r>
        <w:t xml:space="preserve">See</w:t>
      </w:r>
      <w:r>
        <w:t xml:space="preserve"> </w:t>
      </w:r>
      <w:bookmarkStart w:id="453" w:name="x1-39003"/>
      <w:bookmarkEnd w:id="453"/>
      <w:r>
        <w:t xml:space="preserve">Fair Credit Reporting Act, 15 U.S.C.</w:t>
      </w:r>
      <w:r>
        <w:t xml:space="preserve"> </w:t>
      </w:r>
      <w:r>
        <w:t xml:space="preserve">§</w:t>
      </w:r>
      <w:r>
        <w:t xml:space="preserve"> 1681b(b)(3)(A) (2024).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56" w:name="x1-39005x3"/>
      <w:bookmarkEnd w:id="456"/>
      <w:r>
        <w:t xml:space="preserve">See</w:t>
      </w:r>
      <w:r>
        <w:t xml:space="preserve"> </w:t>
      </w:r>
      <w:bookmarkStart w:id="457" w:name="x1-39006"/>
      <w:bookmarkEnd w:id="457"/>
      <w:r>
        <w:t xml:space="preserve">Fair Credit Reporting Act, 15 U.S.C.</w:t>
      </w:r>
      <w:r>
        <w:t xml:space="preserve"> </w:t>
      </w:r>
      <w:r>
        <w:t xml:space="preserve">§</w:t>
      </w:r>
      <w:r>
        <w:t xml:space="preserve"> 1681m(a)(1), (3)–(4) (2024).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60" w:name="x1-39008x3"/>
      <w:bookmarkEnd w:id="460"/>
      <w:r>
        <w:t xml:space="preserve">See</w:t>
      </w:r>
      <w:r>
        <w:t xml:space="preserve"> </w:t>
      </w:r>
      <w:bookmarkStart w:id="461" w:name="x1-39009"/>
      <w:bookmarkEnd w:id="461"/>
      <w:r>
        <w:t xml:space="preserve">Fair Credit Reporting Act, 15 U.S.C.</w:t>
      </w:r>
      <w:r>
        <w:t xml:space="preserve"> </w:t>
      </w:r>
      <w:r>
        <w:t xml:space="preserve">§§</w:t>
      </w:r>
      <w:r>
        <w:t xml:space="preserve"> 1681g(a)(1)–(3), 1681h(a), 1681j(b), 1681i(a)(1)–(2), (a)(5),</w:t>
      </w:r>
      <w:r>
        <w:t xml:space="preserve"> </w:t>
      </w:r>
      <w:r>
        <w:t xml:space="preserve">1681s-2(b)(1) (2024).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64" w:name="x1-39011x3"/>
      <w:bookmarkEnd w:id="464"/>
      <w:r>
        <w:t xml:space="preserve">See</w:t>
      </w:r>
      <w:r>
        <w:t xml:space="preserve"> </w:t>
      </w:r>
      <w:bookmarkStart w:id="465" w:name="x1-39012"/>
      <w:bookmarkEnd w:id="465"/>
      <w:r>
        <w:t xml:space="preserve">Fair Credit Reporting Act, 15 U.S.C.</w:t>
      </w:r>
      <w:r>
        <w:t xml:space="preserve"> </w:t>
      </w:r>
      <w:r>
        <w:t xml:space="preserve">§</w:t>
      </w:r>
      <w:r>
        <w:t xml:space="preserve"> 1681m(h)(8) (2024);</w:t>
      </w:r>
      <w:r>
        <w:t xml:space="preserve"> </w:t>
      </w:r>
      <w:bookmarkStart w:id="466" w:name="x1-39013"/>
      <w:bookmarkEnd w:id="466"/>
      <w:r>
        <w:rPr>
          <w:i/>
          <w:iCs/>
        </w:rPr>
        <w:t xml:space="preserve">Perry v. First Nat’l Bank,</w:t>
      </w:r>
      <w:r>
        <w:rPr>
          <w:i/>
          <w:iCs/>
        </w:rPr>
        <w:t xml:space="preserve"> </w:t>
      </w:r>
      <w:r>
        <w:t xml:space="preserve">459 F.3d 816,</w:t>
      </w:r>
      <w:r>
        <w:t xml:space="preserve"> </w:t>
      </w:r>
      <w:r>
        <w:t xml:space="preserve">822–23 (7th Cir. 2006).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72" w:name="x1-40002xE"/>
      <w:bookmarkEnd w:id="472"/>
      <w:r>
        <w:t xml:space="preserve">See</w:t>
      </w:r>
      <w:r>
        <w:t xml:space="preserve"> </w:t>
      </w:r>
      <w:bookmarkStart w:id="473" w:name="x1-40003"/>
      <w:bookmarkEnd w:id="473"/>
      <w:r>
        <w:t xml:space="preserve">Chappidi et al., supra note</w:t>
      </w:r>
      <w:r>
        <w:t xml:space="preserve"> </w:t>
      </w:r>
      <w:hyperlink w:anchor="x1-7008xD">
        <w:r>
          <w:rPr>
            <w:rStyle w:val="Hyperlink"/>
          </w:rPr>
          <w:t xml:space="preserve">16</w:t>
        </w:r>
      </w:hyperlink>
      <w:r>
        <w:t xml:space="preserve">, at 554–56, 559–64.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78" w:name="x1-41002xF"/>
      <w:bookmarkEnd w:id="478"/>
      <w:r>
        <w:t xml:space="preserve">See U.S. Sent’g Guidelines Manual</w:t>
      </w:r>
      <w:r>
        <w:t xml:space="preserve"> </w:t>
      </w:r>
      <w:r>
        <w:t xml:space="preserve">§</w:t>
      </w:r>
      <w:r>
        <w:t xml:space="preserve"> 8B2.1(b)(2), (b)(2)(C), (b)(5)(C), (b)(6)–(7), (c) (U.S. Sent’g Comm’n</w:t>
      </w:r>
      <w:r>
        <w:t xml:space="preserve"> </w:t>
      </w:r>
      <w:r>
        <w:t xml:space="preserve">2025).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81" w:name="x1-41004xF"/>
      <w:bookmarkEnd w:id="481"/>
      <w:r>
        <w:t xml:space="preserve">See, e.g.,</w:t>
      </w:r>
      <w:r>
        <w:t xml:space="preserve"> </w:t>
      </w:r>
      <w:bookmarkStart w:id="482" w:name="x1-41005"/>
      <w:bookmarkEnd w:id="482"/>
      <w:r>
        <w:t xml:space="preserve">Energy Reorganization Act Employee Protection Provision, 42 U.S.C.</w:t>
      </w:r>
      <w:r>
        <w:t xml:space="preserve"> </w:t>
      </w:r>
      <w:r>
        <w:t xml:space="preserve">§</w:t>
      </w:r>
      <w:r>
        <w:t xml:space="preserve"> 5851(a)(1)–(2), (b)(2)(B),</w:t>
      </w:r>
      <w:r>
        <w:t xml:space="preserve"> </w:t>
      </w:r>
      <w:r>
        <w:t xml:space="preserve">(b)(3)–(4) (2024);</w:t>
      </w:r>
      <w:r>
        <w:t xml:space="preserve"> </w:t>
      </w:r>
      <w:bookmarkStart w:id="483" w:name="x1-41006"/>
      <w:bookmarkEnd w:id="483"/>
      <w:r>
        <w:rPr>
          <w:i/>
          <w:iCs/>
        </w:rPr>
        <w:t xml:space="preserve">Whirlpool Corp. v. Marshall,</w:t>
      </w:r>
      <w:r>
        <w:rPr>
          <w:i/>
          <w:iCs/>
        </w:rPr>
        <w:t xml:space="preserve"> </w:t>
      </w:r>
      <w:r>
        <w:t xml:space="preserve">445 U.S. 1, 9–13 (1980).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88" w:name="x1-42002xG"/>
      <w:bookmarkEnd w:id="488"/>
      <w:r>
        <w:t xml:space="preserve">See Fed. R. Evid. 407.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95" w:name="x1-44002xA"/>
      <w:bookmarkEnd w:id="495"/>
      <w:r>
        <w:t xml:space="preserve">See</w:t>
      </w:r>
      <w:r>
        <w:t xml:space="preserve"> </w:t>
      </w:r>
      <w:bookmarkStart w:id="496" w:name="x1-44003"/>
      <w:bookmarkEnd w:id="496"/>
      <w:r>
        <w:t xml:space="preserve">Henderson, supra note</w:t>
      </w:r>
      <w:r>
        <w:t xml:space="preserve"> </w:t>
      </w:r>
      <w:hyperlink w:anchor="x1-2007xdoc">
        <w:r>
          <w:rPr>
            <w:rStyle w:val="Hyperlink"/>
          </w:rPr>
          <w:t xml:space="preserve">2</w:t>
        </w:r>
      </w:hyperlink>
      <w:r>
        <w:t xml:space="preserve">, at 483, 515–17.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01" w:name="x1-45002xB"/>
      <w:bookmarkEnd w:id="501"/>
      <w:r>
        <w:t xml:space="preserve">See</w:t>
      </w:r>
      <w:r>
        <w:t xml:space="preserve"> </w:t>
      </w:r>
      <w:bookmarkStart w:id="502" w:name="x1-45003"/>
      <w:bookmarkEnd w:id="502"/>
      <w:r>
        <w:rPr>
          <w:i/>
          <w:iCs/>
        </w:rPr>
        <w:t xml:space="preserve">Zauderer v. Off. of Disciplinary Couns. of the Sup. Ct. of Ohio,</w:t>
      </w:r>
      <w:r>
        <w:rPr>
          <w:i/>
          <w:iCs/>
        </w:rPr>
        <w:t xml:space="preserve"> </w:t>
      </w:r>
      <w:r>
        <w:t xml:space="preserve">471 U.S. 626, 650–53 (1985);</w:t>
      </w:r>
      <w:r>
        <w:t xml:space="preserve"> </w:t>
      </w:r>
      <w:bookmarkStart w:id="503" w:name="x1-45004"/>
      <w:bookmarkEnd w:id="503"/>
      <w:r>
        <w:rPr>
          <w:i/>
          <w:iCs/>
        </w:rPr>
        <w:t xml:space="preserve">Nat’l Inst. of</w:t>
      </w:r>
      <w:r>
        <w:rPr>
          <w:i/>
          <w:iCs/>
        </w:rPr>
        <w:t xml:space="preserve"> </w:t>
      </w:r>
      <w:r>
        <w:rPr>
          <w:i/>
          <w:iCs/>
        </w:rPr>
        <w:t xml:space="preserve">Fam. &amp; Life Advocs. v. Becerra,</w:t>
      </w:r>
      <w:r>
        <w:rPr>
          <w:i/>
          <w:iCs/>
        </w:rPr>
        <w:t xml:space="preserve"> </w:t>
      </w:r>
      <w:r>
        <w:t xml:space="preserve">585 U.S. 755, 768–79 (2018).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06" w:name="x1-45006xB"/>
      <w:bookmarkEnd w:id="506"/>
      <w:r>
        <w:t xml:space="preserve">See</w:t>
      </w:r>
      <w:r>
        <w:t xml:space="preserve"> </w:t>
      </w:r>
      <w:bookmarkStart w:id="507" w:name="x1-45007"/>
      <w:bookmarkEnd w:id="507"/>
      <w:r>
        <w:rPr>
          <w:i/>
          <w:iCs/>
        </w:rPr>
        <w:t xml:space="preserve">Ruckelshaus v. Monsanto Co.,</w:t>
      </w:r>
      <w:r>
        <w:rPr>
          <w:i/>
          <w:iCs/>
        </w:rPr>
        <w:t xml:space="preserve"> </w:t>
      </w:r>
      <w:r>
        <w:t xml:space="preserve">467 U.S. 986, 1001–14 (1984);</w:t>
      </w:r>
      <w:r>
        <w:t xml:space="preserve"> </w:t>
      </w:r>
      <w:bookmarkStart w:id="508" w:name="x1-45008"/>
      <w:bookmarkEnd w:id="508"/>
      <w:r>
        <w:t xml:space="preserve">Fed. R. Civ. P. 26(c)(1)(G).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11" w:name="x1-45010xB"/>
      <w:bookmarkEnd w:id="511"/>
      <w:r>
        <w:t xml:space="preserve">Cf.</w:t>
      </w:r>
      <w:r>
        <w:t xml:space="preserve"> </w:t>
      </w:r>
      <w:bookmarkStart w:id="512" w:name="x1-45011"/>
      <w:bookmarkEnd w:id="512"/>
      <w:r>
        <w:rPr>
          <w:i/>
          <w:iCs/>
        </w:rPr>
        <w:t xml:space="preserve">City of L.A. v. Patel,</w:t>
      </w:r>
      <w:r>
        <w:rPr>
          <w:i/>
          <w:iCs/>
        </w:rPr>
        <w:t xml:space="preserve"> </w:t>
      </w:r>
      <w:r>
        <w:t xml:space="preserve">576 U.S. 409, 418–23 (2015) (requiring an opportunity for neutral precompliance</w:t>
      </w:r>
      <w:r>
        <w:t xml:space="preserve"> </w:t>
      </w:r>
      <w:r>
        <w:t xml:space="preserve">review before penalized administrative inspection). A private first-answer request is not the hotel-inspection</w:t>
      </w:r>
      <w:r>
        <w:t xml:space="preserve"> </w:t>
      </w:r>
      <w:r>
        <w:t xml:space="preserve">regime at issue in</w:t>
      </w:r>
      <w:r>
        <w:t xml:space="preserve"> </w:t>
      </w:r>
      <w:r>
        <w:rPr>
          <w:i/>
          <w:iCs/>
        </w:rPr>
        <w:t xml:space="preserve">Patel</w:t>
      </w:r>
      <w:r>
        <w:t xml:space="preserve">; the case supplies a protective design principle rather than the governing</w:t>
      </w:r>
      <w:r>
        <w:t xml:space="preserve"> </w:t>
      </w:r>
      <w:r>
        <w:t xml:space="preserve">standard.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17" w:name="x1-46002xC"/>
      <w:bookmarkEnd w:id="517"/>
      <w:r>
        <w:t xml:space="preserve">See</w:t>
      </w:r>
      <w:r>
        <w:t xml:space="preserve"> </w:t>
      </w:r>
      <w:bookmarkStart w:id="518" w:name="x1-46003"/>
      <w:bookmarkEnd w:id="518"/>
      <w:r>
        <w:rPr>
          <w:i/>
          <w:iCs/>
        </w:rPr>
        <w:t xml:space="preserve">CompuCredit Corp. v. Greenwood,</w:t>
      </w:r>
      <w:r>
        <w:rPr>
          <w:i/>
          <w:iCs/>
        </w:rPr>
        <w:t xml:space="preserve"> </w:t>
      </w:r>
      <w:r>
        <w:t xml:space="preserve">565 U.S. 95, 98–104 (2012);</w:t>
      </w:r>
      <w:r>
        <w:t xml:space="preserve"> </w:t>
      </w:r>
      <w:bookmarkStart w:id="519" w:name="x1-46004"/>
      <w:bookmarkEnd w:id="519"/>
      <w:r>
        <w:rPr>
          <w:i/>
          <w:iCs/>
        </w:rPr>
        <w:t xml:space="preserve">Kindred Nursing Ctrs. L.P. v. Clark,</w:t>
      </w:r>
      <w:r>
        <w:rPr>
          <w:i/>
          <w:iCs/>
        </w:rPr>
        <w:t xml:space="preserve"> </w:t>
      </w:r>
      <w:r>
        <w:t xml:space="preserve">581</w:t>
      </w:r>
      <w:r>
        <w:t xml:space="preserve"> </w:t>
      </w:r>
      <w:r>
        <w:t xml:space="preserve">U.S. 246, 251–58 (2017);</w:t>
      </w:r>
      <w:r>
        <w:t xml:space="preserve"> </w:t>
      </w:r>
      <w:bookmarkStart w:id="520" w:name="x1-46005"/>
      <w:bookmarkEnd w:id="520"/>
      <w:r>
        <w:rPr>
          <w:i/>
          <w:iCs/>
        </w:rPr>
        <w:t xml:space="preserve">Preston v. Ferrer,</w:t>
      </w:r>
      <w:r>
        <w:rPr>
          <w:i/>
          <w:iCs/>
        </w:rPr>
        <w:t xml:space="preserve"> </w:t>
      </w:r>
      <w:r>
        <w:t xml:space="preserve">552 U.S. 346, 359–63 (2008).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23" w:name="x1-46007xC"/>
      <w:bookmarkEnd w:id="523"/>
      <w:r>
        <w:t xml:space="preserve">See</w:t>
      </w:r>
      <w:r>
        <w:t xml:space="preserve"> </w:t>
      </w:r>
      <w:bookmarkStart w:id="524" w:name="x1-46008"/>
      <w:bookmarkEnd w:id="524"/>
      <w:r>
        <w:rPr>
          <w:i/>
          <w:iCs/>
        </w:rPr>
        <w:t xml:space="preserve">First Options of Chi., Inc. v. Kaplan,</w:t>
      </w:r>
      <w:r>
        <w:rPr>
          <w:i/>
          <w:iCs/>
        </w:rPr>
        <w:t xml:space="preserve"> </w:t>
      </w:r>
      <w:r>
        <w:t xml:space="preserve">514 U.S. 938, 943–47 (1995).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27" w:name="x1-46010xC"/>
      <w:bookmarkEnd w:id="527"/>
      <w:r>
        <w:t xml:space="preserve">See</w:t>
      </w:r>
      <w:r>
        <w:t xml:space="preserve"> </w:t>
      </w:r>
      <w:bookmarkStart w:id="528" w:name="x1-46011"/>
      <w:bookmarkEnd w:id="528"/>
      <w:r>
        <w:rPr>
          <w:i/>
          <w:iCs/>
        </w:rPr>
        <w:t xml:space="preserve">Equal Emp’t Opportunity Comm’n v. Waffle House, Inc.,</w:t>
      </w:r>
      <w:r>
        <w:rPr>
          <w:i/>
          <w:iCs/>
        </w:rPr>
        <w:t xml:space="preserve"> </w:t>
      </w:r>
      <w:r>
        <w:t xml:space="preserve">534 U.S. 279, 288–96 (2002).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31" w:name="x1-46013xC"/>
      <w:bookmarkEnd w:id="531"/>
      <w:r>
        <w:t xml:space="preserve">See</w:t>
      </w:r>
      <w:r>
        <w:t xml:space="preserve"> </w:t>
      </w:r>
      <w:bookmarkStart w:id="532" w:name="x1-46014"/>
      <w:bookmarkEnd w:id="532"/>
      <w:r>
        <w:t xml:space="preserve">Federal Arbitration Act, 9 U.S.C.</w:t>
      </w:r>
      <w:r>
        <w:t xml:space="preserve"> </w:t>
      </w:r>
      <w:r>
        <w:t xml:space="preserve">§</w:t>
      </w:r>
      <w:r>
        <w:t xml:space="preserve"> 7 (2024);</w:t>
      </w:r>
      <w:r>
        <w:t xml:space="preserve"> </w:t>
      </w:r>
      <w:bookmarkStart w:id="533" w:name="x1-46015"/>
      <w:bookmarkEnd w:id="533"/>
      <w:r>
        <w:rPr>
          <w:i/>
          <w:iCs/>
        </w:rPr>
        <w:t xml:space="preserve">CVS Health Corp. v. Vividus, LLC,</w:t>
      </w:r>
      <w:r>
        <w:rPr>
          <w:i/>
          <w:iCs/>
        </w:rPr>
        <w:t xml:space="preserve"> </w:t>
      </w:r>
      <w:r>
        <w:t xml:space="preserve">878 F.3d 703, 706–09 (9th</w:t>
      </w:r>
      <w:r>
        <w:t xml:space="preserve"> </w:t>
      </w:r>
      <w:r>
        <w:t xml:space="preserve">Cir. 2017).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36" w:name="x1-46017xC"/>
      <w:bookmarkEnd w:id="536"/>
      <w:r>
        <w:t xml:space="preserve">See</w:t>
      </w:r>
      <w:r>
        <w:t xml:space="preserve"> </w:t>
      </w:r>
      <w:bookmarkStart w:id="537" w:name="x1-46018"/>
      <w:bookmarkEnd w:id="537"/>
      <w:r>
        <w:rPr>
          <w:i/>
          <w:iCs/>
        </w:rPr>
        <w:t xml:space="preserve">Bristol-Myers Squibb</w:t>
      </w:r>
      <w:r>
        <w:t xml:space="preserve">, 582 U.S. at 262–68;</w:t>
      </w:r>
      <w:r>
        <w:t xml:space="preserve"> </w:t>
      </w:r>
      <w:bookmarkStart w:id="538" w:name="x1-46019"/>
      <w:bookmarkEnd w:id="538"/>
      <w:r>
        <w:rPr>
          <w:i/>
          <w:iCs/>
        </w:rPr>
        <w:t xml:space="preserve">Ford Motor</w:t>
      </w:r>
      <w:r>
        <w:t xml:space="preserve">, 592 U.S. at 358–72.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41" w:name="x1-46021xC"/>
      <w:bookmarkEnd w:id="541"/>
      <w:r>
        <w:t xml:space="preserve">See</w:t>
      </w:r>
      <w:r>
        <w:t xml:space="preserve"> </w:t>
      </w:r>
      <w:bookmarkStart w:id="542" w:name="x1-46022"/>
      <w:bookmarkEnd w:id="542"/>
      <w:r>
        <w:rPr>
          <w:i/>
          <w:iCs/>
        </w:rPr>
        <w:t xml:space="preserve">Mallory v. Norfolk S. Ry. Co.,</w:t>
      </w:r>
      <w:r>
        <w:rPr>
          <w:i/>
          <w:iCs/>
        </w:rPr>
        <w:t xml:space="preserve"> </w:t>
      </w:r>
      <w:r>
        <w:t xml:space="preserve">600 U.S. 122, 134–36 (2023).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45" w:name="x1-46024xC"/>
      <w:bookmarkEnd w:id="545"/>
      <w:r>
        <w:t xml:space="preserve">See</w:t>
      </w:r>
      <w:r>
        <w:t xml:space="preserve"> </w:t>
      </w:r>
      <w:bookmarkStart w:id="546" w:name="x1-46025"/>
      <w:bookmarkEnd w:id="546"/>
      <w:r>
        <w:t xml:space="preserve">Fair Credit Reporting Act, 15 U.S.C.</w:t>
      </w:r>
      <w:r>
        <w:t xml:space="preserve"> </w:t>
      </w:r>
      <w:r>
        <w:t xml:space="preserve">§</w:t>
      </w:r>
      <w:r>
        <w:t xml:space="preserve"> 1681t(a), (b)(1)(B)–(C), (F) (2024);</w:t>
      </w:r>
      <w:r>
        <w:t xml:space="preserve"> </w:t>
      </w:r>
      <w:bookmarkStart w:id="547" w:name="x1-46026"/>
      <w:bookmarkEnd w:id="547"/>
      <w:r>
        <w:t xml:space="preserve">Fair Credit Reporting Act;</w:t>
      </w:r>
      <w:r>
        <w:t xml:space="preserve"> </w:t>
      </w:r>
      <w:r>
        <w:t xml:space="preserve">Preemption of State Laws, 90 Fed. Reg. 48,710, 48,710–15 (Oct. 28, 2025). The agency document is nonbinding</w:t>
      </w:r>
      <w:r>
        <w:t xml:space="preserve"> </w:t>
      </w:r>
      <w:r>
        <w:t xml:space="preserve">guidance; the statutory text controls.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50" w:name="x1-46028xC"/>
      <w:bookmarkEnd w:id="550"/>
      <w:r>
        <w:t xml:space="preserve">See</w:t>
      </w:r>
      <w:r>
        <w:t xml:space="preserve"> </w:t>
      </w:r>
      <w:bookmarkStart w:id="551" w:name="x1-46029"/>
      <w:bookmarkEnd w:id="551"/>
      <w:r>
        <w:t xml:space="preserve">Employee Retirement Income Security Act, 29 U.S.C.</w:t>
      </w:r>
      <w:r>
        <w:t xml:space="preserve"> </w:t>
      </w:r>
      <w:r>
        <w:t xml:space="preserve">§</w:t>
      </w:r>
      <w:r>
        <w:t xml:space="preserve"> 1144(a) (2024);</w:t>
      </w:r>
      <w:r>
        <w:t xml:space="preserve"> </w:t>
      </w:r>
      <w:bookmarkStart w:id="552" w:name="x1-46030"/>
      <w:bookmarkEnd w:id="552"/>
      <w:r>
        <w:rPr>
          <w:i/>
          <w:iCs/>
        </w:rPr>
        <w:t xml:space="preserve">Gobeille v. Liberty Mut. Ins.</w:t>
      </w:r>
      <w:r>
        <w:rPr>
          <w:i/>
          <w:iCs/>
        </w:rPr>
        <w:t xml:space="preserve"> </w:t>
      </w:r>
      <w:r>
        <w:rPr>
          <w:i/>
          <w:iCs/>
        </w:rPr>
        <w:t xml:space="preserve">Co.,</w:t>
      </w:r>
      <w:r>
        <w:rPr>
          <w:i/>
          <w:iCs/>
        </w:rPr>
        <w:t xml:space="preserve"> </w:t>
      </w:r>
      <w:r>
        <w:t xml:space="preserve">577 U.S. 312, 320–26 (2016);</w:t>
      </w:r>
      <w:r>
        <w:t xml:space="preserve"> </w:t>
      </w:r>
      <w:bookmarkStart w:id="553" w:name="x1-46031"/>
      <w:bookmarkEnd w:id="553"/>
      <w:r>
        <w:t xml:space="preserve">Medical Device Amendments, 21 U.S.C.</w:t>
      </w:r>
      <w:r>
        <w:t xml:space="preserve"> </w:t>
      </w:r>
      <w:r>
        <w:t xml:space="preserve">§</w:t>
      </w:r>
      <w:r>
        <w:t xml:space="preserve"> 360k(a) (2024);</w:t>
      </w:r>
      <w:r>
        <w:t xml:space="preserve"> </w:t>
      </w:r>
      <w:bookmarkStart w:id="554" w:name="x1-46032"/>
      <w:bookmarkEnd w:id="554"/>
      <w:r>
        <w:rPr>
          <w:i/>
          <w:iCs/>
        </w:rPr>
        <w:t xml:space="preserve">Riegel v.</w:t>
      </w:r>
      <w:r>
        <w:rPr>
          <w:i/>
          <w:iCs/>
        </w:rPr>
        <w:t xml:space="preserve"> </w:t>
      </w:r>
      <w:r>
        <w:rPr>
          <w:i/>
          <w:iCs/>
        </w:rPr>
        <w:t xml:space="preserve">Medtronic, Inc.,</w:t>
      </w:r>
      <w:r>
        <w:rPr>
          <w:i/>
          <w:iCs/>
        </w:rPr>
        <w:t xml:space="preserve"> </w:t>
      </w:r>
      <w:r>
        <w:t xml:space="preserve">552 U.S. 312, 321–30 (2008);</w:t>
      </w:r>
      <w:r>
        <w:t xml:space="preserve"> </w:t>
      </w:r>
      <w:bookmarkStart w:id="555" w:name="x1-46033"/>
      <w:bookmarkEnd w:id="555"/>
      <w:r>
        <w:t xml:space="preserve">Health Insurance Portability and Accountability Act, 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1320d-7(a)(2) (2024);</w:t>
      </w:r>
      <w:r>
        <w:t xml:space="preserve"> </w:t>
      </w:r>
      <w:bookmarkStart w:id="556" w:name="x1-46034"/>
      <w:bookmarkEnd w:id="556"/>
      <w:r>
        <w:t xml:space="preserve">HIPAA Privacy Rule State-Law Preemption, 45 C.F.R.</w:t>
      </w:r>
      <w:r>
        <w:t xml:space="preserve"> </w:t>
      </w:r>
      <w:r>
        <w:t xml:space="preserve">§§</w:t>
      </w:r>
      <w:r>
        <w:t xml:space="preserve"> 160.202–.203</w:t>
      </w:r>
      <w:r>
        <w:t xml:space="preserve"> </w:t>
      </w:r>
      <w:r>
        <w:t xml:space="preserve">(2025).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59" w:name="x1-46036xC"/>
      <w:bookmarkEnd w:id="559"/>
      <w:r>
        <w:t xml:space="preserve">See</w:t>
      </w:r>
      <w:r>
        <w:t xml:space="preserve"> </w:t>
      </w:r>
      <w:bookmarkStart w:id="560" w:name="x1-46037"/>
      <w:bookmarkEnd w:id="560"/>
      <w:r>
        <w:t xml:space="preserve">Title VII of the Civil Rights Act of 1964, 42 U.S.C.</w:t>
      </w:r>
      <w:r>
        <w:t xml:space="preserve"> </w:t>
      </w:r>
      <w:r>
        <w:t xml:space="preserve">§</w:t>
      </w:r>
      <w:r>
        <w:t xml:space="preserve"> 2000e-7 (2024).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65" w:name="x1-47002xD"/>
      <w:bookmarkEnd w:id="565"/>
      <w:r>
        <w:t xml:space="preserve">See</w:t>
      </w:r>
      <w:r>
        <w:t xml:space="preserve"> </w:t>
      </w:r>
      <w:bookmarkStart w:id="566" w:name="x1-47003"/>
      <w:bookmarkEnd w:id="566"/>
      <w:r>
        <w:rPr>
          <w:i/>
          <w:iCs/>
        </w:rPr>
        <w:t xml:space="preserve">Garcia</w:t>
      </w:r>
      <w:r>
        <w:t xml:space="preserve">, 785 F. Supp. 3d at 1174–80.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95" Target="numbering.xml" /><Relationship Type="http://schemas.openxmlformats.org/officeDocument/2006/relationships/styles" Id="rId94" Target="styles.xml" /><Relationship Type="http://schemas.openxmlformats.org/officeDocument/2006/relationships/settings" Id="rId93" Target="settings.xml" /><Relationship Type="http://schemas.openxmlformats.org/officeDocument/2006/relationships/webSettings" Id="rId92" Target="webSettings.xml" /><Relationship Type="http://schemas.openxmlformats.org/officeDocument/2006/relationships/fontTable" Id="rId91" Target="fontTable.xml" /><Relationship Type="http://schemas.openxmlformats.org/officeDocument/2006/relationships/theme" Id="rId90" Target="theme/theme1.xml" /><Relationship Type="http://schemas.openxmlformats.org/officeDocument/2006/relationships/footnotes" Id="rId89" Target="footnotes.xml" /><Relationship Type="http://schemas.openxmlformats.org/officeDocument/2006/relationships/comments" Id="rId88" Target="comments.xml" /><Relationship Type="http://schemas.openxmlformats.org/officeDocument/2006/relationships/image" Id="rId223" Target="media/rId223.png" /><Relationship Type="http://schemas.openxmlformats.org/officeDocument/2006/relationships/hyperlink" Id="rId116" Target="https://arxiv.org/abs/2607.23888" TargetMode="External" /><Relationship Type="http://schemas.openxmlformats.org/officeDocument/2006/relationships/hyperlink" Id="rId220" Target="https://doi.org/10.1145/3544548.3581407" TargetMode="External" /><Relationship Type="http://schemas.openxmlformats.org/officeDocument/2006/relationships/hyperlink" Id="rId121" Target="https://doi.org/10.1145/3805689.3806532" TargetMode="External" /><Relationship Type="http://schemas.openxmlformats.org/officeDocument/2006/relationships/hyperlink" Id="rId124" Target="https://doi.org/10.1145/3805689.3812219" TargetMode="External" /><Relationship Type="http://schemas.openxmlformats.org/officeDocument/2006/relationships/hyperlink" Id="rId444" Target="https://nvlpubs.nist.gov/nistpubs/ai/NIST.AI.100-1.pdf" TargetMode="External" /><Relationship Type="http://schemas.openxmlformats.org/officeDocument/2006/relationships/hyperlink" Id="rId218" Target="https://psas.scripts.mit.edu/home/get_file.php?name=STPA_handbook.pdf" TargetMode="External" /><Relationship Type="http://schemas.openxmlformats.org/officeDocument/2006/relationships/hyperlink" Id="rId205" Target="https://ssrn.com/abstract=7097518" TargetMode="External" /><Relationship Type="http://schemas.openxmlformats.org/officeDocument/2006/relationships/hyperlink" Id="rId432" Target="https://www.faa.gov/documentLibrary/media/Advisory_Circular/AC_00-46F.pdf" TargetMode="External" /><Relationship Type="http://schemas.openxmlformats.org/officeDocument/2006/relationships/hyperlink" Id="rId439" Target="https://www.ftc.gov/system/files/ftc_gov/pdf/AICompanionChatbot6(b)Order.pdf" TargetMode="External" /><Relationship Type="http://schemas.openxmlformats.org/officeDocument/2006/relationships/hyperlink" Id="rId326" Target="https://www.hbs.edu/ris/Publication%20Files/25-018_d256c104-e5ba-4911-b72c-874c5492166e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9" Target="https://arxiv.org/abs/2607.23888" TargetMode="External" /><Relationship Type="http://schemas.openxmlformats.org/officeDocument/2006/relationships/hyperlink" Id="rId223" Target="https://doi.org/10.1145/3544548.3581407" TargetMode="External" /><Relationship Type="http://schemas.openxmlformats.org/officeDocument/2006/relationships/hyperlink" Id="rId124" Target="https://doi.org/10.1145/3805689.3806532" TargetMode="External" /><Relationship Type="http://schemas.openxmlformats.org/officeDocument/2006/relationships/hyperlink" Id="rId127" Target="https://doi.org/10.1145/3805689.3812219" TargetMode="External" /><Relationship Type="http://schemas.openxmlformats.org/officeDocument/2006/relationships/hyperlink" Id="rId447" Target="https://nvlpubs.nist.gov/nistpubs/ai/NIST.AI.100-1.pdf" TargetMode="External" /><Relationship Type="http://schemas.openxmlformats.org/officeDocument/2006/relationships/hyperlink" Id="rId221" Target="https://psas.scripts.mit.edu/home/get_file.php?name=STPA_handbook.pdf" TargetMode="External" /><Relationship Type="http://schemas.openxmlformats.org/officeDocument/2006/relationships/hyperlink" Id="rId208" Target="https://ssrn.com/abstract=7097518" TargetMode="External" /><Relationship Type="http://schemas.openxmlformats.org/officeDocument/2006/relationships/hyperlink" Id="rId435" Target="https://www.faa.gov/documentLibrary/media/Advisory_Circular/AC_00-46F.pdf" TargetMode="External" /><Relationship Type="http://schemas.openxmlformats.org/officeDocument/2006/relationships/hyperlink" Id="rId442" Target="https://www.ftc.gov/system/files/ftc_gov/pdf/AICompanionChatbot6(b)Order.pdf" TargetMode="External" /><Relationship Type="http://schemas.openxmlformats.org/officeDocument/2006/relationships/hyperlink" Id="rId333" Target="https://www.hbs.edu/ris/Publication%20Files/25-018_d256c104-e5ba-4911-b72c-874c5492166e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Before the Merits: A Deployment Front Door for High-Impact AI Litigation</dc:title>
  <dc:creator>Anonymous</dc:creator>
  <dc:language>en-US</dc:language>
  <cp:keywords/>
  <dcterms:created xsi:type="dcterms:W3CDTF">2026-08-29T02:09:45Z</dcterms:created>
  <dcterms:modified xsi:type="dcterms:W3CDTF">2026-08-29T02:09:45Z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TeX4ht (https://tug.org/tex4ht/)</vt:lpwstr>
  </property>
  <property fmtid="{D5CDD505-2E9C-101B-9397-08002B2CF9AE}" pid="3" name="src">
    <vt:lpwstr>what-is-ai-for-courts.tex</vt:lpwstr>
  </property>
  <property fmtid="{D5CDD505-2E9C-101B-9397-08002B2CF9AE}" pid="4" name="viewport">
    <vt:lpwstr>width=device-width,initial-scale=1</vt:lpwstr>
  </property>
</Properties>
</file>