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r="http://schemas.openxmlformats.org/officeDocument/2006/relationships" xmlns:w="http://schemas.openxmlformats.org/wordprocessingml/2006/main">
  <w:body>
    <w:bookmarkStart w:id="10" w:name="Xbe58f8932519ba75fe971558fee85f3b3cff6f5"/>
    <w:p>
      <w:pPr>
        <w:pStyle w:val="Title"/>
        <w:keepNext/>
        <w:keepLines/>
        <w:spacing w:before="0" w:after="180" w:line="340" w:lineRule="exact"/>
        <w:ind w:firstLine="0"/>
        <w:jc w:val="center"/>
      </w:pPr>
      <w:r>
        <w:rPr>
          <w:rFonts w:ascii="Garamond" w:hAnsi="Garamond" w:cs="Garamond" w:eastAsia="Songti SC"/>
          <w:b/>
          <w:bCs/>
          <w:smallCaps/>
          <w:color w:val="000000"/>
          <w:sz w:val="28"/>
          <w:szCs w:val="28"/>
          <w:lang w:val="en-US" w:eastAsia="zh-CN"/>
        </w:rPr>
        <w:t xml:space="preserve">Who Controls, Who Answers? A Deployment Front Door for High-Impact AI Litigation</w:t>
      </w:r>
      <w:r>
        <w:rPr>
          <w:rFonts w:ascii="Garamond" w:hAnsi="Garamond" w:cs="Garamond" w:eastAsia="Songti SC"/>
          <w:b/>
          <w:bCs/>
          <w:smallCaps/>
          <w:color w:val="000000"/>
          <w:sz w:val="28"/>
          <w:szCs w:val="28"/>
          <w:lang w:val="en-US" w:eastAsia="zh-CN"/>
        </w:rPr>
        <w:t xml:space="preserve"/>
      </w:r>
      <w:r>
        <w:rPr>
          <w:rFonts w:ascii="Garamond" w:hAnsi="Garamond" w:cs="Garamond" w:eastAsia="Songti SC"/>
          <w:b/>
          <w:bCs/>
          <w:smallCaps/>
          <w:color w:val="000000"/>
          <w:sz w:val="28"/>
          <w:szCs w:val="28"/>
          <w:lang w:val="en-US" w:eastAsia="zh-CN"/>
        </w:rPr>
        <w:t xml:space="preserve"/>
      </w:r>
    </w:p>
    <w:p>
      <w:pPr>
        <w:pStyle w:val="Author"/>
        <w:keepNext/>
        <w:spacing w:before="0" w:after="60" w:line="28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Lucia Yizi Zhang, Peng Zhao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vertAlign w:val="superscript"/>
          <w:lang w:val="en-US" w:eastAsia="zh-CN"/>
        </w:rPr>
        <w:t xml:space="preserve">*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/>
      </w:r>
      <w:bookmarkStart w:id="9" w:name="x1-2f1"/>
      <w:bookmarkEnd w:id="9"/>
    </w:p>
    <w:bookmarkEnd w:id="10"/>
    <w:p>
      <w:pPr>
        <w:pStyle w:val="Date"/>
        <w:keepNext/>
        <w:spacing w:before="0" w:after="180" w:line="240" w:lineRule="exact"/>
        <w:ind w:firstLine="0"/>
        <w:jc w:val="center"/>
      </w:pP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>(submission draft)</w:t>
      </w:r>
    </w:p>
    <w:p>
      <w:pPr>
        <w:pStyle w:val="AbstractTitle"/>
        <w:keepNext/>
        <w:spacing w:before="160" w:after="40" w:line="280" w:lineRule="exact"/>
        <w:ind w:firstLine="0"/>
        <w:jc w:val="center"/>
      </w:pPr>
      <w:r>
        <w:rPr>
          <w:rFonts w:ascii="Garamond" w:hAnsi="Garamond" w:cs="Garamond" w:eastAsia="Songti SC"/>
          <w:b/>
          <w:bCs/>
          <w:smallCaps/>
          <w:color w:val="000000"/>
          <w:sz w:val="24"/>
          <w:szCs w:val="24"/>
          <w:lang w:val="en-US" w:eastAsia="zh-CN"/>
        </w:rPr>
        <w:t xml:space="preserve">Abstract</w:t>
      </w:r>
    </w:p>
    <w:p>
      <w:pPr>
        <w:pStyle w:val="Abstract"/>
        <w:keepLines/>
        <w:spacing w:before="0" w:after="0" w:line="272" w:lineRule="exact"/>
        <w:ind w:firstLine="0"/>
        <w:jc w:val="both"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AI litigation can stop before substantive doctrine can operate. An affected person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may observe an adverse decision or interaction while the operative system, event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record, and allocation of control remain divided among enterprises. Discovery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ordinarily presupposes an identifiable target and cannot produce a record that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was never created.</w:t>
      </w:r>
    </w:p>
    <w:p>
      <w:pPr>
        <w:pStyle w:val="Abstract"/>
        <w:keepLines/>
        <w:spacing w:before="0" w:after="0" w:line="272" w:lineRule="exact"/>
        <w:ind w:firstLine="0"/>
        <w:jc w:val="both"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This Article identifies that pre-merits attribution gap and proposes model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sectoral legislation establishing a deployment front door. After a verified adverse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event in a designated high-impact deployment affects an interest protected by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specified law, the visible operator must identify the operative system and version,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supply the event receipt and custodian map, and preserve the bounded record.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The request never depends on facts available only inside that record. Broader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production requires the cumulative material-control test developed below and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remains claim specific, necessary, proportionate, and nonprivileged. Enterprises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outside that lane exit the front-door role, and participation creates no merits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inference.</w:t>
      </w:r>
    </w:p>
    <w:p>
      <w:pPr>
        <w:pStyle w:val="Abstract"/>
        <w:keepLines/>
        <w:spacing w:before="0" w:after="0" w:line="272" w:lineRule="exact"/>
        <w:ind w:firstLine="0"/>
        <w:jc w:val="both"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Because discovery cannot recreate information never recorded, the proposal also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requires deployment- and event-linked version, approval, evaluation, escalation,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intervention, and retrieval records during operation. That ex ante duty and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independent access right leave pleading and ordinary discovery in their existing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roles; once federal litigation begins, the Federal Rules govern party discovery.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Garcia v. Character Technologies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illustrates a missing record inside a visible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service, while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Mobley v. Workday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illustrates identity and control divided across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an employment stack. In both, information comes before liability: the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proposal changes access and sequence, not duty, causation, defense, or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remedy.</w:t>
      </w:r>
    </w:p>
    <w:p>
      <w:pPr>
        <w:pStyle w:val="Abstract"/>
        <w:keepLines/>
        <w:spacing w:before="0" w:after="0" w:line="272" w:lineRule="exact"/>
        <w:ind w:firstLine="0"/>
        <w:jc w:val="both"/>
      </w:pP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Keywords: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artificial intelligence litigation; deployment front door;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4"/>
          <w:szCs w:val="24"/>
          <w:lang w:val="en-US" w:eastAsia="zh-CN"/>
        </w:rPr>
        <w:t xml:space="preserve">high-impact AI; early disclosure; deployment records; material control</w:t>
      </w:r>
    </w:p>
    <w:bookmarkStart w:id="12" w:name="table-of-contents"/>
    <w:p>
      <w:pPr>
        <w:pStyle w:val="FootnoteText"/>
        <w:spacing w:before="40" w:after="0" w:line="180" w:lineRule="exact"/>
        <w:ind w:firstLine="0" w:right="3600"/>
        <w:jc w:val="left"/>
      </w:pPr>
      <w:r>
        <w:rPr>
          <w:rFonts w:ascii="Garamond" w:hAnsi="Garamond" w:cs="Garamond" w:eastAsia="Songti SC"/>
          <w:lang w:val="en-US" w:eastAsia="zh-CN"/>
        </w:rPr>
        <w:t/>
      </w:r>
    </w:p>
    <w:p>
      <w:pPr>
        <w:pStyle w:val="FootnoteText"/>
        <w:spacing w:before="0" w:after="80" w:line="210" w:lineRule="exact"/>
        <w:ind w:firstLine="0"/>
        <w:jc w:val="both"/>
      </w:pPr>
      <w:bookmarkStart w:id="449" w:name="x1-3x"/>
      <w:bookmarkEnd w:id="449"/>
      <w:bookmarkStart w:id="450" w:name="fn1x1"/>
      <w:r>
        <w:rPr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t xml:space="preserve">*</w:t>
      </w:r>
      <w:bookmarkEnd w:id="45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Google Gemini 3.1 Pro and OpenAI Codex were used for LaTeX and Microsoft Word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formatting, figure preparation, prose translation, and editorial revision. The authors remain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responsible for all claims, quotations, and citations.</w:t>
      </w:r>
    </w:p>
    <w:p>
      <w:pPr>
        <w:pStyle w:val="TOCHeading"/>
        <w:keepNext/>
        <w:pageBreakBefore/>
        <w:spacing w:before="0" w:after="160" w:line="280" w:lineRule="exact"/>
        <w:ind w:firstLine="0"/>
        <w:jc w:val="center"/>
      </w:pPr>
      <w:bookmarkStart w:id="11" w:name="x1-1000"/>
      <w:bookmarkEnd w:id="11"/>
      <w:r>
        <w:rPr>
          <w:rFonts w:ascii="Garamond" w:hAnsi="Garamond" w:cs="Garamond" w:eastAsia="Songti SC"/>
          <w:b/>
          <w:bCs/>
          <w:smallCaps/>
          <w:color w:val="000000"/>
          <w:sz w:val="24"/>
          <w:szCs w:val="24"/>
          <w:lang w:val="en-US" w:eastAsia="zh-CN"/>
        </w:rPr>
        <w:t xml:space="preserve">Table of Contents</w:t>
      </w:r>
    </w:p>
    <w:p>
      <w:pPr>
        <w:pStyle w:val="TOC1"/>
        <w:spacing w:before="0" w:after="0" w:line="240" w:lineRule="exact"/>
        <w:ind w:firstLine="0"/>
        <w:jc w:val="left"/>
      </w:pPr>
      <w:hyperlink w:anchor="introduction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Introduction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I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premerits-attribution-gap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Pre-Merits Attribution Gap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373513752e49abb5fbcd58354d54f743b4b83d8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Output Does Not Reveal the Deployment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wo-coordinates-define-the-gap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Two Coordinates Define the Gap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0d45b1bf289ec41abdcdcdd96a97e2c1be6f103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Ordinary Procedure Opens After Four Predicates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D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ab8175e220738ba490249d3c1f68399b6f12eb5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Existing Evidence Rights Need a Deployment Front End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E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cascade-specifies-the-missing-record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Cascade Specifies the Missing Record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II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deployment-frontdoor-rul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Deployment Front-Door Rule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sectoral-designation-defines-the-field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Sectoral Designation Defines the Field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visible-operator-answers-firs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Visible Operator Answers First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9e7a45e9943e08544407f510f9a942aad7a0627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Material Control Requires Risk, Authority, and Information Materiality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D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1207eb8943d5e4b552dc061fe7ef63b2b80a36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Creation, Preservation, and Production Are Separate Duties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E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protection-remedies-and-safe-exi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Protection, Remedies, and Safe Exit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F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model-statutory-tex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Model Statutory Text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G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9f368c707862d4e4fce8f56b15ef2e649f28023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Front Door Ends Where Federal Discovery Begins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III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rule-in-operation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Rule in Operation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an-integrated-deployment-garcia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An Integrated Deployment: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 </w:t>
        </w:r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Garcia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523887ecf0e5c5a8ca26ad4aca0e46251deff1b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A Divided Deployment: The Vendor Hosts the Data; the Employer Controls It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IV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record-infrastructur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Record Infrastructure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deploymentrecord-control-shee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Deployment-Record Control Sheet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record-has-a-standard-interfac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Record Has a Standard Interface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20f93bd622b219086ee0900f04dbdb471b336f6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Identity, Feedback, and Event Records Have Different Clocks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D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3bf8f79bbc4024447d2fb1025eff4c0b5e2ceca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Existing Regimes Demonstrate Administrability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E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16ad30c4d706d066ca5ea4f581954ce6b0ad1f3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Recordkeeping Risks Require Minimization by Design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F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the-record-is-also-a-defense-asset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Record Is Also a Defense Asset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V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507690928aa67b85f2b8ff948030b87102a043b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The Merits Firewall and Administrable Boundaries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existing-legal-interests-define-the-gate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Existing Legal Interests Define the Gate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B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64f128467567ab17075eb48d3ab4c084add7f59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Constitutional, Trade-Secret, and Privacy Protections Shape Access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dc02b2c9f8ecb38a0d74a9a8d9de321f0e9eb2a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Arbitration, Territorial Limits, and Federal Preemption Govern the Forum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D</w:t>
      </w:r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t xml:space="preserve"> </w:t>
      </w:r>
      <w:hyperlink w:anchor="Xcb4b30a26b8c574b82ee1211e6956218b6054e7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Classification Neutrality Preserves the Merits</w:t>
        </w:r>
      </w:hyperlink>
      <w:r>
        <w:rPr>
          <w:rFonts w:ascii="Garamond" w:hAnsi="Garamond" w:cs="Garamond" w:eastAsia="Songti SC"/>
          <w:color w:val="000000"/>
          <w:sz w:val="20"/>
          <w:szCs w:val="20"/>
          <w:lang w:val="en-US" w:eastAsia="zh-CN"/>
        </w:rPr>
        <w:br/>
      </w:r>
      <w:hyperlink w:anchor="conclusion">
        <w:r>
          <w:rPr>
            <w:rStyle w:val="TOCLink"/>
            <w:rFonts w:ascii="Garamond" w:hAnsi="Garamond" w:cs="Garamond" w:eastAsia="Songti SC"/>
            <w:color w:val="000000"/>
            <w:sz w:val="20"/>
            <w:szCs w:val="20"/>
            <w:u w:val="none"/>
            <w:lang w:val="en-US" w:eastAsia="zh-CN"/>
          </w:rPr>
          <w:t xml:space="preserve">Conclusion</w:t>
        </w:r>
      </w:hyperlink>
    </w:p>
    <w:bookmarkEnd w:id="12"/>
    <w:bookmarkStart w:id="40" w:name="introduction"/>
    <w:p>
      <w:pPr>
        <w:pStyle w:val="Heading3"/>
        <w:keepNext/>
        <w:keepLines/>
        <w:pageBreakBefore/>
        <w:spacing w:before="0" w:after="100" w:line="280" w:lineRule="exact"/>
        <w:ind w:firstLine="0"/>
        <w:jc w:val="left"/>
      </w:pPr>
      <w:bookmarkStart w:id="13" w:name="x1-2000"/>
      <w:bookmarkEnd w:id="13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Introduction</w:t>
      </w:r>
    </w:p>
    <w:p>
      <w:pPr>
        <w:pStyle w:val="FirstParagraph"/>
        <w:spacing w:before="0" w:after="0" w:line="320" w:lineRule="exact"/>
        <w:ind w:firstLine="360"/>
        <w:jc w:val="both"/>
      </w:pPr>
      <w:bookmarkStart w:id="14" w:name="Q1-1-3"/>
      <w:bookmarkEnd w:id="14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Fourteen-year-old Sewell Setzer III did not encounter a foundation 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a laboratory. He encountered a deployed relationship.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Garcia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v. Character Technologies, Inc.</w:t>
      </w:r>
      <w:r>
        <w:rPr>
          <w:rFonts w:ascii="Garamond" w:hAnsi="Garamond" w:cs="Garamond" w:eastAsia="Songti SC"/>
          <w:lang w:val="en-US" w:eastAsia="zh-CN"/>
        </w:rPr>
        <w:t xml:space="preserve">, his mother’s complaint alleged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Character.AI combined persistent personas, memory, access rules, warnings,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engagement design, and safety controls in a consumer service available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minors. It alleged that Character Technologies’ founders and Google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made different contributions of personnel, technology, knowledge,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resources and that, after months of interaction with a character modeled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a fictional television figure, Sewell died by suicide. His mother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brought wrongful-death, negligence, product-defect, failure-to-warn,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deceptive-practice, and related claims. At the pleading stage, the district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court treated the application as plausibly alleged to be a product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declined, on that record, to classify the generated output as protected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speech. The action later settled without a finding of defect, causation,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5"/>
      </w:r>
      <w:bookmarkStart w:id="21" w:name="x1-2001f1"/>
      <w:bookmarkEnd w:id="21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case exposes a problem analytically independent of the ultimate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 result. The user sees the interface and the output. The facts ordinary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 needs lie behind both: which model and application versions ran; who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selected the relational objective, system instructions, memory, age gate, crisis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response, and engagement metric; what evaluations, complaints, and incident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signals arrived; who could update, restrict, roll back, or stop the deployment;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which enterprise retained each record. In a direct-to-consumer service,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operating company may be obvious while its deployment record remains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inaccessible. In a divided system, the visible hospital, employer, agency,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 can depend on a model vendor, scoring service, infrastructure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provider, and systems integrator that retain different controls.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claimant needs the configuration and control record to test a recognized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claim, yet often must identify the record holder before obtaining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record. The merits standard exists; access to the facts that feed it does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Article calls that sequence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pre-merits attribution gap</w:t>
      </w:r>
      <w:r>
        <w:rPr>
          <w:rFonts w:ascii="Garamond" w:hAnsi="Garamond" w:cs="Garamond" w:eastAsia="Songti SC"/>
          <w:lang w:val="en-US" w:eastAsia="zh-CN"/>
        </w:rPr>
        <w:t xml:space="preserve">.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comprises two related failures. The first is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actor-identification failure</w:t>
      </w:r>
      <w:r>
        <w:rPr>
          <w:rFonts w:ascii="Garamond" w:hAnsi="Garamond" w:cs="Garamond" w:eastAsia="Songti SC"/>
          <w:lang w:val="en-US" w:eastAsia="zh-CN"/>
        </w:rPr>
        <w:t xml:space="preserve">: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affected person cannot tell which enterprise selected or retained a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to the asserted risk. The second is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deployment-record failure</w:t>
      </w:r>
      <w:r>
        <w:rPr>
          <w:rFonts w:ascii="Garamond" w:hAnsi="Garamond" w:cs="Garamond" w:eastAsia="Songti SC"/>
          <w:lang w:val="en-US" w:eastAsia="zh-CN"/>
        </w:rPr>
        <w:t xml:space="preserve">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 when the operator’s name is visible, the versions, configuration,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evaluations, warnings, incidents, and intervention authority needed to test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conduct remain internal or were never recorded. The first failure is most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acute in divided deployments. The second can determine a case in any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Providers can compound that opacity through a rhetorical switch.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injury, a system may be a companion that understands, remembers, plans,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acts; after injury, it becomes a probabilistic model whose precise output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employee selected. Both descriptions may matter to the merits. Neither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should make the deployment record disappear. Anthropomorphic design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identify intended use and expected exposure, while stochastic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 makes a versioned event record especially important; neither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creates an artificial defendant or erases organizational choices about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AI-liability scholarship disagrees over the rule that should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 once the relevant actor and conduct are known: strict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liability, products liability, negligence, or a narrower statutory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approach.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2"/>
      </w:r>
      <w:bookmarkStart w:id="31" w:name="x1-2006f2"/>
      <w:bookmarkEnd w:id="3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disagreement reinforces the need for a logically prior access rule.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Negligence, products liability, strict liability, and no-liability rules differ 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merits, but each needs enough information to identify the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conduct, actor, and deployment.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question presented is therefore narrow: when an adverse event affects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interest protected by specified law through a designated high-impact 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deployment, but the affected person cannot identify the operative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system, control holder, or deployment record, what facts should open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bounded identity-and-event stage—and which enterprise must 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first?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 the title’s terms, to “answer” is to provide the fixed first answer, not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bear liability by virtue of visibility or participation.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Article’s contribution is institutional sequencing. Ordinary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 operates after a viable action reaches an identifiable target,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neighboring proposals generally begin with an identified actor, artifact,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decision, or producing party. Section </w:t>
      </w:r>
      <w:hyperlink w:anchor="Xab8175e220738ba490249d3c1f68399b6f12eb5">
        <w:r>
          <w:rPr>
            <w:rStyle w:val="Hyperlink"/>
            <w:rFonts w:ascii="Garamond" w:hAnsi="Garamond" w:cs="Garamond" w:eastAsia="Songti SC"/>
            <w:lang w:val="en-US" w:eastAsia="zh-CN"/>
          </w:rPr>
          <w:t xml:space="preserve">I.D</w:t>
        </w:r>
      </w:hyperlink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maps that literature. The front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door instead combines a sectoral designation, an ex ante minimum record,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reachable first recipient, and a control-based filter that allocates access without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allocating liability.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Recent work makes the adjacent problem explicit. Stewart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proposes pre-litigation testing of a known algorithmic decision;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Cen, Ismael, and Zheng structure access disputes once a requester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identify an artifact and a producing party that controls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2"/>
      </w:r>
      <w:bookmarkStart w:id="39" w:name="x1-2013f3"/>
      <w:bookmarkEnd w:id="39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supplies the missing front end: it identifies the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holders and ensures that a minimum record exists before counterfactual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testing, ordinary discovery, or audit begins.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primary adoption audience is a state legislature regulating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designated sector; Congress can use the same architecture where national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uniformity is required. The legislature creates the record and access duties. If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enforcement is needed, a court adjudicates the fixed access claim; broader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 proceeds only by agreement or through a forum independently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authorized to order it.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proposed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front-door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begins with a legislative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 of the protected interest, covered deployment, visible operator,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minimum record, retention period, trigger, and remedy. After a verified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event, the operator supplies a fixed identity-and-event answer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activates its preservation and retrieval paths. The operator is selected because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affected person can find it, not because the statute presumes it controlled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risk. Broader production follows only along a claim-specific lane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supported by that first answer. An enterprise outside the relevant lane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exits the front-door role; every merits element and defense remains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unchanged.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Because litigation cannot recover a record never created, the proposal also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imposes an ex ante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deployment-record duty</w:t>
      </w:r>
      <w:r>
        <w:rPr>
          <w:rFonts w:ascii="Garamond" w:hAnsi="Garamond" w:cs="Garamond" w:eastAsia="Songti SC"/>
          <w:lang w:val="en-US" w:eastAsia="zh-CN"/>
        </w:rPr>
        <w:t xml:space="preserve">. The record identifies versions, risk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approval authority, evaluations, unresolved risk decisions, material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changes, complaints, incidents, interventions, custodians, and retrieval rights.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compressed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deployment-control cascade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specifies those fields by mapping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objectives, resources, configuration, feedback, and stopping power across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 It is a record method, not a standard of care: token-level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unpredictability may complicate causal proof, but it does not make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organizational choices disappear.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rule remains sectoral, event specific, proportionate, and protected.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no general right to inspect AI and no remedy for a loss that governing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 does not recognize. Jurisdiction, immunity, privilege, privacy, security,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trade-secret protection, and substantive defenses remain operative; ordinary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procedure resumes once the front door has supplied the predicates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presupposes.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Part I identifies the attribution gap and specifies the missing record. Part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II states the two-stage rule, model statutory text, and federal-procedure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boundary. Part III applies the mechanism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Garcia</w:t>
      </w:r>
      <w:r>
        <w:rPr>
          <w:rFonts w:ascii="Garamond" w:hAnsi="Garamond" w:cs="Garamond" w:eastAsia="Songti SC"/>
          <w:lang w:val="en-US" w:eastAsia="zh-CN"/>
        </w:rPr>
        <w:t xml:space="preserve">’s visible service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Mobley</w:t>
      </w:r>
      <w:r>
        <w:rPr>
          <w:rFonts w:ascii="Garamond" w:hAnsi="Garamond" w:cs="Garamond" w:eastAsia="Songti SC"/>
          <w:lang w:val="en-US" w:eastAsia="zh-CN"/>
        </w:rPr>
        <w:t xml:space="preserve">’s divided employment stack. Parts IV and V develop the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infrastructure and its legal boundaries. The Conclusion returns to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proposition: substantive law should decide AI cases, not an information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asymmetry that prevents substantive law from starting.</w:t>
      </w:r>
    </w:p>
    <w:bookmarkEnd w:id="40"/>
    <w:bookmarkStart w:id="142" w:name="the-premerits-attribution-gap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I. 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41" w:name="x1-3000I"/>
      <w:bookmarkEnd w:id="41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Pre-Merits Attribution Gap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merits rule and a fact-access rule perform different work. Negligence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ask what precautions a reasonable deployer would have taken; products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ask whether a design or warning was defective; antidiscrimination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ask whether a screening process caused a prohibited disparity;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administrative law may ask whether an agency supplied the explanation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review an entitlement requires. Each inquiry presupposes a defined act, actor,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system, and time. Affected people commonly know the adverse result and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institution through which it arrived. They do not ordinarily know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version, configuration, allocation of control, or record needed to connect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result to the governing elements.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Part separates three forms of opacity, maps the gap along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actor-identity and record-availability coordinates, identifies the predicates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procedure presupposes, distinguishes adjacent evidence rights,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uses the deployment-control cascade to specify the missing record.</w:t>
      </w:r>
    </w:p>
    <w:bookmarkStart w:id="53" w:name="X373513752e49abb5fbcd58354d54f743b4b83d8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2" w:name="x1-4000A"/>
      <w:bookmarkEnd w:id="42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Output Does Not Reveal the Deployment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An AI dispute should begin with the deployed system rather than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generated token, score, or recommendation. The first attribution question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 who selected the final words or number. It is who constructed, supplied,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authorized, observed, and could alter the deployment that produced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legally relevant effect. A model’s internal computation may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difficult to explain while the surrounding control structure can leave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usable evidence in contracts, release records, configuration systems,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evaluation reports, incident queues, and access logs when law requires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creation and retention. That distinction makes responsibility evidence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obtainable even when a compact explanation of the model’s internal path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unavailable.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Three forms of opacity should remain separate.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Computational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opacity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 the inability to give a human-scale account of how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internal states produced a particular output.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 opacity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interactions among the model, instructions, retrieval, memory, tools,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filters, credentials, and conventional software.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Organizational opacity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 who approved the use, possessed risk information, controlled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resources, or could restrict and stop operation. The first may follow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architecture. The latter two ordinarily follow from deployment design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recordkeeping.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Collapsing all three into a single “black box” allows the least tractable fact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obscure the facts ordinary doctrine can use. A court may be unable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reconstruct why a model ranked one token above another yet able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determine that a provider selected the model; a deployer supplied protected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records and external tools; an interface suppressed uncertainty; a safety team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documented a known failure mode; management rejected a delayed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release; and an operator lacked time or authority to intervene. Intent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knowledge are often inferred from conduct and circumstances,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 defect can sometimes be proved circumstantially, and direct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organizational fault can lie in information systems, supervision, and resource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allocation.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3"/>
      </w:r>
      <w:bookmarkStart w:id="48" w:name="x1-4001f4"/>
      <w:bookmarkEnd w:id="4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Model interpretability is not a condition precedent to responsibility at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level.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Fragmentation makes those accessible facts difficult to attribute. Consider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employer that licenses an applicant platform. The employer may select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job, criteria, candidate pool, weight assigned to a recommendation,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final disposition. A platform vendor may select the ranking model,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training process, default features, update cadence, and bias testing.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systems integrator may configure data fields and workflow triggers.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applicant encounters an employer-branded portal and a rejection, not this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allocation.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Mobley v. Workday, Inc.</w:t>
      </w:r>
      <w:r>
        <w:rPr>
          <w:rFonts w:ascii="Garamond" w:hAnsi="Garamond" w:cs="Garamond" w:eastAsia="Songti SC"/>
          <w:lang w:val="en-US" w:eastAsia="zh-CN"/>
        </w:rPr>
        <w:t xml:space="preserve">, for example, a complaint alleged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employer customers delegated candidate screening to Workday’s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AI-based tools; at the Rule 12 stage, the district court treated the alleged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delegation of a traditional hiring function as sufficient to proceed on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statutory agency theory while leaving the allegations and ultimate liability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unresolved.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9"/>
      </w:r>
      <w:bookmarkStart w:id="52" w:name="x1-4006f5"/>
      <w:bookmarkEnd w:id="52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opinion shows that substantive law may address a divided stack once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vendor and its alleged function are visible. It does not supply every rejected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applicant with the identity, version, configuration, or evaluation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needed to reach that point.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same problem appears when the visible institution itself cannot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inspect the vendor’s method. A public employer may control whether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how a score affects termination while a vendor controls the scoring software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updates. A hospital may select the patient population and integrate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recommendation while a supplier controls model validation and releases.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benefits agency may own the legal decision and appeal path while contractors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the calculation tool and documentation. Control is distributed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function, not transferred wholesale to whichever entity’s logo appears on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screen.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follows legally answerable organizations; it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construct an artificial defendant. Operational autonomy describes how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 produces effects, not an entity with assets, records, capacity for service,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exposure to judgment. The rule begins with a visible organization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follows records and risk-specific authority to enterprises law can reach.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future legislature may create a bounded juridical status, but that separate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project is unnecessary to open the merits process.</w:t>
      </w:r>
    </w:p>
    <w:bookmarkEnd w:id="53"/>
    <w:bookmarkStart w:id="55" w:name="two-coordinates-define-the-gap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54" w:name="x1-5000B"/>
      <w:bookmarkEnd w:id="54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Two Coordinates Define the Gap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Actor identity and record availability are independent coordinates. Treating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 as one generic opacity problem obscures which legal intervention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needed. A claimant may know the relevant operator yet lack its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record. A claimant may possess a transaction or application record yet lack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upstream entity that supplied the operative function. A divided stack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produce both conditions at once. The front door sequences identity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record access so that each condition receives the smallest useful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first configuration is an identifiable integrated operator with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adequate record. Ordinary procedure has a direct target, and the statute’s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principal work occurs ex ante: standardization, retention, and a quick first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answer. The record may establish the active version, relevant policy, warnings,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incident sequence, and stop authority without adding another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defendant. If a filed claim proceeds, ordinary discovery can deepen the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the familiar way.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second configuration is an identifiable operator with a missing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fragmented internal record. The brand and legal entity are visible, but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claimant and sometimes the operator cannot reconstruct which versions,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components, policies, and intervention roles governed the event. This is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 problem. It arises in an integrated consumer service when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engineering, safety, product, trust-and-safety, and executive decisions live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separate systems. It also arises in a public institution that relies on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proprietary score it cannot independently verify. The ex ante duty matters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most here because a post-event subpoena cannot create lineage or approval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the operator never recorded.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third configuration is an identifiable event with an unknown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operative entity. An applicant may have an employer, job, timestamp,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rejection while lacking the product feature that processed the application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supplier responsible for it. A patient may know the hospital encounter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while lacking the vendor and version embedded in a clinical workflow. This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actor-identification problem. A closed first answer resolves provenance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custodian fields before broader access. The visible operator performs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gateway role because it chose to incorporate the system and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preserve the event even if another enterprise holds the relevant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fourth configuration combines the two. The operative feature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 are hidden, and the minimum record was never created or is divided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by contract. A supplier may host data while the customer owns it;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integrator may hold configuration history while the institution holds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decision; a model provider may know version lineage while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 company knows prompts, tools, and user exposure. Asking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claimant to choose a single controller before revealing this map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converts organizational design into a litigation advantage. Treating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participant as a controller creates the opposite error. The front door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 lanes first and terminates the special role of actors outside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two coordinates yield the Article’s sequence: map the event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deployment, preserve the bounded slice, identify control and custody lanes,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remove irrelevant actors, and expand access only along lanes relevant to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unresolved legal theory. That sequence opens the merits without deciding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them.</w:t>
      </w:r>
    </w:p>
    <w:bookmarkEnd w:id="55"/>
    <w:bookmarkStart w:id="105" w:name="X0d45b1bf289ec41abdcdcdd96a97e2c1be6f103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56" w:name="x1-6000C"/>
      <w:bookmarkEnd w:id="56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Ordinary Procedure Opens After Four Predicates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Federal procedure supplies substantial tools after four predicates are present: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filed action, a complaint capable of stating a legal claim, a known party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subpoena recipient, and an existing record within the reach of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target. The deployment front door supplies information needed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establish those predicates; it does not replace the procedure that follows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Pleading law illustrates the sequence. Rule 8 requires a short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plain statement showing entitlement to relief.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Twombly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Iqbal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 factual matter supporting a plausible claim, while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11(b)(3) requires counsel to certify that factual contentions have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evidentiary support or, if specifically identified, will likely have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such support after a reasonable opportunity for investigation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57"/>
      </w:r>
      <w:bookmarkStart w:id="64" w:name="x1-6001f6"/>
      <w:bookmarkEnd w:id="6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accommodation matters: a plaintiff need not possess every internal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email or validation report before filing. But Rule 11 creates neither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 entitlement nor a substitute for Rule 8. Neither rule names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unknown supplier, links a rejection to a product feature, identifies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version that ran, or requires the operator to have recorded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fact.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Discovery becomes powerful once an action and target exist. Rule 26(b)(1)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permits discovery of relevant, proportional, nonprivileged matter. Rule 34 reaches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existing documents and electronically stored information in a party’s possession,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custody, or control. Rule 45 reaches a known nonparty that can be named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served.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65"/>
      </w:r>
      <w:bookmarkStart w:id="69" w:name="x1-6008f7"/>
      <w:bookmarkEnd w:id="69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These mechanisms can test an agency theory, obtain validation evidence,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expose a divided contract. They do not identify the person to whom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subpoena should be directed or create a release approval, configuration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history, or incident record that never existed.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Initial disclosure begins later and serves a narrower function. Rule 26(a)(1)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generally requires the parties to identify witnesses and materials they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 to support their own claims or defenses, along with damages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insurance information. The disclosures ordinarily follow the Rule 26(f)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conference.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70"/>
      </w:r>
      <w:bookmarkStart w:id="73" w:name="x1-6012f8"/>
      <w:bookmarkEnd w:id="73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They are not an adverse-record inventory. An operator that does not expect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 a rejected mitigation, contradictory test, or internal escalation in support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its position has no initial-disclosure obligation to list the item on that basis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alone. The claimant can request it in discovery after the case begins;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front-door problem is how to identify the system, holder, and record category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needed to frame that request.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Court-authorized early discovery provides a real bridge when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claimant already has a unique event identifier and knows the intermediary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holding the identity record.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Strike 3 Holdings, LLC v. Doe</w:t>
      </w:r>
      <w:r>
        <w:rPr>
          <w:rFonts w:ascii="Garamond" w:hAnsi="Garamond" w:cs="Garamond" w:eastAsia="Songti SC"/>
          <w:lang w:val="en-US" w:eastAsia="zh-CN"/>
        </w:rPr>
        <w:t xml:space="preserve">, a rights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holder tied an alleged online infringement to an IP address and sought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early subpoena to the known internet service provider capable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mapping that address to a subscriber. The D.C. Circuit held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 26(d)(1) permits such a route and that Doe pleading can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appropriate when discovery is expected to reveal identity, subject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relevance, proportionality, and a realistic prospect of jurisdiction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success.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74"/>
      </w:r>
      <w:bookmarkStart w:id="78" w:name="x1-6015f9"/>
      <w:bookmarkEnd w:id="7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case identifies the bridge’s predicates as clearly as its power: a viable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substantive claim, a unique incident identifier, and a known intermediary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 an existing identity record. A fragmented deployment may lack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second or third predicate because the applicant sees only a branded portal,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does not retain the feature or run identifier, or the intermediary itself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hidden behind an integrator.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Rule 27 occupies another useful but bounded lane. It permits a person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expecting to become a party to perpetuate testimony that risks being lost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before an action can be filed. The petition must state the facts the petitioner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expects to establish and the substance of the testimony to be preserved.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Courts therefore distinguish perpetuation of known evidence from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investigation designed to learn whether a cause of action exists or whom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sue.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Workman v. United States Postal Service</w:t>
      </w:r>
      <w:r>
        <w:rPr>
          <w:rFonts w:ascii="Garamond" w:hAnsi="Garamond" w:cs="Garamond" w:eastAsia="Songti SC"/>
          <w:lang w:val="en-US" w:eastAsia="zh-CN"/>
        </w:rPr>
        <w:t xml:space="preserve">, the Tenth Circuit affirmed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denial of a petition that sought testimony to determine whether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postal-facility fire supported a claim; lack of the evidence needed to frame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complaint was not the inability to bring an action contemplated by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27.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79"/>
      </w:r>
      <w:bookmarkStart w:id="84" w:name="x1-6019f10"/>
      <w:bookmarkEnd w:id="8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deposition cannot supply an unknown model version or a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that no witness or enterprise created.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Divided control creates a further limit within ordinary discovery. Rule 34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is a legal and organizational inquiry, not a synonym for technical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hosting. The Ninth Circuit has declined to treat cooperative affiliation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when the responding entity lacked a legal right to obtain an affiliate’s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files on demand. The Eleventh Circuit, in a different statutory proceeding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factual record, found control where affiliated entities regularly shared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responsive information and the recipient had the practical ability to obtain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85"/>
      </w:r>
      <w:bookmarkStart w:id="89" w:name="x1-6024f11"/>
      <w:bookmarkEnd w:id="89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Those outcomes properly depend on contract and practice. They also show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why a visible operator should retain the minimum record locally and obtain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contractual right to retrieve defined provenance and event fields from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supplier. Otherwise the vendor may physically host the data while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legally controls it, leaving each able to identify the other as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proper source.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Doe pleading and later amendment preserve some claims but do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 a national limitations safety net. Rule 15(c)(1)(C) requires timely notice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the added party and knowledge that, but for a mistake concerning identity,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action would have been brought against it.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Krupski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treats the prospective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defendant’s knowledge as central and recognizes that confusion over the roles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related, known entities can constitute a mistake. Courts can distinguish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situation from complete ignorance of an upstream actor.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Winzer</w:t>
      </w:r>
      <w:r>
        <w:rPr>
          <w:rFonts w:ascii="Garamond" w:hAnsi="Garamond" w:cs="Garamond" w:eastAsia="Songti SC"/>
          <w:lang w:val="en-US" w:eastAsia="zh-CN"/>
        </w:rPr>
        <w:t xml:space="preserve">,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Fifth Circuit held that substituting named officers for Doe defendants after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limitations expired did not correct a Rule 15 mistake. Rule 15(c)(1)(A)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incorporate a more forgiving state relation-back rule, but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route depends on the law governing limitations and the state’s 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conditions.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90"/>
      </w:r>
      <w:bookmarkStart w:id="96" w:name="x1-6028f12"/>
      <w:bookmarkEnd w:id="9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deployment statute can address the timing problem directly for a claim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creates or expressly governs by tolling the applicable period while a compliant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 request is pending. Amendment and relation back in a later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 remain governed by Rule 15.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State pre-suit proceedings confirm that a narrow identity stage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administrable while revealing the absence of a uniform route.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Illinois Rule 224 authorizes an independent verified action limited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identifying a potentially responsible person or entity and ordinarily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ends the proceeding after identification. Texas Rule 202 permits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verified petition to investigate a potential claim when the likely benefit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outweighs burden or when perpetuation may prevent a failure or delay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justice. New York authorizes disclosure to aid in bringing an action.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California’s perpetuation statute takes the opposite approach: it expressly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excludes discovery to determine whether a claim exists or to identify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parties.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97"/>
      </w:r>
      <w:bookmarkStart w:id="104" w:name="x1-6034f13"/>
      <w:bookmarkEnd w:id="10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These systems provide design elements—verification, a closed purpose,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burden review, a short proceeding, and cost allocation—rather than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existing federal solution.</w:t>
      </w:r>
    </w:p>
    <w:bookmarkEnd w:id="105"/>
    <w:bookmarkStart w:id="126" w:name="Xab8175e220738ba490249d3c1f68399b6f12eb5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06" w:name="x1-7000D"/>
      <w:bookmarkEnd w:id="106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Existing Evidence Rights Need a Deployment Front End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Evidence-access scholarship now reaches both sides of litigation’s filing line.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Stewart’s counterfactual-interrogation right would let a person affected by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known adverse algorithmic decision generate behavioral evidence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filing suit. The organization would supply a bounded interface using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decision-time model version, supported by logging and retention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duties.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07"/>
      </w:r>
      <w:bookmarkStart w:id="110" w:name="x1-7001f14"/>
      <w:bookmarkEnd w:id="110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is the nearest pre-litigation intervention. It begins, however, with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identified adverse decision, an organization capable of furnishing the testing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portal, and a model linked to the decision. The front door constructs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 and routing predicates that a divided deployment may conceal: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whether a covered feature participated, which product and version ran, which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entities supplied and operated it, and who can retrieve the event record. Once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One supplies that map, counterfactual interrogation can operate as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bounded form of Stage Two testing.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Cen, Ismael, and Zheng address the complementary access dispute. They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identify seven recurring asymmetries—models, data, documentation, logs,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expertise, compute, and infrastructure—and describe a Catch-22 in which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requester needs evidence to justify access while the producing party controls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evidence needed to make that showing. Their three-part test compares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benefits and risks of requested access, the minimum access needed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reproduce elements of the cause of action, and functionally equivalent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alternatives.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11"/>
      </w:r>
      <w:bookmarkStart w:id="114" w:name="x1-7004f15"/>
      <w:bookmarkEnd w:id="11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framework helps a court decide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how much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existing evidence an identified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producing party should disclose. Stage One supplies the deployment, event,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custodian, and control map; Stage Two can then use ordinary proportionality,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protective orders, access alternatives, and the Cen framework on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claim-specific record.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Other work specifies adjacent components without supplying this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claimant-facing route. García-Llorente and Olmeda propose a minimum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technical-evidence package for sufficient intelligibility and auditability; procurement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scholarship treats the contract file as a governance record; and organizational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research shows that accountability records can change the conduct they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observe.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15"/>
      </w:r>
      <w:bookmarkStart w:id="121" w:name="x1-7007f16"/>
      <w:bookmarkEnd w:id="12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Those contributions inform what a useful record may contain and how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costs should be controlled. The front door supplies the legal sequence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makes the record reachable by an affected person without treating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procurement contract or technical package as the source of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entitlement.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2026 systematic study of 559 federal opinions likewise finds that courts principally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 preexisting doctrines and that litigated harms reflect the injuries those doctrines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recognize.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22"/>
      </w:r>
      <w:bookmarkStart w:id="125" w:name="x1-7012f17"/>
      <w:bookmarkEnd w:id="12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evidence supports the Article’s ordinary-law premise. The front door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adds a positive-law routing and record-formation layer so existing doctrine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operate on a known deployment.</w:t>
      </w:r>
    </w:p>
    <w:bookmarkEnd w:id="126"/>
    <w:bookmarkStart w:id="141" w:name="the-cascade-specifies-the-missing-record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27" w:name="x1-8000E"/>
      <w:bookmarkEnd w:id="127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Cascade Specifies the Missing Record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deployment-control cascade is a disciplined way to define those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predicates. Adapted from systems-safety analysis, it represents an 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as linked controllers, control actions, process models, feedback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channels, and intervention capacity. Systems-theoretic methods treat loss as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problem that can arise from an absent constraint, unsafe action,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inadequate feedback, or a controller’s mistaken model of the operating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environment.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28"/>
      </w:r>
      <w:bookmarkStart w:id="135" w:name="x1-8001f18"/>
      <w:bookmarkEnd w:id="13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cascade uses that vocabulary only to specify contestable evidence.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Governing law assigns duty, fault, causation, defenses, and remedy.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Four functional levels provide a reusable map for the integrated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divided deployments addressed here: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1.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authority and resources</w:t>
      </w:r>
      <w:r>
        <w:rPr>
          <w:rFonts w:ascii="Garamond" w:hAnsi="Garamond" w:cs="Garamond" w:eastAsia="Songti SC"/>
          <w:lang w:val="en-US" w:eastAsia="zh-CN"/>
        </w:rPr>
        <w:t xml:space="preserve">: the actors who set objectives, risk tolerance,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staffing, compute, data access, and release conditions;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2.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model and component supply</w:t>
      </w:r>
      <w:r>
        <w:rPr>
          <w:rFonts w:ascii="Garamond" w:hAnsi="Garamond" w:cs="Garamond" w:eastAsia="Songti SC"/>
          <w:lang w:val="en-US" w:eastAsia="zh-CN"/>
        </w:rPr>
        <w:t xml:space="preserve">: the actors who develop or select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models, document limits, conduct evaluations, issue updates,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supply interfaces or weights;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3.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deployment and harness operation</w:t>
      </w:r>
      <w:r>
        <w:rPr>
          <w:rFonts w:ascii="Garamond" w:hAnsi="Garamond" w:cs="Garamond" w:eastAsia="Songti SC"/>
          <w:lang w:val="en-US" w:eastAsia="zh-CN"/>
        </w:rPr>
        <w:t xml:space="preserve">: the actors who select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instructions, retrieval, memory, filters, routing, tools, credentials,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eligible users, monitoring, and escalation; and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4.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affected environment</w:t>
      </w:r>
      <w:r>
        <w:rPr>
          <w:rFonts w:ascii="Garamond" w:hAnsi="Garamond" w:cs="Garamond" w:eastAsia="Songti SC"/>
          <w:lang w:val="en-US" w:eastAsia="zh-CN"/>
        </w:rPr>
        <w:t xml:space="preserve">: operators, users,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data subjects, third-party systems, and institutional conditions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supply inputs and experience effects.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These are roles rather than four firms. One enterprise can occupy the first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three levels in an integrated service. An API deployment may divide them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among a model vendor, application developer, enterprise customer,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professional user. A public agency can set the legal objective and use of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score while a contractor supplies and updates the model. The map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prevents a corporate label or contract caption from substituting for actual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function.</w:t>
      </w:r>
    </w:p>
    <w:bookmarkStart w:id="140" w:name="x1-80101"/>
    <w:p>
      <w:pPr>
        <w:jc w:val="center"/>
      </w:pPr>
      <w:bookmarkStart w:id="136" w:name="Xe149883a8d67100c0eced09bad61029d3596ad1"/>
      <w:bookmarkEnd w:id="136"/>
      <w:r>
        <w:rPr>
          <w:rFonts w:ascii="Garamond" w:hAnsi="Garamond" w:cs="Garamond" w:eastAsia="Songti SC"/>
          <w:lang w:val="en-US" w:eastAsia="zh-CN"/>
        </w:rPr>
        <w:drawing>
          <ns1:inline>
            <ns1:extent cx="2667000" cy="2144688"/>
            <ns1:effectExtent b="0" l="0" r="0" t="0"/>
            <ns1:docPr descr="[Picture]" title="" id="138" name="Picture"/>
            <ns2:graphic>
              <ns2:graphicData uri="http://schemas.openxmlformats.org/drawingml/2006/picture">
                <ns3:pic>
                  <ns3:nvPicPr>
                    <ns3:cNvPr descr="what-is-ai-for-courts0x.svg.png" id="139" name="Picture"/>
                    <ns3:cNvPicPr>
                      <ns2:picLocks noChangeArrowheads="1" noChangeAspect="1"/>
                    </ns3:cNvPicPr>
                  </ns3:nvPicPr>
                  <ns3:blipFill>
                    <ns2:blip r:embed="rId137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2667000" cy="2144688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w:drawing>
      </w:r>
    </w:p>
    <w:p>
      <w:pPr>
        <w:pStyle w:val="Imag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Figure 1: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The deployment-control cascade as a record specification. Solid arrows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carry authority, resources, components, and operational actions toward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the affected environment. Dashed arrows carry the feedback required to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update each controller’s understanding. Restriction, rollback, credential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revocation, and shutdown must be recorded where they can be exercised.</w:t>
      </w:r>
    </w:p>
    <w:bookmarkEnd w:id="140"/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At each level, six questions specify the record. What asserted risk was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within scope? Which action could create, expose, detect, or reduce it? What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did the controller understand about the system and environment? Which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feedback could correct that understanding? What practical authority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resources existed at the relevant time? Who could restrict, roll back,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suspend, or terminate operation? Part IV translates those questions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into a minimum control sheet. The answers are factual: governing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decides whether an approval, alert, credential, intervention, or omission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establishes any merits element, and the same record may rebut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mapping yields the front door’s object. Actor-identification asks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enterprise occupied a risk-specific control lane. Deployment-record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 asks for the bounded materials that establish or rebut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proposition and then permit ordinary doctrine to operate. Part II turns those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two functions into a statutory trigger, a first-answer obligation, and a safe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exit.</w:t>
      </w:r>
    </w:p>
    <w:bookmarkEnd w:id="141"/>
    <w:bookmarkEnd w:id="142"/>
    <w:bookmarkStart w:id="206" w:name="the-deployment-frontdoor-rule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II. 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143" w:name="x1-9000II"/>
      <w:bookmarkEnd w:id="143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Deployment Front-Door Rule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attribution gap calls for a limited information rule rather than a new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general law of AI liability. The rule must tell an affected person whom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approach, tell enterprises what record to maintain, and tell courts when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how that record becomes available. It must also provide a prompt exit for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whose connection to the brand or technical stack did not include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practical control over the asserted risk.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Part defines sectoral coverage, the visible-operator gateway, material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control, staged access, protection, remedies, and safe exit. It then supplies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model statutory text and fixes the boundary between the ex ante state-law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duty and federal party discovery.</w:t>
      </w:r>
    </w:p>
    <w:bookmarkStart w:id="149" w:name="sectoral-designation-defines-the-field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44" w:name="x1-10000A"/>
      <w:bookmarkEnd w:id="144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Sectoral Designation Defines the Field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“High impact” should identify a deployment category, not attach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permanently to a model. A general-purpose model can support casual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drafting in one setting and become part of a benefits, hiring, clinical,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physical-control process in another. The deployment supplies the protected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interest, affected population, operating institution, and legally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control. Coverage should follow those features.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proposed statute therefore applies only when a legislature has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specified the protected interests, visible operator, minimum record, retention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material-change rules, claimant threshold, and remedy. It may designate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category directly or authorize a sectoral agency to maintain a bounded list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under express statutory criteria; the legislature retains the choices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determine who must answer and which interests justify compulsory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recordkeeping.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Five features identify the strongest candidates. First, the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affects an interest already protected by substantive law, such as employment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opportunity, access to public benefits, health, credit, housing, education,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physical safety, or the welfare of minors. Second, the system repeatedly mediates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decisions or exposure rather than producing an isolated low-consequence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convenience. Third, affected people predictably observe less about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operative system than the operator and suppliers know. Fourth, the identity,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version, control, and event fields can be standardized at reasonable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cost. Fifth, existing doctrine can adjudicate the dispute once those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facts are available. These criteria select the settings in which a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gateway unlocks an established legal regime rather than inventing a new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Designation also fixes the public-law interface. If a covered operator is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government institution, the legislature should specify the enforcing tribunal,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available relief, applicable exhaustion route, and the treatment of sovereign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official immunity. The front door need not imply a damages action against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government. It can supply an administrative record, declaratory remedy,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reviewable denial, or other access path tailored to the underlying interest.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Defining that route at designation keeps the information right aligned with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sector’s remedial structure.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design avoids an unstable universal definition. Employment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screening, allocation of essential public benefits, clinical diagnosis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treatment, credit, housing, education admissions, physical safety,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relational services offered to minors may justify different records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retention periods. A companion service may require age-access,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relational-behavior, crisis-intervention, and continuity records.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employment tool may require input-feature, validation, selection-rate,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configuration, and version records. A clinical system may require intended-use,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validation-population, uncertainty, escalation, override, and follow-up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records. The shared front-door architecture permits sector-specific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California’s enacted companion-chatbot provisions demonstrate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feasibility of this form. The legislature defined a covered relational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service and its operator, required specified disclosures and self-harm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protocols, imposed protections for known minors and reporting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obligations, supplied a private remedy, and preserved cumulative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45"/>
      </w:r>
      <w:bookmarkStart w:id="148" w:name="x1-10001f19"/>
      <w:bookmarkEnd w:id="14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statute did not need to declare every conversational model high impact.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regulated a deployment category and the enterprise that made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available.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designation should also identify exclusions. Research or internal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evaluation that does not produce a legally or practically consequential effect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an affected person ordinarily falls outside. So does general cloud hosting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without risk-specific configuration or intervention authority. Small entities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receive simplified record forms or regulator assistance where the sector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permits, but the information essential to identify a consequential decision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should not disappear with enterprise size. A covered operator using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open weights still controls a deployment; an upstream author who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has no continuing authority may fall outside the post-release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lane.</w:t>
      </w:r>
    </w:p>
    <w:bookmarkEnd w:id="149"/>
    <w:bookmarkStart w:id="151" w:name="the-visible-operator-answers-firs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50" w:name="x1-11000B"/>
      <w:bookmarkEnd w:id="150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Visible Operator Answers First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rule resolves the service problem by selecting the entity an affected person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ordinarily identify.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visible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the enterprise or 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institution that made the covered deployment available to the affected person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incorporated it into the process that produced the adverse event. It may be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companion-service provider, employer, hospital, lender, benefits agency,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school, or operator of a branded application. Its gateway role follows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visibility and provenance, not a presumption that it controlled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One uses an occurrence threshold rather than a miniature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pleading. A verified notice identifies: (1) an adverse event affecting an interest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by the law specified in the sectoral designation; (2) the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or visible operator through which the event occurred; (3) facts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reasonably connecting the requested identity and event fields to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occurrence; (4) the relevant time, transaction, account, decision,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interaction with as much specificity as reasonably available; (5) the closed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fields sought; and (6) a good-faith intended use of the answer to evaluate,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contest, appeal, or seek relief for the event. A declaration under penalty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perjury supplies the requester’s personal knowledge and marks matters stated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information reasonably available; counsel certifies proper purpose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reasonable inquiry.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threshold demands an event and a bounded connection, but never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fact held exclusively in the deployment record. An applicant need not know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whether a named feature was enabled, whether it generated a score,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whether the score reached the employer, which version ran, or which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 retained the event log. Those are first-answer fields. “An 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harmed me” remains insufficient because it identifies neither a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occurrence nor a closed record. But the operator cannot defeat Stage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by demanding proof that an undisclosed feature participated in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notice invokes a statutory access right that exists outside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 and may be served before a complaint. A designation may also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 delivery in another lawful forum; model Act section 7 supplies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separate boundary after a federal action concerning the event is pending.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Delivery follows the channel named in the designation, invokes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first-answer duty, and is not service of process for a later action. The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receives thirty days, subject to one short documented extension, to answer,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object by field, or state that no covered deployment processed the event.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Silence, a blanket proprietary designation, and referral to an unnamed vendor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are not responses.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If the operator refuses or materially underanswers, the affected person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seek narrow enforcement against that known entity in a lawful forum.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statutory violation is complete upon coverage, a compliant request,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delivery, and nonperformance; enforcement does not depend on pleading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 fact that the first answer exists to reveal. The administering agency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court with independent subject-matter and personal jurisdiction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order the defined answer, and a valid arbitration agreement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select the private enforcement forum. The requester bears the burden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coverage, delivery, and the occurrence threshold. The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bears the burden on a field-specific objection based on facts within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control, including nonoperation, burden, privilege, privacy, security,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documented unavailability. Jurisdiction, immunity, preemption, and a pure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legal bar remain available before access expands beyond the fixed first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gateway then supplies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 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 two components.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receipt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 the application and model versions active for the event; any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output, score, decision, notice, warning, transmission, use, or intervention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recorded for that event; and whether a requested function did not run.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custodian map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 entities that supplied, configured, integrated,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operated material components; the holder and legal controller of each listed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record; and the roles with authority to update, restrict, roll back, suspend,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stop a relevant function. The operator preserves records within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control, identifies the retention schedule and known deletion,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activates each contractual retrieval and preservation path required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answer gives the affected person identity and provenance without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requiring reconstruction of vendor architecture. The operator forwards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 and common event identifier to covered control holders so they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preserve and acknowledge their lanes. Local provenance and a retrieval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right remain conditions of covered deployment even when a supplier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relationship is confidential. Forwarding creates neither statutory coverage,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choice of law, personal jurisdiction, nor service of process; direct duties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attach only within the Act’s valid reach, and other suppliers respond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through the operator’s contract or another independent source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Two begins only after that record exists and only by agreement or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proceeding with an independent basis to order production. It is not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freestanding bill of discovery. The affected person must identify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claim-specific lane and proportionate information tied to the event and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 issue; the next Section determines which covered enterprise, if any,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remains.</w:t>
      </w:r>
    </w:p>
    <w:bookmarkEnd w:id="151"/>
    <w:bookmarkStart w:id="157" w:name="X9e7a45e9943e08544407f510f9a942aad7a0627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52" w:name="x1-12000C"/>
      <w:bookmarkEnd w:id="152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Material Control Requires Risk, Authority, and Information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Materiality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“Ability to affect the system” is too broad. A cloud provider, investor, data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vendor, researcher, model author, and downstream institution may each have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some causal connection to a deployment. Beyond Stage One, the rule should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retain a covered control holder only when three requirements are satisfied 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relevant time.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First,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 specificity</w:t>
      </w:r>
      <w:r>
        <w:rPr>
          <w:rFonts w:ascii="Garamond" w:hAnsi="Garamond" w:cs="Garamond" w:eastAsia="Songti SC"/>
          <w:lang w:val="en-US" w:eastAsia="zh-CN"/>
        </w:rPr>
        <w:t xml:space="preserve">: the asserted control must connect to the risk alleged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the verified notice. General influence over corporate strategy, compute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availability, or model research does not establish control over age access, hiring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rank, clinical escalation, a particular tool permission, or another specified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hazard.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Second,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practical authority</w:t>
      </w:r>
      <w:r>
        <w:rPr>
          <w:rFonts w:ascii="Garamond" w:hAnsi="Garamond" w:cs="Garamond" w:eastAsia="Songti SC"/>
          <w:lang w:val="en-US" w:eastAsia="zh-CN"/>
        </w:rPr>
        <w:t xml:space="preserve">: the enterprise must have possessed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operational or legally enforceable ability to configure, constrain, evaluate,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monitor, update, suspend, roll back, or terminate the relevant function.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theoretical technical capacity, an expired contract right, or influence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required another actor’s voluntary cooperation is evidence but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practical authority by itself. Contractual audit, update, safety-override,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suspension rights matter because they may be usable controls;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contractual label declaring the parties independent does not decide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Third,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materiality</w:t>
      </w:r>
      <w:r>
        <w:rPr>
          <w:rFonts w:ascii="Garamond" w:hAnsi="Garamond" w:cs="Garamond" w:eastAsia="Songti SC"/>
          <w:lang w:val="en-US" w:eastAsia="zh-CN"/>
        </w:rPr>
        <w:t xml:space="preserve">: the Stage One record must support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function formed part of the event path or governed a safeguard, and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information must bear non-de-minimally on an element, defense,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remedy. An incidental contribution or a remote ability affecting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every customer in the same undifferentiated way falls outside.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inquiry asks whether the requested information can materially inform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adjudication. It does not require a showing that exercising the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would have prevented the injury, changed the ultimate decision, or satisfied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causation.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requirements are cumulative. Nonexclusive factors include who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selected the deployment’s purpose and population; chose the 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version; configured instructions, memory, retrieval, data fields,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tools, and credentials; set engagement, ranking, decision, or escalation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thresholds; received evaluations, complaints, and incident signals; could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issue an update or impose a restriction; retained contractual audit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safety-override rights; and could suspend, roll back, or terminate the function.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inquiry is temporal. Authority obtained after the event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 earlier control, although later records may reveal what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Several negative rules keep the test bounded. Investment, ordinary cloud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capacity, publication of research, past employment, trademark association,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model provenance alone do not establish material control. Publishing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open weights may end the original provider’s ability to monitor or stop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 deployment. A downstream modifier that removes safeguards,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adds credentials, or selects a new high-impact purpose can occupy the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 instead. Conversely, a provider that retains mandatory updates, remote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suspension, risk monitoring, or binding deployment conditions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retain a lane despite contract language assigning “all responsibility”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downstream.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Material control determines information obligations, not substantive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liability. An enterprise can possess a control relevant to feasibility yet owe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duty under governing law, or receive an alert that does not constitute legal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 firewall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therefore bars an inference based solely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coverage, notice, compliance, noncompliance, or participation.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Independently relevant operational conduct retains only the effect governing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 gives it.</w:t>
      </w:r>
    </w:p>
    <w:bookmarkStart w:id="156" w:name="adjudicating-material-control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153" w:name="x1-13000i"/>
      <w:bookmarkEnd w:id="153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Adjudicating Material Control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test becomes useful doctrine when each requirement has an evidentiary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 and an allocated burden. After the first answer, the affected person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makes a prima facie showing by identifying a concrete lane connected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asserted risk, showing that the Stage One record supports that the function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formed part of the event path or governed a safeguard, and identifying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information that bears non-de-minimally on a claim-specific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element, defense, or remedy. The showing may point to an employer’s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enabled ranking feature, a provider’s retained update authority,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application’s self-harm threshold, or an integrator’s workflow trigger.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 allocation and record relevance, not breach or causal sufficiency.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 seeking termination then identifies Stage One material showing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the function did not run, no output was generated or transmitted,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asserted authority was unavailable at the relevant time, or the requested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bears no non-de-minimis relation to an element, defense,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remedy. The tribunal decides termination on that closed record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permits a bounded Stage Two inquiry when a genuine factual conflict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remains.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record duty supplies one limited burden consequence. If a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enterprise’s failure to create or retain a required Stage One field produces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ambiguity about its lane, the tribunal resolves that ambiguity against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record-duty holder only for access and termination. The consequence opens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bounded production; it creates no inference of duty, breach, causation,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discriminatory operation, or damages. That allocation prevents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noncompliance from becoming a safe exit while preserving the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firewall.</w:t>
      </w:r>
    </w:p>
    <w:p>
      <w:pPr>
        <w:pStyle w:val="BodyText"/>
        <w:spacing w:before="0" w:after="0" w:line="320" w:lineRule="exact"/>
        <w:ind w:firstLine="360"/>
        <w:jc w:val="both"/>
      </w:pPr>
      <w:bookmarkStart w:id="154" w:name="x1-130011"/>
      <w:bookmarkEnd w:id="154"/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155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rPr>
                <w:cantSplit/>
                <w:tblHeader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Requirement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Evidence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that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supports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lane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Evidence that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supports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termination of the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lane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Risk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specificity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Function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map;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risk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ownership;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feature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requirements;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evaluation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scope;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incident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category;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warnings;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escalation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assignment.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General corporate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influence;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unrelated research;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infrastructure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service without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risk-specific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configuration;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records addressing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 different feature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 hazard.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Practical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authority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Contract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right;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administrative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permission;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release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update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role;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audit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access;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monitoring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feed;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restriction,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rollback,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suspension,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termination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mechanism;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consistent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exercise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practice.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Expired or legally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unavailable right;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access requiring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another actor’s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uncommitted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consent; technical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ability prohibited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and unused;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independent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modification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beyond visibility 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reach.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Information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materiality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Stage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One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evidence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that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function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formed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part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of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event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path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governed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safeguard;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requested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information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bearing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non-de-minimally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element,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defense,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remedy.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Feature inactive for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the event; output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never generated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 transmitted; lane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acquired after the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event; requested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information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unrelated to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the asserted path 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claim-specific issue.</w:t>
                  </w:r>
                </w:p>
              </w:tc>
            </w:tr>
          </w:tbl>
          <w:bookmarkEnd w:id="155"/>
          <w:p/>
        </w:tc>
      </w:tr>
    </w:tbl>
    <w:p>
      <w:pPr>
        <w:pStyle w:val="Imag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Table 1: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Material Control as an Adjudicable Test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Reserved rights count when they were legally available and operationally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usable, not merely written on paper. A right to obtain validation, require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update, audit use, or suspend a feature may qualify even if unused; a generic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right to terminate an entire agreement may be too remote. Conversely, actual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practice—mandatory updates, cross-tenant disabling, monitoring,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control over whether a score is used—may reveal authority that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 label obscures. The applications in Part III test those distinctions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across integrated and divided deployments.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material-control ruling terminates only the special front-door role.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entity never named on an underlying claim returns to ordinary nonparty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status after completing any first-answer duty. A party already facing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independently sufficient cause of action remains subject to that claim even if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lacks the control lane alleged in the notice. This distinction gives safe exit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intended economy without using an information proceeding to decide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 question it was not designed to reach.</w:t>
      </w:r>
    </w:p>
    <w:bookmarkEnd w:id="156"/>
    <w:bookmarkEnd w:id="157"/>
    <w:bookmarkStart w:id="174" w:name="X1207eb8943d5e4b552dc061fe7ef63b2b80a36e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58" w:name="x1-14000D"/>
      <w:bookmarkEnd w:id="158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Creation, Preservation, and Production Are Separate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Duties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depends on three legal functions that begin at different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times.</w:t>
      </w:r>
    </w:p>
    <w:bookmarkStart w:id="165" w:name="record-creation-before-operation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159" w:name="x1-15000i"/>
      <w:bookmarkEnd w:id="159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Record Creation Before Operation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deployment-record duty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arises before a covered deployment affects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public. The visible operator has a nondelegable local duty to identify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system, version, purpose, population, material components, vendors, data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sources, tools, credentials, intended limits, risk owners, release approval,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identifier, and intervention authority. “Nondelegable” here governs only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compliance with the Act’s record, retrieval, and access duties; it creates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underlying duty of care, vicarious liability, or primary-recourse rule.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During operation, the operator records material changes, evaluations,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complaints, incidents, escalations, overrides, restrictions, rollbacks,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termination decisions. A covered control holder maintains the subset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corresponding to its lane. A supplier outside the Act’s direct reach responds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through the predeployment contract or another independent source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divided deployment requires a retrieval architecture as well as a list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vendors. Before use, the visible operator must obtain contractual rights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retrieve the identity, version, configuration, event, and control-allocation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fields assigned to an upstream holder on demand. The agreement identifies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responsive agent, stable deployment and event identifiers, preservation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 duties, lawful routes for producing customer-controlled data,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successor obligations after acquisition, and the treatment of subcontractors.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operator need not warehouse a supplier’s source code or unrelated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data. It keeps a closed local record sufficient to identify what ran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a legally usable path to obtain the defined supplier fields.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requirement builds a usable retrieval right into deployment design.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Where Rule 34 control turns on a legal right to obtain documents 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demand, a covered operator can create that right before deployment instead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litigating it after harm. Where privacy law or a customer agreement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places legal control with the operating institution, the contract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authorize a coordinated response rather than allowing the host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to direct the requester to each other. Operator notice alone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does not create personal jurisdiction over a foreign or out-of-state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60"/>
      </w:r>
      <w:bookmarkStart w:id="164" w:name="x1-15001f20"/>
      <w:bookmarkEnd w:id="16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domestic operator preserves the minimum record locally and conditions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use on a reachable agent and retrieval duty.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designation supplies the detail. A statute need not require indefinite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retention of every prompt or every user’s data. It should define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categories, sampling where appropriate, privacy minimization, and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retention period calibrated to the protected interest and ordinary limitations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period. High-impact decisions affecting employment or benefits may require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inputs, output, version, governing policy, notice, and review event for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each affected person while permitting aggregation or deletion of unrelated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interaction content. Relational deployments involving minors may require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crisis detections and interventions while minimizing intimate content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unrelated to the asserted event.</w:t>
      </w:r>
    </w:p>
    <w:bookmarkEnd w:id="165"/>
    <w:bookmarkStart w:id="167" w:name="preservation-after-a-defined-trigger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166" w:name="x1-16000ii"/>
      <w:bookmarkEnd w:id="166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Preservation After a Defined Trigger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Retention and litigation preservation are related but distinct. The statute fixes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baseline period before any dispute. A verified front-door notice, regulator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demand, filed claim, or other event making a dispute reasonably foreseeable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suspends ordinary deletion for the risk-specific record. The operator must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issue a hold to relevant custodians and notify identified control holders.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 should not freeze every model and customer record. Its scope follows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event, versions, period, user or decision, control lanes, and asserted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statutory trigger creates a stable bridge to existing preservation law.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also protects defendants: a dated notice and documented hold define what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had to be preserved and when. The record can show that a missing item was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outside scope, deleted before any duty attached, or available from another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source.</w:t>
      </w:r>
    </w:p>
    <w:bookmarkEnd w:id="167"/>
    <w:bookmarkStart w:id="173" w:name="staged-production-after-the-threshold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iii.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168" w:name="x1-17000iii"/>
      <w:bookmarkEnd w:id="168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Staged Production After the Threshold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Production proceeds in stages. Stage One is the first answer described above: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 and active versions; event-specific run, output, notice,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intervention fields; suppliers, custodians, and legal controllers; listed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operational and stopping authority; and preservation, deletion, and retrieval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status. Its purpose is to identify the deployment and test the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Two is not an independent production action. By agreement or in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pending proceeding with authority over the record, it follows only when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affected person uses Stage One to make a prima facie showing of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claim-specific control lane, information materiality, and proportional need.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include evaluations and validation; incident trends; configuration history;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approvals; rejected or conditional mitigations; escalation and response;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records needed to test an alternative or defense. Time, version, population,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feature, and risk bound the request.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Source code, model weights, unrestricted training data, security-sensitive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controls, and unrelated users’ content occupy a final tier. A court should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order them only when the requesting party shows that a material issue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cannot reasonably be tested through less intrusive evidence such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versioned documentation, validation results, representative testing,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counterfactual interrogation, interrogatories, an expert protocol, or in camera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review.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69"/>
      </w:r>
      <w:bookmarkStart w:id="172" w:name="x1-17001f21"/>
      <w:bookmarkEnd w:id="172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distinction protects legitimate secrecy without converting a trade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secret into a barrier to the legal process that governs its consequential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use.</w:t>
      </w:r>
    </w:p>
    <w:bookmarkEnd w:id="173"/>
    <w:bookmarkEnd w:id="174"/>
    <w:bookmarkStart w:id="180" w:name="protection-remedies-and-safe-exi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75" w:name="x1-18000E"/>
      <w:bookmarkEnd w:id="175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Protection, Remedies, and Safe Exit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Confidentiality is part of both stages. Every disclosure remains limited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nonprivileged matter and may use redaction, pseudonymization, data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minimization, limited access, secure expert review, in camera review, and protective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orders.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76"/>
      </w:r>
      <w:bookmarkStart w:id="179" w:name="x1-18001f22"/>
      <w:bookmarkEnd w:id="179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protected record must still be identified by custodian, date, version,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asserted basis for withholding; a privilege log separates lawful protection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unreviewable proprietary claim.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statute should specify graduated consequences.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1.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Late or incomplete identification</w:t>
      </w:r>
      <w:r>
        <w:rPr>
          <w:rFonts w:ascii="Garamond" w:hAnsi="Garamond" w:cs="Garamond" w:eastAsia="Songti SC"/>
          <w:lang w:val="en-US" w:eastAsia="zh-CN"/>
        </w:rPr>
        <w:t xml:space="preserve">: an order enforcing the statutory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 answer and reasonable expenses caused by noncompliance. For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claim created or governed by the same enactment, the limitations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period is suspended from service of a compliant request until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fixed period after compliance or final denial. Other state and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claims retain their own limitations and tolling law.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2.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Failure to create or retain the minimum record</w:t>
      </w:r>
      <w:r>
        <w:rPr>
          <w:rFonts w:ascii="Garamond" w:hAnsi="Garamond" w:cs="Garamond" w:eastAsia="Songti SC"/>
          <w:lang w:val="en-US" w:eastAsia="zh-CN"/>
        </w:rPr>
        <w:t xml:space="preserve">: the administrative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penalty, corrective record order, compliance monitoring,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statutory-access remedy specified by the sectoral enactment.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consequence addresses the independent deployment obligation;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does not become a prescribed inference on the underlying injury.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3.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Loss after a preservation trigger</w:t>
      </w:r>
      <w:r>
        <w:rPr>
          <w:rFonts w:ascii="Garamond" w:hAnsi="Garamond" w:cs="Garamond" w:eastAsia="Songti SC"/>
          <w:lang w:val="en-US" w:eastAsia="zh-CN"/>
        </w:rPr>
        <w:t xml:space="preserve">: an order to identify the loss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available substitute sources, followed by measures under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governing forum’s preservation law. For electronically stored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that should have been preserved in anticipation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conduct of federal litigation and cannot be restored or replaced,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 37(e) supplies the federal standard. The state statute should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 prescribe a competing litigation sanction for the same loss.</w:t>
      </w:r>
    </w:p>
    <w:p>
      <w:pPr>
        <w:pStyle w:val="DefinitionTerm"/>
        <w:spacing w:before="0" w:after="0" w:line="320" w:lineRule="exact"/>
        <w:ind w:firstLine="0" w:left="360"/>
        <w:jc w:val="left"/>
      </w:pPr>
      <w:r>
        <w:rPr>
          <w:rFonts w:ascii="Garamond" w:hAnsi="Garamond" w:cs="Garamond" w:eastAsia="Songti SC"/>
          <w:lang w:val="en-US" w:eastAsia="zh-CN"/>
        </w:rPr>
        <w:t xml:space="preserve">4.</w:t>
      </w:r>
    </w:p>
    <w:p>
      <w:pPr>
        <w:pStyle w:val="Definition"/>
        <w:spacing w:before="0" w:after="0" w:line="320" w:lineRule="exact"/>
        <w:ind w:firstLine="0" w:left="72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Intentional concealment or falsification</w:t>
      </w:r>
      <w:r>
        <w:rPr>
          <w:rFonts w:ascii="Garamond" w:hAnsi="Garamond" w:cs="Garamond" w:eastAsia="Songti SC"/>
          <w:lang w:val="en-US" w:eastAsia="zh-CN"/>
        </w:rPr>
        <w:t xml:space="preserve">: specified civil penalties,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enforcement expenses, and remedies for the independent access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violation. Litigation misconduct remains subject to the tribunal’s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governing authority.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Safe exit is the reciprocal limit. After Stage One, an enterprise may move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terminate its front-door role by showing that it lacked material control over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asserted risk during the relevant period. The claimant may use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first-answer record to contest that showing. An entity not otherwise sued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returns to ordinary nonparty status. A party remains only when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independently sufficient claim, a valid subpoena, or regulatory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a basis for continued participation. The gateway obligation therefore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ends at the point where the control record shows that another lane or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AI-specific lane is relevant.</w:t>
      </w:r>
    </w:p>
    <w:bookmarkEnd w:id="180"/>
    <w:bookmarkStart w:id="182" w:name="model-statutory-tex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F.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81" w:name="x1-19000F"/>
      <w:bookmarkEnd w:id="181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Model Statutory Text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following text consolidates the rule as a default model. A sectoral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enactment would identify the covered field, retention clock, administering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authority, and ordinary civil-penalty ceiling while preserving the sequence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 firewall.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1. Designated Deployment and Covered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Holders.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Act applies only to an AI deployment category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designated by the enacting legislature or by a sectoral agency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under express and bounded statutory criteria. The designation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shall identify the covered function, protected interests, visible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operator, affected persons, minimum record, retention period,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material-change threshold, administering authority,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route, and civil-penalty ceiling.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control holder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a 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private organization to which this State’s law validly applies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operates, provides, or continuously supports the identified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deployment, or that has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contractually assumed the response duties defined here.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designation, the legislature or authorized agency shall publish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federal-overlap determination identifying applicable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actors, statutes, regulations, exclusive enforcement provisions,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express or conflict-preemption issues, excluded actors and fields,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relation between remedies, and the claims to which state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tolling may lawfully apply.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2. Deployment Record and Retrieval Architecture.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Before making a covered deployment available or incorporating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into an affected process, the visible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shall create and maintain a local record identifying the system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versions; purpose and affected population; material model, data,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retrieval, tool, and credential components; deployment and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identifiers; suppliers and integrators; risk and release owners;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evaluation and approval; material limitations and unresolved risk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decisions; incident and escalation channels; and authority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update, restrict, roll back, suspend, or terminate. Each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holder shall maintain the corresponding portion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provide current provenance and a response contact. The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shall obtain a contractual right to retrieve the defined supplier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fields, require preservation and response, and carry those duties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through subcontracting, acquisition, and service termination.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These operator duties are nondelegable solely as to compliance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 this Act’s record, retrieval, and access requirements; they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 no underlying nondelegable duty of care, vicarious liability,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primary-recourse rule. The designation supplies the retention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period and material-change rule.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3. Stage One Notice; No Condition Precedent.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affected person may deliver to the visible operator’s designated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agent a sworn declaration or declaration under penalty of perjury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identifying: (a) an adverse event affecting an interest protected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law named in the designation; (b) the covered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visible operator through which the event occurred; (c) facts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reasonably connecting the requested identity and event fields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occurrence; (d) the event, transaction, account, application,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decision, or period with as much specificity as reasonably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available; (e) the closed fields sought; and (f) a good-faith intended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 of the answer to evaluate, contest, appeal, or seek relief for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event. Stage One does not require a fact held exclusively in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record. Counsel, if any, shall certify to the operator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proper purpose and reasonable inquiry. Delivery invokes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first-answer duty but is not service of process for an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action. Invocation or exhaustion of Stage One is not a condition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precedent to commencing or maintaining any action other than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action to enforce the duties created by this Act. Failure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invoke Stage One, or an incomplete first answer, creates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pleading requirement, ground for dismissal, stay, or defense as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any other claim.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4. First Answer and Preservation.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Within thirty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days after delivery, the operator shall provide an event receipt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custodian map. The receipt identifies the application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model versions active for the event; any requested output, score,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decision, notice, warning, transmission, use, or intervention;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whether a named function did not run. The map identifies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each entity that supplied, configured, integrated, or operated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material component; the custodian and legal controller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each field; and each entity with update, restriction, rollback,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suspension, or termination authority. The operator shall preserve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 risk-specific record, identify known deletion or unavailability,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activate its contractual retrieval and preservation rights,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promptly forward the notice and common event identifier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each identified covered control holder. Each such holder shall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preserve and acknowledge its assigned lane and may respond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within that lane. For any other supplier, the operator shall satisfy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retrieval obligation through Section 2’s contract and local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record. Operator notice alone creates neither statutory coverage,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choice of law, service, personal jurisdiction, nor consent.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extension of fifteen days may be obtained for a stated technical,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privacy, or security need. Section 7’s protections apply to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disclosure under this Section.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5. Material Control.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covered control holder remains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Two only upon a prima facie showing that, at the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time: (a) its function was specifically connected to the asserted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risk; (b) it possessed practical authority through configuration,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constraint, evaluation, monitoring, update, restriction, rollback,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suspension, termination, or a legally enforceable equivalent;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(c) the Stage One record supports that the function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formed part of the event path or governed a safeguard, and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information bears non-de-minimally on an element,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defense, or remedy. This Section requires no showing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exercising the authority would have prevented the injury, changed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decision, or satisfied causation. Investment, general cloud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service, publication, research, brand association, provenance,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theoretical technical capacity alone is insufficient. Any 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 is reached only through Section 2’s contract, ordinary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subpoena authority, or another independent source of law.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6. Objection, Burdens, and Enforcement.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or a responding covered control holder may object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 and shall state facts supporting noncoverage, nonoperation,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burden, privilege, privacy, security, or documented unavailability.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proprietary label or referral to an unnamed supplier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insufficient. A timely, specific objection stays disclosure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only the contested field pending prompt neutral review;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uncontested field remains due. An affected person may seek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expedited enforcement in a court of competent jurisdiction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another lawful forum. The requester bears the burden 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coverage, delivery, and the Stage One occurrence threshold.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objecting operator or covered control holder bears the burden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a field-specific objection based on facts within its control.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After the first answer, the requester identifies a prima facie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lane; a covered control holder seeking termination identifies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One record defeating risk specificity, practical authority,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information materiality. An ambiguity caused by that holder’s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violation of Section 2 is resolved against it only for access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termination and creates no merits inference.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7. Stage Two, Federal-Court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Boundary, and Protection.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Further nonprivileged production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be obtained by agreement or ordered only in a pending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action, arbitration, or administrative review with an independent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basis to exercise authority over the producing person and record.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Two creates no freestanding bill of discovery. Production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requires that the producing holder remain under Section 5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the requested production be necessary and proportionate.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shall be limited by time, version, affected population, feature,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asserted risk. Source code, weights, sensitive data, raw content,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expressive deliberation, and security controls require written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findings that less intrusive evidence cannot reasonably resolve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 issue.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protections in this Section apply to every disclosure under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Sections 4 and 7. The owner of contested protected material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any materially affected third party shall receive notice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opportunity for prompt neutral review before disclosure.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tribunal shall protect privilege, privacy, trade secrets, research,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association, expression,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security through minimization, redaction, pseudonymization,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limited access, secure expert review, in camera review, or another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lawful safeguard.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 an action pending in a court of the United States, the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Rules of Civil Procedure govern all Stage Two production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protection. After an action concerning the adverse event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pending in such a court, and except for relief on a first-answer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violation completed before that action was commenced, no party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invoke Stage One to obtain fields from another party in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action. As to fields first sought from another party after the action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pending, the first-answer duty is satisfied through, and limited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by, the Federal Rules of Civil Procedure. This Act creates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entitlement to production from a party beyond the scope of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26(b)(1), advances no discovery before Rule 26(d), and enlarges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 production or subpoena authority under Rules 34 or 45.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duties to create, retain, and preserve the record under Sections 2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4 apply without regard to whether an action is pending.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8. Merits Firewall and Termination.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Coverage,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notice, compliance, noncompliance, and participation create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inference or presumption of duty, breach, defect, discriminatory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operation, agency, causation, damages, or joint liability solely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virtue of this Act. Governing law supplies every element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defense and determines the independent relevance, if any,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operational conduct. A covered control holder that completes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applicable Section 4 duties and defeats a Section 5 requirement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terminates its front-door role. An entity not otherwise subject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an independently sufficient claim resumes nonparty status.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valid subpoena, regulatory authority, or another source of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require continued participation on its own terms.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9. Remedies and Limitations.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lawful forum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issue an expedited compliance order and award reasonable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actual expenses caused by an incomplete, late, or evasive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answer. The administering authority may order creation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correction of the minimum record, compliance monitoring,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civil penalty calibrated to duration, affected persons,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scope, and culpability up to the ceiling fixed in the sectoral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designation. Knowing falsification, concealment, or repeated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violation permits recovery of enforcement expenses and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enhanced penalty up to twice that ceiling. Bare nonperformance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creates no private statutory damages; Section 8 governs its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effect, and this Act creates no damages for the underlying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adverse event. Measures for lost electronically stored information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federal litigation remain governed by Federal Rule of Civil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Procedure 37(e). Only a claim created or expressly governed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Act is tolled from delivery of a compliant request until sixty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days after compliance or final denial.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10. Nonwaiver, Forum, Standing, and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Procedure.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duties to create, retain, and provide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minimum record are nonwaivable as to affected persons, arise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from a covered deployment, and exist whether a dispute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litigated, arbitrated, or never filed. Except as an element of a claim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enforce the first-answer duty itself, invocation or exhaustion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Stage One is not a condition precedent to commencing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maintaining any civil action or arbitration. Failure to invoke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One, or an incomplete first answer, creates no pleading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requirement, ground for dismissal, stay, or defense as to any 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valid arbitration agreement may select the private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forum under the Federal Arbitration Act; the first-answer clock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continues independently, and completion of Stage One is not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condition precedent to commencing or continuing arbitration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except as an element of a claim to enforce the first-answer duty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itself. An agreement to which the administering authority is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party does not restrict public enforcement brought in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authority’s own name.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claim to enforce a first-answer violation completed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federal action was commenced seeks the compliance relief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specified in Section 9. In federal court, the Federal Rules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 commencement, pleading, service, provisional relief,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adjudication, and judgment. Section 7 governs any fields first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sought from another party after a federal action concerning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adverse event is pending.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Nothing in this Act creates Article III standing, personal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jurisdiction, or subject-matter jurisdiction; overrides immunity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privilege; binds a nonsignatory to arbitration; or alters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rules governing pleading, service, joinder, discovery, amendment,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protective orders, injunctions, and sanctions. Courts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arbitrators administer the duties created here; they do not derive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 from ordinary discovery authority.</w:t>
      </w:r>
    </w:p>
    <w:p>
      <w:pPr>
        <w:pStyle w:val="BlockText"/>
        <w:spacing w:before="80" w:after="80" w:line="320" w:lineRule="exact"/>
        <w:ind w:firstLine="0" w:left="360" w:right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Section 11. Territorial Reach, Federal Supremacy,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Severability.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upstream enterprise has a direct duty only when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purposefully supplied, configured, operated, or continuously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supported the identified deployment for covered use in this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State, or another lawful basis for legislative authority exists,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 of this State’s law satisfies territorial and choice-of-law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rules. Coercive relief additionally requires valid service and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 basis for personal jurisdiction. Appointment of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operator’s response agent authorizes delivery under Section 3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only and creates no consent to general jurisdiction. This Act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imposes no requirement to the extent federal law preempts it,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requires no disclosure prohibited by federal privacy, security,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communications, or confidentiality law, creates no claim solely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enforce a federal duty reserved to the United States, and does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 regulate the United States absent congressional authorization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an applicable waiver. A tribunal shall sever a preempted actor,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field, remedy, or application when the remaining designation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operate consistently with the legislature’s stated purpose.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regulated acts are operating without the required record and refusing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resulting access right, not unsafe operation in the abstract. The model text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makes that allocation enforceable while leaving the merits where governing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 placed them.</w:t>
      </w:r>
    </w:p>
    <w:bookmarkEnd w:id="182"/>
    <w:bookmarkStart w:id="205" w:name="X9f368c707862d4e4fce8f56b15ef2e649f28023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G.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183" w:name="x1-20000G"/>
      <w:bookmarkEnd w:id="18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Front Door Ends Where Federal Discovery Begins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door’s most durable contribution precedes any access dispute.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Rule tells an enterprise what version, approval, evaluation, escalation,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intervention, event, or retrieval record it must create while operating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deployment. Rule 34 permits requests for designated existing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materials within a party’s possession, custody, or control; it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 the enterprise to create the record in the first place. Thus, even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if a federal court declined to enforce a first-answer demand against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another party after litigation began, the ex ante duty would still have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performed the Article’s indispensable work. The deployment would remain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identifiable, its event and control record would exist, and ordinary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 could reach that record subject to the Rules’ own limits.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Erie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therefore governs the access channel in a bounded set of federal cases.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does not determine whether a covered deployment must remain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observable.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Berk v. Choy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makes the correct axis explicit: scope, not characterization.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Court reversed the dismissal of a diversity medical-negligence action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lacked the affidavit of merit required by Delaware law. An eight-Justice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majority held that Rule 8 answered whether the action could be dismissed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because the plaintiff had not supplied merits evidence at the outset; Justice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Jackson concurred only in the judgment, locating the conflicts in Rules 3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12 instead. The opinions disagreed over the precise Federal Rule, but each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treated the “question in dispute” as decisive. Once a valid Federal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answers that question, contrary state law gives way even if substantive under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Erie</w:t>
      </w:r>
      <w:r>
        <w:rPr>
          <w:rFonts w:ascii="Garamond" w:hAnsi="Garamond" w:cs="Garamond" w:eastAsia="Songti SC"/>
          <w:lang w:val="en-US" w:eastAsia="zh-CN"/>
        </w:rPr>
        <w:t xml:space="preserve">; at the Rules Enabling Act step, the displaced law’s substantive purpose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makes no difference. Stage One’s substantive character is therefore insufficient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by itself. Its stronger defense is noncollision: a fixed, transaction-linked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operating and access duty asks a question the Federal Rules do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84"/>
      </w:r>
      <w:bookmarkStart w:id="186" w:name="x1-20001f23"/>
      <w:bookmarkEnd w:id="186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distinction is structural. Delaware required a plaintiff to submit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evidence to a court to commence or maintain a lawsuit. The front door adds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nothing to a complaint, changes no dismissal standard, and creates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prerequisite to another claim. It asks what an operator must record during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covered operation and what fixed receipt it owes after a compliant request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concerning a covered event, whether the recipient later sues, arbitrates,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appeals, seeks correction, or brings no proceeding. Model Act sections 3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10 make that line operative.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discovery Rules answer later questions. Rules 26, 34, and 45 govern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timing, scope, and targets of party and nonparty discovery; Rule 37(e)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governs covered loss of electronically stored information. Those Rules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presuppose an action, a discovery relation, and an identifiable target or record.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 27, the closest pre-action candidate, authorizes perpetuation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identified testimony rather than investigation to determine whether a claim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exists. None tells an enterprise what record to create during operation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what transaction-linked receipt it owes a person who may never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litigate.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87"/>
      </w:r>
      <w:bookmarkStart w:id="189" w:name="x1-20003f24"/>
      <w:bookmarkEnd w:id="189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Existing access laws illustrate the institutional form without resolving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Erie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question. The FCRA requires disclosure of a bounded consumer file;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Florida requires pre-suit insurance information; California requires access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personnel records but suspends that route during related litigation.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American Bank v. City of Menasha</w:t>
      </w:r>
      <w:r>
        <w:rPr>
          <w:rFonts w:ascii="Garamond" w:hAnsi="Garamond" w:cs="Garamond" w:eastAsia="Songti SC"/>
          <w:lang w:val="en-US" w:eastAsia="zh-CN"/>
        </w:rPr>
        <w:t xml:space="preserve">, the Seventh Circuit likewise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held that a public-records request did not become discovery solely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because the requester sought material for litigation, while warning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substance controls if a State disguises discovery as inspection.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follows that warning only if its fields are fixed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dispute, its duty operates outside litigation, and claim-specific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relevance and proportionality remain outside Stage One. The state pre-suit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proceedings surveyed in Section </w:t>
      </w:r>
      <w:hyperlink w:anchor="X0d45b1bf289ec41abdcdcdd96a97e2c1be6f103">
        <w:r>
          <w:rPr>
            <w:rStyle w:val="Hyperlink"/>
            <w:rFonts w:ascii="Garamond" w:hAnsi="Garamond" w:cs="Garamond" w:eastAsia="Songti SC"/>
            <w:lang w:val="en-US" w:eastAsia="zh-CN"/>
          </w:rPr>
          <w:t xml:space="preserve">I.C</w:t>
        </w:r>
      </w:hyperlink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demonstrate administrability, but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court-authorized discovery they do not supply this proposal’s federal-law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form.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90"/>
      </w:r>
      <w:bookmarkStart w:id="192" w:name="x1-20005f25"/>
      <w:bookmarkEnd w:id="192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Berk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itself supplies the affirmative model. In distinguishing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Cohen v.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Beneficial Industrial Loan Corp.</w:t>
      </w:r>
      <w:r>
        <w:rPr>
          <w:rFonts w:ascii="Garamond" w:hAnsi="Garamond" w:cs="Garamond" w:eastAsia="Songti SC"/>
          <w:lang w:val="en-US" w:eastAsia="zh-CN"/>
        </w:rPr>
        <w:t xml:space="preserve">, the Court explained that there was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conflict because state law created a liability while Rule 23 governed disclosure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the court and notice to interested parties. The front door belongs on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side of the line when drafted as the model text provides. Coverage,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compliant notice, delivery, and nonperformance complete a state-law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violation. An enforcement action seeks the prescribed event receipt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custodian map as relief on that claim; it does not ask the court to compel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evidence for proving a different claim. Rule 8 governs the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complaint, Rule 12 governs dismissal, Rule 65 and ordinary remedial rules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 interim relief, and the remaining Federal Rules govern adjudication.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 law supplies the duty and remedy; federal law supplies the litigation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machinery.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93"/>
      </w:r>
      <w:bookmarkStart w:id="195" w:name="x1-20007f26"/>
      <w:bookmarkEnd w:id="195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Calling production “relief” is not sufficient by itself. Two objective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features separate the front door from a free-standing bill of discovery. First,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designation fixes the Stage One universe before the event. Two affected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persons presenting different liability theories receive the same identity,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version, event, custodian, and control fields for the same kind of event,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although either may request fewer fields. Second, the duty performs the same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work when no merits suit follows. A field whose scope changes with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pleaded element, defense, relevance argument, or proportionality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showing is not a Stage One field; it belongs to Stage Two or ordinary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discovery. Fixed content and litigation-independent operation are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therefore elements of the rule’s boundary, not labels assigned during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model Act withdraws where a Federal Rule answers the question.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Once an action concerning the event is pending in federal court, Stage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cannot become an additional route around Rules 26(d), 26(b)(1), or 34; fields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 sought from another party proceed under the Rules. A completed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prefiling refusal remains an accrued access claim if jurisdiction and Article III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permit. Thus an applicant who requested and was denied the fixed receipt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before filing may seek that statutory relief, while one who files first uses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discovery against the record that model Act section 2 already required.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Sections 7 and 10 state the boundary rather than leaving it to a savings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clause.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retrieval architecture likewise complements Rule 34. Model Act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section 2 creates a contractual right to retrieve supplier fields but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declare that right to be Rule 34 control. A legal-right circuit may treat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clause as supplying a right to obtain documents; a practical-ability circuit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consider the clause, response mechanism, and course of dealing. The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court independently decides possession, custody, or control. State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 law creates the entitlement; Rule 34 determines its procedural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consequence.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96"/>
      </w:r>
      <w:bookmarkStart w:id="198" w:name="x1-20009f27"/>
      <w:bookmarkEnd w:id="198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forum boundary follows. The principal adopting institution is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 legislature, and the ordinary enforcement forum is the one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sectoral designation supplies under state law. In compliant cases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tribunal is involved: the operator delivers the receipt, and any later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merits action proceeds under ordinary discovery. A federal court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encounters the state access claim only through diversity, supplemental,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another independent jurisdictional basis; Congress can adopt the same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architecture for a federal cause of action, in which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Erie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arise. The state statute creates neither subject-matter jurisdiction nor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personal jurisdiction. Article III independently requires a concrete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injury. A federal plaintiff should allege that denial impaired a specified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use—identification, correction, contest, appeal, or pursuit of relief—or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caused reasonable actual expense. State courts apply their own standing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199"/>
      </w:r>
      <w:bookmarkStart w:id="201" w:name="x1-20011f28"/>
      <w:bookmarkEnd w:id="201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Record preservation and limitations follow the same allocation. State law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prescribe baseline creation and retention as conditions of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 and may extend the defined retention period after a qualifying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notice. If electronically stored information is lost in anticipation or conduct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federal litigation, Rule 37(e) supplies the federal litigation measures;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 statute prescribes no competing adverse inference or case-management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sanction. A State may toll a limitations period for a claim the Act creates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expressly governs while the operator answers.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Walker v. Armco Steel Corp.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remains the relevant scope precedent: Rule 3 did not answer when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 limitations law was satisfied, so the state rule applied. Rule 15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continues to govern amendment and relation back in a later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02"/>
      </w:r>
      <w:bookmarkStart w:id="204" w:name="x1-20013f29"/>
      <w:bookmarkEnd w:id="204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allocation does not depend on how lower courts extend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Berk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other state gatekeeping devices or on a federal court accepting parallel access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against another party after litigation begins. The rule is narrower: a State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 a covered deployment to remain observable and a fixed receipt to issue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outside federal party discovery; once that discovery governs the same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request, the Federal Rules supply the exclusive channel. The front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door creates the record and first object. It ends where federal discovery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begins.</w:t>
      </w:r>
    </w:p>
    <w:bookmarkEnd w:id="205"/>
    <w:bookmarkEnd w:id="206"/>
    <w:bookmarkStart w:id="290" w:name="the-rule-in-operation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III. 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207" w:name="x1-21000III"/>
      <w:bookmarkEnd w:id="207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Rule in Operation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No single fact pattern displays both front-door functions equally well.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Garcia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the record-production application: the operator is visible, but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record is not.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Mobley v. Workday, Inc.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the divided-stack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application: identity, possession, legal control, and technical control occupy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different entities. The cited orders are used only for the procedural posture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record-allocation problems they document, not to predict any later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result.</w:t>
      </w:r>
    </w:p>
    <w:bookmarkStart w:id="246" w:name="an-integrated-deployment-garcia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08" w:name="x1-22000A"/>
      <w:bookmarkEnd w:id="208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An Integrated Deployment: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Garcia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Garcia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begins where the rule is easiest to serve. Character Technologies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operated the visible consumer application. The complaint identified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company, its founders, and Google entities and described months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interaction through a known service. The difficult questions concerned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behind the interface: which versions and policies governed, how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features were allocated among the application and its components,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what relational and self-harm risks were evaluated, what warnings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interventions appeared, and which actors could change access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published decision supplies a careful procedural anchor. Taking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well-pleaded allegations as true for Rule 12 purposes, the district court treated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Character.AI as plausibly alleged to be a product and allowed central product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negligence theories to proceed. It declined on that record to treat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generated sequence as protected speech where defendants had not identified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relevant expressive choice or speaker. The order made no finding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defect, causation, or liability, and the later settlement supplied no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determination.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09"/>
      </w:r>
      <w:bookmarkStart w:id="214" w:name="x1-22001f30"/>
      <w:bookmarkEnd w:id="214"/>
    </w:p>
    <w:bookmarkStart w:id="220" w:name="trigger-and-first-answer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15" w:name="x1-23000i"/>
      <w:bookmarkEnd w:id="215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Trigger and First Answer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alleged event and pleaded facts illustrate a notice that, if verified,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would satisfy the threshold for a relational deployment that a sectoral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 could cover. The complaint identified legally cognizable injuries,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including wrongful death, and linked them to sustained interaction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 the service. It challenged concrete features: access by a minor,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anthropomorphic presentation, continuity and memory, relational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engagement, warnings, and asserted omissions in safety intervention.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requested records would bear on recognized negligence, products, warning,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consumer theories rather than a freestanding claim to inspect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chatbot.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Character Technologies would receive the front-door notice as visible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operator. Stage One would identify the application and model versions active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 Sewell’s account; whether the requested covered functions ran;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warnings, detections, blocks, escalations, and interventions recorded for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event; the entities that supplied or configured relevant components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the custodians and legal controllers of the listed records; and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roles with update, restriction, rollback, suspension, or termination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complaint’s allegations concerning the founders and Google demonstrate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why identification should remain functional. It alleged personal direction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founders and technical, financial, and organizational contributions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Google.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16"/>
      </w:r>
      <w:bookmarkStart w:id="219" w:name="x1-23001f31"/>
      <w:bookmarkEnd w:id="219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Position, investment, former employment, or infrastructure supply alone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would not establish material control. The first answer would identify whether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any enterprise retained a risk-specific right over the model, application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configuration, evaluation, release condition, update, or stopping decision.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record tests the control lane without presuming it from corporate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association.</w:t>
      </w:r>
    </w:p>
    <w:bookmarkEnd w:id="220"/>
    <w:bookmarkStart w:id="236" w:name="Xa958b2ed7598d0c8bea7002ef2df7ec3c0029f6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21" w:name="x1-24000ii"/>
      <w:bookmarkEnd w:id="221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Relational Features Define the Risk-Specific Record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production request can be narrower because relational research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 provider-governed variables. Studies of companion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discontinuity and user reports connect continuity, relationship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framing, dependence, and recurring interaction patterns to experienced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harms.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22"/>
      </w:r>
      <w:bookmarkStart w:id="229" w:name="x1-24001f32"/>
      <w:bookmarkEnd w:id="229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preregistered four-week study likewise found increased separation distress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dependency-risk profiles under specified relationship-seeking and repeated-exposure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conditions.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30"/>
      </w:r>
      <w:bookmarkStart w:id="233" w:name="x1-24007f33"/>
      <w:bookmarkEnd w:id="233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legal contribution lies in the variables rather than a universal effect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estimate. Relationship seeking, continuity, memory, dose, age, crisis signal,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provider intervention are features an operator can evaluate and govern.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They specify the record relevant to intended use, notice, alternative design,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warning, monitoring, and causal sequence.</w:t>
      </w:r>
    </w:p>
    <w:p>
      <w:pPr>
        <w:pStyle w:val="BodyText"/>
        <w:spacing w:before="0" w:after="0" w:line="320" w:lineRule="exact"/>
        <w:ind w:firstLine="360"/>
        <w:jc w:val="both"/>
      </w:pPr>
      <w:bookmarkStart w:id="234" w:name="x1-240102"/>
      <w:bookmarkEnd w:id="234"/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bookmarkStart w:id="235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rPr>
                <w:cantSplit/>
                <w:tblHeader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Deployment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feature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Risk-specific record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Persistent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persona,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memory,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proactive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messages,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affection,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exclusivity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Intended relational use;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exposure and continuity testing; memory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policy; age-specific evaluation; monitored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dependence signals.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Claims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of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companionship,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therapy,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expertise,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autonomy,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capacity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to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act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Target audience; product requirements;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substantiation; warning design; expected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reliance; escalation responsibility.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Engagement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objectives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tied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to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relational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behavior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Metric ownership; optimization target; risk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constraint; release decision; evaluation of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lower-exposure alternatives.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Self-harm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crisis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classification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Detection version; threshold; validated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population; false-positive and false-negative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analysis; response policy; incident-specific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trigger and intervention.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Access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by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minors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Age rule and enforcement; minor-specific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evaluation; parental or guardian features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where applicable; restriction and termination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authority.</w:t>
                  </w:r>
                </w:p>
              </w:tc>
            </w:tr>
            <w:tr>
              <w:trPr>
                <w:cantSplit/>
              </w:trPr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Discontinuity,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account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intervention,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service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shutdown</w:t>
                  </w:r>
                </w:p>
              </w:tc>
              <w:tc>
                <w:tcPr/>
                <w:p>
                  <w:pPr>
                    <w:jc w:val="left"/>
                    <w:jc w:val="center"/>
                  </w:pP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Continuity notice; export or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transition function; crisis safeguard; rollback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 </w:t>
                  </w:r>
                  <w:r>
                    <w:rPr>
                      <w:rFonts w:ascii="Garamond" w:hAnsi="Garamond" w:cs="Garamond" w:eastAsia="Songti SC"/>
                      <w:lang w:val="en-US" w:eastAsia="zh-CN"/>
                    </w:rPr>
                    <w:t xml:space="preserve">and account-restriction decision.</w:t>
                  </w:r>
                </w:p>
              </w:tc>
            </w:tr>
          </w:tbl>
          <w:bookmarkEnd w:id="235"/>
          <w:p/>
        </w:tc>
      </w:tr>
    </w:tbl>
    <w:p>
      <w:pPr>
        <w:pStyle w:val="Imag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Table 2: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Relational Features as Control-Record Factors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table also disciplines marketing evidence. Calling a service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companion or therapist does not make the model a legal person and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establish defect. It can identify the use the enterprise cultivated, the exposure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expected, and the evaluations responsive to that design. A generic “not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human” notice enters the same record with its timing, presentation, audience,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relation to the service’s features.</w:t>
      </w:r>
    </w:p>
    <w:bookmarkEnd w:id="236"/>
    <w:bookmarkStart w:id="245" w:name="stage-two-and-the-merits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iii.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37" w:name="x1-25000iii"/>
      <w:bookmarkEnd w:id="237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Stage Two and the Merits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After Stage One established the versions, roles, and incident sequence, Stage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Two could reach age-access and relational-risk evaluations; self-harm policies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configuration history; pre-event complaints and incident patterns; release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change approvals; escalation and response; and available account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restrictions, interruptions, or rollbacks. Time, version, population, feature,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risk would bound the request. Unrelated conversations and user data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remain excluded or minimized, and source code or weights require a showing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documentation, event logs, and representative testing cannot resolve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 issue.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same record could favor the defense. The papers disputed character selection,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role play, user-edited messages, platform rules, content blocking, and an in-chat fiction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38"/>
      </w:r>
      <w:bookmarkStart w:id="241" w:name="x1-25001f34"/>
      <w:bookmarkEnd w:id="24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Versioned configuration and event fields could show which features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came from a third-party creator, which controls fired, which warnings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appeared, and whether an alternative would have changed the sequence.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Governing law would then address classification, foreseeability,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feasibility, and causation; later research or safety measures could identify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questions without proving historical knowledge, admissibility, or earlier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feasibility.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42"/>
      </w:r>
      <w:bookmarkStart w:id="244" w:name="x1-25004f35"/>
      <w:bookmarkEnd w:id="244"/>
    </w:p>
    <w:bookmarkEnd w:id="245"/>
    <w:bookmarkEnd w:id="246"/>
    <w:bookmarkStart w:id="289" w:name="X523887ecf0e5c5a8ca26ad4aca0e46251deff1b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47" w:name="x1-26000B"/>
      <w:bookmarkEnd w:id="247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 Divided Deployment: The Vendor Hosts the Data; the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Employer Controls It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Mobley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presents the complementary architecture. Applicants encounter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employer portals while a platform vendor supplies processing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recommendation features. Employers can own or legally control applicant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data and decide how a feature affects hiring; the vendor can host the data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products, versions, defaults, and some evaluation. The cited orders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expose four recurring record-allocation problems that the front door must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solve without predicting discrimination: feature identity, divided legal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control, privilege, and safe exit.</w:t>
      </w:r>
    </w:p>
    <w:bookmarkStart w:id="257" w:name="feature-identity-and-the-event-path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48" w:name="x1-27000i"/>
      <w:bookmarkEnd w:id="248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Feature Identity and the Event Path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first problem is not whether “AI” was generally available. It 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function processed a particular application and what reached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employer. At the pleading stage, the district court treated allegations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employer customers delegated traditional hiring functions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Workday as sufficient to proceed on a statutory agency theory.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same order required a different theory to connect a particular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employer’s conduct, Workday’s knowledge, and the assistance it allegedly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supplied.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49"/>
      </w:r>
      <w:bookmarkStart w:id="252" w:name="x1-27001f36"/>
      <w:bookmarkEnd w:id="252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Nominal identity was visible. The operative chain among employer, feature,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output, use, and knowledge was not.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Later notice-stage proceedings illustrate the fields. Candidate Skills Match,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when enabled by a customer, parsed a job description and applicant materials,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extracted skills, and assigned a categorical match. Workday described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customers as able to enable, disable, use, or ignore features. The court reserved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what outputs meant and how customers used them for later adjudication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while permitting targeted discovery to identify potential collective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members.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53"/>
      </w:r>
      <w:bookmarkStart w:id="256" w:name="x1-27004f37"/>
      <w:bookmarkEnd w:id="256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For a designated employment-screening deployment, the employer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receiving the application is the visible operator. Stage One asks the applicant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 the position, application date, adverse disposition, covered portal, and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best available event key—a requisition number, application ID, tenant URL,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timestamp. It does not require the applicant to name the vendor feature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allege that a hidden score actually participated. The first answer resolves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employer’s event receipt identifies products active for the application;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versions and enabled features; fields, criteria, and preferences the employer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supplied; any score, sort, rank, screen, threshold, or recommendation received;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downstream action; and whether no automated function processed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event. The custodian map identifies the supplier, account roles,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locations, legal controllers, and contractual retrieval, update, and suspension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rights. A linked supplier answer resolves the same identifier within its lane: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tenant and requisition, product and version, whether a function ran, whether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generated and transmitted an output, which settings came from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customer, and which entities held the listed records and authority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roles.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Together, those answers separate five propositions: a feature was available;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customer enabled it; it processed the event; it generated or transmitted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output; and the customer used that output. None follows from the preceding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proposition, and establishing the sequence does not establish that the output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caused an unlawful decision.</w:t>
      </w:r>
    </w:p>
    <w:bookmarkEnd w:id="257"/>
    <w:bookmarkStart w:id="263" w:name="physical-hosting-versus-legal-control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58" w:name="x1-28000ii"/>
      <w:bookmarkEnd w:id="258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Physical Hosting Versus Legal Control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second problem is custody. A 2026 discovery order described customer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applicant data as stored on Workday servers while the agreement placed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ownership of customer content with the customer and allowed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to seek an injunction against disclosure. Applicants had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subpoenaed thirty-five customers, and some customers pointed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back to Workday as the efficient source. On that record, the court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held that physical storage did not establish Workday’s legal right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obtain and produce the customer data on demand under Rule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34.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59"/>
      </w:r>
      <w:bookmarkStart w:id="262" w:name="x1-28001f38"/>
      <w:bookmarkEnd w:id="262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does not reverse that holding. It changes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 before the dispute. The employer keeps the local manifest, position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definition, customer settings, application, downstream review, disposition,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notice, and event identifier. The supplier keeps version lineage, product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documentation, defaults, run and transmission logs, and the operational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evaluation record assigned to its lane. The predeployment agreement gives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employer a right to retrieve defined supplier fields and authorizes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coordinated hold for customer-controlled content. Both receive the same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and event identifiers, preventing a platform label and customer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label from preserving incompatible slices.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architecture distinguishes technical hosting from statutory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responsibility. A covered supplier subject to the Act answers its assigned lane.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Another supplier responds through the employer’s retrieval right.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applicant no longer has to choose between the host and legal controller before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seeing the contract and custodian map; Stage One identifies both,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Rule 34 or Rule 45 analysis governs any later production beyond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statutory minimum.</w:t>
      </w:r>
    </w:p>
    <w:bookmarkEnd w:id="263"/>
    <w:bookmarkStart w:id="273" w:name="Xe223f864c9710e45f97a5c50cbfddf30155e637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iii.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64" w:name="x1-29000iii"/>
      <w:bookmarkEnd w:id="264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Privilege Versus the Operational Minimum Record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third problem is the line between legal advice and operation.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same discovery order held particular Candidate Skills Match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bias-testing materials privileged because counsel selected the data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used the tests to provide legal advice. It separately ordered production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Workday’s EEO-1 and federal-contractor compliance materials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based on their relevance to knowledge of potential demographic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disparities.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65"/>
      </w:r>
      <w:bookmarkStart w:id="267" w:name="x1-29001f39"/>
      <w:bookmarkEnd w:id="267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preserves that distinction. Attorney communications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qualifying counsel-directed analyses remain protected.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operational minimum—feature identity, version, intended use, validation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owner, deployed threshold, event output, complaints, monitoring,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change history—exists because the covered system operated.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privilege log can identify protected analysis while underlying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nonprivileged data and ordinary-course records follow existing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68"/>
      </w:r>
      <w:bookmarkStart w:id="272" w:name="x1-29003f40"/>
      <w:bookmarkEnd w:id="272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statute therefore protects privilege without allowing an enterprise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satisfy its operating duty only inside a legal-advice file.</w:t>
      </w:r>
    </w:p>
    <w:bookmarkEnd w:id="273"/>
    <w:bookmarkStart w:id="279" w:name="safe-exit-and-coordinated-stage-two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iv.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74" w:name="x1-30000iv"/>
      <w:bookmarkEnd w:id="274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Safe Exit and Coordinated Stage Two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fourth problem is ending the special proceeding for the wrong lane.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2025 order concerning HiredScore directed Workday to identify customers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enabled specified features and supplied a concrete exclusion rule: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customer could leave the preliminary collective if Workday could determine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it received no score or rank or did not use the feature to screen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candidates.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75"/>
      </w:r>
      <w:bookmarkStart w:id="278" w:name="x1-30001f41"/>
      <w:bookmarkEnd w:id="27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order managed collective notice rather than applying this Article’s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statute, but it illustrates a similar operational sequence: identify deployment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output, remove customers with no relevant run or use, and reserve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disputed effect.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Stage One generalizes that logic at the event level. The employer may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 job criteria, feature activation, decision weight, review, notice,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disposition; the vendor may control design, defaults, validation, updates,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cross-customer monitoring. A customer exits the AI-specific lane if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feature ran, no output was produced, or no output reached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 path. Generic hosting, a post-event acquisition, or transmission of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fixed customer rule can support the same result. A surviving lane then defines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Two: aggregate recommendation and validation data for disparate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impact; decision inputs and review for disparate treatment; or access,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exceptions, and review for accommodation, each bounded by the governing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 and procedure.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Where hosting and legal control remain divided, a coordinated protocol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replaces serial referrals. The employer authorizes the defined customer fields;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platform runs the query against the correct tenant and version; both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verify the schema; direct identifiers are pseudonymized; any lawful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protected-characteristic linkage remains segregated; and experts use a secure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environment. The protocol identifies which enterprise supplies each field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who attests to completeness. It neither transfers all customer data nor treats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physical hosting as universal Rule 34 control.</w:t>
      </w:r>
    </w:p>
    <w:bookmarkEnd w:id="279"/>
    <w:bookmarkStart w:id="288" w:name="a-stable-publicemployment-analogue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v.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280" w:name="x1-31000v"/>
      <w:bookmarkEnd w:id="280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A Stable Public-Employment Analogue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Houston Federation of Teachers v. Houston Independent School District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a completed public-employment analogue. HISD licensed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SAS’s proprietary teacher-evaluation system, acknowledged that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did not verify the calculations and that teachers could not reproduce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them, and had treated requested materials as outside its custody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81"/>
      </w:r>
      <w:bookmarkStart w:id="284" w:name="x1-31001f42"/>
      <w:bookmarkEnd w:id="28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court denied HISD summary judgment on procedural due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process without imposing liability on SAS or ordering public release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source code; it explained that relief could restrict government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 of an unverifiable procedure while preserving the trade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secret.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85"/>
      </w:r>
      <w:bookmarkStart w:id="287" w:name="x1-31004f43"/>
      <w:bookmarkEnd w:id="287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supplies the prospective complement: define version, input,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validation, audit, and challenge records before adoption, then allocate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access without conflating public duty, vendor secrecy, or ultimate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liability.</w:t>
      </w:r>
    </w:p>
    <w:bookmarkEnd w:id="288"/>
    <w:bookmarkEnd w:id="289"/>
    <w:bookmarkEnd w:id="290"/>
    <w:bookmarkStart w:id="368" w:name="the-record-infrastructure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IV. 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291" w:name="x1-32000IV"/>
      <w:bookmarkEnd w:id="291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Record Infrastructure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can disclose only what the deployment has made observable.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discovery reaches existing matter within a party’s possession, custody,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92"/>
      </w:r>
      <w:bookmarkStart w:id="295" w:name="x1-32001f44"/>
      <w:bookmarkEnd w:id="29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cannot recreate an unrecorded version, an undocumented release decision,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complaint that reached no assigned owner, or stop authority that no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possessed. The deployment-record duty therefore begins as operating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infrastructure and later becomes litigation infrastructure.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This Part defines the control sheet, interface, and separate record clocks;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tests feasibility against FAA, FTC, and FCRA comparators; and addresses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minimization and defense use.</w:t>
      </w:r>
    </w:p>
    <w:bookmarkStart w:id="304" w:name="the-deploymentrecord-control-shee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296" w:name="x1-33000A"/>
      <w:bookmarkEnd w:id="296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Deployment-Record Control Sheet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Before release, the operator should adopt a written control sheet for each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designated deployment, version family, operating context, and risk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category. This is not a broad ethics charter. It links technical identifiers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organizational authority and locates the continuing records.</w:t>
      </w:r>
    </w:p>
    <w:p>
      <w:pPr>
        <w:pStyle w:val="BodyText"/>
        <w:spacing w:before="0" w:after="0" w:line="320" w:lineRule="exact"/>
        <w:ind w:firstLine="360"/>
        <w:jc w:val="both"/>
      </w:pPr>
      <w:bookmarkStart w:id="297" w:name="x1-33001r3"/>
      <w:bookmarkEnd w:id="297"/>
    </w:p>
    <w:bookmarkStart w:id="298" w:name="TBL-7"/>
    <w:p>
      <w:pPr>
        <w:pStyle w:val="TableCaption"/>
        <w:spacing w:before="80" w:after="100" w:line="240" w:lineRule="exact"/>
        <w:ind w:firstLine="0"/>
        <w:jc w:val="center"/>
      </w:pP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Table 3: </w:t>
      </w:r>
      <w:r>
        <w:rPr>
          <w:rFonts w:ascii="Garamond" w:hAnsi="Garamond" w:cs="Garamond" w:eastAsia="Songti SC"/>
          <w:i/>
          <w:iCs/>
          <w:color w:val="000000"/>
          <w:sz w:val="20"/>
          <w:szCs w:val="20"/>
          <w:lang w:val="en-US" w:eastAsia="zh-CN"/>
        </w:rPr>
        <w:t xml:space="preserve">Minimum Deployment-Record Infrastructure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Table 3: Minimum Deployment-Record Infrastructure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Component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Required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allocation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Front-door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function</w:t>
            </w:r>
          </w:p>
        </w:tc>
      </w:tr>
      <w:tr>
        <w:trPr>
          <w:cantSplit/>
        </w:trPr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Identity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scope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Application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model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versions;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purpose;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affected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population;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data;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retrieval;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tools;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credentials;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vendors;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limits;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material-change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threshold.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Defines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deployment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distinguishes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versions,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component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changes,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independent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modification.</w:t>
            </w:r>
          </w:p>
        </w:tc>
      </w:tr>
      <w:tr>
        <w:trPr>
          <w:cantSplit/>
        </w:trPr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Risk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release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owners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Responsible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executive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operational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owner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each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designated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risk;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approvers;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authority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resources;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conditions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review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date.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Identifies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who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receives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information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who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can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commission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mitigation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withhold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release.</w:t>
            </w:r>
          </w:p>
        </w:tc>
      </w:tr>
      <w:tr>
        <w:trPr>
          <w:cantSplit/>
        </w:trPr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Evaluation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decision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record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Protocols,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populations,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thresholds,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results,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exceptions,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rejected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conditional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mitigations,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unresolved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risk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decisions.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Records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basis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authorization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supplies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both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knowledge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reasonableness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evidence.</w:t>
            </w:r>
          </w:p>
        </w:tc>
      </w:tr>
      <w:tr>
        <w:trPr>
          <w:cantSplit/>
        </w:trPr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Feedback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escalation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Complaint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incident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categories;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monitoring;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escalation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channel;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recipient;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deadline;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decision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corrective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action.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Preserves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notice,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separates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report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from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makes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continuing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control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observable.</w:t>
            </w:r>
          </w:p>
        </w:tc>
      </w:tr>
      <w:tr>
        <w:trPr>
          <w:cantSplit/>
        </w:trPr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Intervention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Actors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authorized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restrict,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revoke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credentials,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update,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pause,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roll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back,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terminate;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triggers,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response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times,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tested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procedures.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Establishes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practical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authority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whether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proposed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intervention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was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available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relevant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time.</w:t>
            </w:r>
          </w:p>
        </w:tc>
      </w:tr>
      <w:tr>
        <w:trPr>
          <w:cantSplit/>
        </w:trPr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Provenance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retention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Version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lineage;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material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configuration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changes;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event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identifiers;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record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custodians;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third-party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locations;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retention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hold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procedures.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Enables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identification,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authentication,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preservation,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proportional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production,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safe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exit.</w:t>
            </w:r>
          </w:p>
        </w:tc>
      </w:tr>
      <w:tr>
        <w:trPr>
          <w:cantSplit/>
        </w:trPr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External-rights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savings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clause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Statement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that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internal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allocation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and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contract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labels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do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not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waive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affected-person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rights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or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determine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ultimate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liability.</w:t>
            </w:r>
          </w:p>
        </w:tc>
        <w:tc>
          <w:tcPr/>
          <w:p>
            <w:pPr>
              <w:jc w:val="left"/>
            </w:pPr>
            <w:r>
              <w:rPr>
                <w:rFonts w:ascii="Garamond" w:hAnsi="Garamond" w:cs="Garamond" w:eastAsia="Songti SC"/>
                <w:lang w:val="en-US" w:eastAsia="zh-CN"/>
              </w:rPr>
              <w:t xml:space="preserve">Prevents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the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record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from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operating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as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private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exculpatory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 </w:t>
            </w:r>
            <w:r>
              <w:rPr>
                <w:rFonts w:ascii="Garamond" w:hAnsi="Garamond" w:cs="Garamond" w:eastAsia="Songti SC"/>
                <w:lang w:val="en-US" w:eastAsia="zh-CN"/>
              </w:rPr>
              <w:t xml:space="preserve">agreement.</w:t>
            </w:r>
          </w:p>
        </w:tc>
      </w:tr>
    </w:tbl>
    <w:bookmarkEnd w:id="298"/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record should identify roles and offices as well as names. Personnel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change; statutory responsibility should survive turnover. A deployment ID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links the approved control sheet to the live configuration, and a versioned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amendment records material change. The operator can then answer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front-door notice by retrieving a defined record rather than assembling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organizational history after the event.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material-change threshold is especially important for learning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composite systems. A model update can alter capability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leaving the application version unchanged. A new retrieval source,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memory setting, tool credential, ranking threshold, user population,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downstream purpose can change risk without changing model weights.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control sheet should identify which changes require renewed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evaluation or approval and which enter a lower-burden change log.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provider and operator can use different internal systems so long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 the deployment record links them by version, time, and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completed form is only the beginning of proof. The operative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questions are whether signals reached people with authority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resources, interventions worked, and material changes triggered review.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completed form creates no merits inference; the underlying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operational records retain only the effect governing law gives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them.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299"/>
      </w:r>
      <w:bookmarkStart w:id="303" w:name="x1-33002f45"/>
      <w:bookmarkEnd w:id="303"/>
    </w:p>
    <w:bookmarkEnd w:id="304"/>
    <w:bookmarkStart w:id="310" w:name="the-record-has-a-standard-interface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05" w:name="x1-34000B"/>
      <w:bookmarkEnd w:id="305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Record Has a Standard Interface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minimum record should operate as an information plane across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rather than as a mandate to centralize every underlying artifact.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visible operator keeps a closed manifest: deployment ID; covered purpose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population; application and model versions; material components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suppliers; record custodians; risk and release owners; relevant contract rights;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the event schema used for consequential actions. Each control holder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keeps the deeper materials assigned to its lane. Stable identifiers join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manifest to those materials when a notice or regulator demand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arrives.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Three identifiers do most of the work.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identifier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distinguishes the covered use from the same model used elsewhere.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component-version identifier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ties model, application, retrieval, tool, policy,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configuration changes to a time interval.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identifier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connects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affected person or consequential decision to the versions and records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governed it. The event identifier can be pseudonymous and separately linked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personal data. The system therefore retrieves the relevant slice without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exposing unrelated users or requiring a later investigator to infer lineage from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timestamps alone.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interface should use a sectoral data dictionary. “Model version”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otherwise mean a marketing name, weight snapshot, API alias, application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release, policy bundle, or customer configuration. The designation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should define the fields needed to reproduce the legally relevant identity: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 identifier; immutable or otherwise auditable version reference;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activation window; configuration owner; material change; downstream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integration; output type; and custodian. An enterprise may keep its 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engineering format, but the first answer translates that format into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defined fields and identifies the source system from which each field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came.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Integrity requires lineage rather than a self-authenticating compliance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certificate. A manifest should record who created and approved it, the date,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later amendments, and the source records supporting the entry. Automated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logs can carry hashes, signatures, or append-only controls where appropriate;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lower-technology sectors can use ordinary version control and attestation.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legal function is the same: preserve a contestable trail from the live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the record, not establish conclusively that every listed control operated as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designed.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Supplier contracts implement the interface. A covered operator should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receive current component and version identifiers, material-change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notice, an event-resolution method, a responsive agent, and a right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retrieve the minimum supplier fields on demand. The supplier should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receive the operator’s deployment identifier, designated purpose,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configured population, material customer settings, and preservation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contact. Acquisition, subcontracting, model substitution, and service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termination should carry successor and export duties for the retained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period. These terms keep the record reachable when corporate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technical boundaries change after deployment. Recent work on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AI procurement record reaches a closely related diagnosis: contracts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separate evidence, operational control, economic risk, and 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accountability.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06"/>
      </w:r>
      <w:bookmarkStart w:id="309" w:name="x1-34001f46"/>
      <w:bookmarkEnd w:id="309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architecture controls cost by keeping routine manifest fields separate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from retrieval after a defined event. Release and asset-management systems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supply version and supplier identity. Transaction, decision, and incident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systems can supply event fields. Deeper evaluation, complaint, and source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materials stay with their custodians unless a risk-specific request justifies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access. Standardization moves expense toward one-time design and retrieval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by identifier, away from repeated forensic reconstruction across every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dispute.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Quality assurance can also be bounded. The operator periodically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reconciles the live deployment against the manifest, tests whether an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identifier resolves to the governing versions, confirms that supplier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contacts and retrieval rights remain usable, and records exceptions.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regulator can audit samples without obtaining every event. The check asks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whether the front door will open when needed: can the operator identify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what ran, locate the holder, preserve the slice, and exercise the retrieval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path?</w:t>
      </w:r>
    </w:p>
    <w:bookmarkEnd w:id="310"/>
    <w:bookmarkStart w:id="312" w:name="X20f93bd622b219086ee0900f04dbdb471b336f6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11" w:name="x1-35000C"/>
      <w:bookmarkEnd w:id="311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Identity, Feedback, and Event Records Have Different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Clocks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usable infrastructure contains three linked records.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changes when the deployment changes. It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contains the versioned architecture, purpose, population, component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suppliers, material configuration, data and tool interfaces, owners,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intervention rights. Its retention period should cover the ordinary period 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a claim involving that deployment can arise, with sector-specific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extensions for minors, latent physical injury, or continuing 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entitlements.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feedback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accumulates during operation. It contains defined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complaints, evaluations, incident classifications, monitoring signals,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escalations, decisions, and corrective actions. The designation should specify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events require individual retention, which may be aggregated,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which content should be minimized. A service can record that a crisis detector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triggered, which policy and version governed, and what intervention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followed without preserving every unrelated intimate conversation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indefinitely.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record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freezes a bounded slice when a consequential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action or identified incident occurs. In employment it may contain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application, input fields, model and configuration versions, score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recommendation, threshold, downstream human action, notice, and review.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benefits it may contain the assessment data, calculation version,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output, governing policy, explanation, appeal, and correction. In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companion deployment it may contain the account and age status,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interaction window, governing relational and crisis policies, detections,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interventions, warnings, and account restrictions. The event record anchors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causal sequence while leaving unrelated people and periods outside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These clocks improve privacy and accuracy simultaneously. A blanket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command to retain all interactions invites excess. A deployment ID,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schema, and material-change log preserve the facts needed to identify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relevant window. Sectoral lawmakers can then choose periods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minimization rules that fit the interest rather than defaulting to permanent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surveillance.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Retention should follow the legal and factual life of the interest. Employment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credit records can track the limitations and administrative-charge periods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governing the designated decision, with a defined post-notice extension.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public-benefits event may need to persist through reconsideration, appeal,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the period for judicial review. A clinical deployment may require longer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identity and validation lineage where injury can appear later, while still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minimizing raw patient content under health-information rules. A relational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service involving a minor can preserve crisis and intervention events for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longer protected period without retaining every ordinary conversation.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designation should state the clock, trigger, and lawful deletion rule rather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than asking operators to guess from a generic command to keep “AI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data.”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Different clocks also prevent a change from overwriting history.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current model card cannot establish what governed an earlier event;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current contract cannot prove who controlled retrieval before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acquisition; a revised policy cannot show which warning appeared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an earlier user. The identity record freezes each material interval.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event record points to that interval. The feedback record then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shows what the organization learned and changed between intervals.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structure turns evolution from an obstacle into an auditable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sequence.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Responsibility for legal holds should also appear in the record.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verified notice described in Part II identifies the event, period, user or decision,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risk. The operator’s hold reaches the matching identity, feedback,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materials and gives identified control holders a common reference. If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no longer exists, the response identifies the deletion rule, date,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custodian, and possible substitute. That information permits a court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distinguish ordinary expiration, negligent noncompliance, and intentional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concealment.</w:t>
      </w:r>
    </w:p>
    <w:bookmarkEnd w:id="312"/>
    <w:bookmarkStart w:id="356" w:name="X3bf8f79bbc4024447d2fb1025eff4c0b5e2ceca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13" w:name="x1-36000D"/>
      <w:bookmarkEnd w:id="31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Existing Regimes Demonstrate Administrability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proposal borrows implementation forms, not liability conclusions. Three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regimes perform distinct comparator roles: organizational record creation,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regulator-defined information demands, and a private path from visible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decisionmaker to upstream file holder.</w:t>
      </w:r>
    </w:p>
    <w:bookmarkStart w:id="324" w:name="faa-safety-management-systems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14" w:name="x1-37000i"/>
      <w:bookmarkEnd w:id="314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FAA Safety Management Systems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FAA Part 5 requires covered aviation organizations, on the applicable schedule,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develop and maintain an organization-wide safety management system.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rules assign an accountable executive, require management authority to accept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safety risk, specify hazard identification and risk control, require assurance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corrective action, and preserve records. For specified organizations,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system includes confidential employee reporting without fear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reprisal.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15"/>
      </w:r>
      <w:bookmarkStart w:id="318" w:name="x1-37001f47"/>
      <w:bookmarkEnd w:id="318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Part 5 demonstrates four institutional facts. A safety system can attach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organization rather than a single component. Named executive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operational authority can coexist. Continuing assessment and correction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 recorded as operating requirements. Retention can be specified without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waiting for a lawsuit. AI deployments involve different technologies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interests, so the aviation standard does not define reasonable AI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care. It demonstrates an administrable precedent for making authority,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feedback, intervention, and records a mandatory operating system rather than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aspirational policy.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Aviation reporting supplies a related design lesson. Candid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incident and near-miss information has prevention value,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system that treats every report as a confession encourages silence.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Aviation Safety Reporting Program uses third-party reporting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a qualified, nonpunitive enforcement policy rather than blanket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immunity.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19"/>
      </w:r>
      <w:bookmarkStart w:id="323" w:name="x1-37004f48"/>
      <w:bookmarkEnd w:id="323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narrower lesson here is to distinguish a report from the enterprise’s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response, while leaving any consequences for falsification, concealment,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retaliation, or unauthorized bypass to governing law.</w:t>
      </w:r>
    </w:p>
    <w:bookmarkEnd w:id="324"/>
    <w:bookmarkStart w:id="336" w:name="the-ftc-companionchatbot-orders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25" w:name="x1-38000ii"/>
      <w:bookmarkEnd w:id="325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The FTC Companion-Chatbot Orders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Federal Trade Commission’s 2025 section 6(b) study shows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AI-deployment records can be specified with considerably more precision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than “produce the algorithm.” The Commission ordered named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firms to identify organizational roles, predeployment standards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thresholds, deployment approvers, considered and rejected mitigations,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post-deployment monitoring, complaints, employee concerns, escalation,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26"/>
      </w:r>
      <w:bookmarkStart w:id="330" w:name="x1-38001f49"/>
      <w:bookmarkEnd w:id="330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Those specifications map directly onto the front-door functions.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Organizational roles identify the control lane. Thresholds and approvers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define release authority. Rejected mitigations record a decision without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deciding whether it was unreasonable. Monitoring, complaints, employee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concerns, escalation, and response create a time-stamped feedback path.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sectoral statute can standardize the same categories prospectively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permit a court to request only the subset connected to a verified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risk.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NIST’s AI Risk Management Framework can supply terminology for lifecycle roles,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executive responsibility, third-party components, testing, feedback, monitoring,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decommissioning.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31"/>
      </w:r>
      <w:bookmarkStart w:id="335" w:name="x1-38004f50"/>
      <w:bookmarkEnd w:id="33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 voluntary framework remains a vocabulary source. FAA rules and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sector-specific statute supply legal obligation; the FTC orders demonstrate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the responsive information can be operationally defined.</w:t>
      </w:r>
    </w:p>
    <w:bookmarkEnd w:id="336"/>
    <w:bookmarkStart w:id="355" w:name="X70f81613e64c266e88fae370eca995aa5706d42"/>
    <w:p>
      <w:pPr>
        <w:pStyle w:val="Heading5"/>
        <w:keepNext/>
        <w:keepLines/>
        <w:spacing w:before="180" w:after="50" w:line="280" w:lineRule="exact"/>
        <w:ind w:firstLine="0"/>
        <w:jc w:val="left"/>
      </w:pP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iii. 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 </w:t>
      </w:r>
      <w:bookmarkStart w:id="337" w:name="x1-39000iii"/>
      <w:bookmarkEnd w:id="337"/>
      <w:r>
        <w:rPr>
          <w:rFonts w:ascii="Garamond" w:hAnsi="Garamond" w:cs="Garamond" w:eastAsia="Songti SC"/>
          <w:i/>
          <w:iCs/>
          <w:color w:val="000000"/>
          <w:sz w:val="21"/>
          <w:szCs w:val="21"/>
          <w:lang w:val="en-US" w:eastAsia="zh-CN"/>
        </w:rPr>
        <w:t xml:space="preserve">The FCRA’s Private-Actor First-Answer Sequence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Fair Credit Reporting Act supplies the closest domestic analogue for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private-actor gateway. In employment, a user generally must give the consumer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copy of the report and a rights summary before taking an adverse action based 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report.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38"/>
      </w:r>
      <w:bookmarkStart w:id="341" w:name="x1-39001f51"/>
      <w:bookmarkEnd w:id="34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After a covered adverse action, the visible decision user must notify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consumer, identify the consumer reporting agency that supplied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report, state that the agency did not make the decision,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give notice of the right to obtain a free report and dispute 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accuracy.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42"/>
      </w:r>
      <w:bookmarkStart w:id="345" w:name="x1-39004f52"/>
      <w:bookmarkEnd w:id="34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agency, in turn, discloses the bounded consumer file, its sources,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recent recipients; a dispute triggers reinvestigation and a defined route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furnisher.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46"/>
      </w:r>
      <w:bookmarkStart w:id="349" w:name="x1-39007f53"/>
      <w:bookmarkEnd w:id="349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That sequence separates merits from access and the visible actor from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upstream information holder. Notice of adverse action does not establish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that the report was inaccurate or that either entity violated a merits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duty. It routes the affected person to a bounded file and correction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process. The analogy concerns duties assigned to private actors, not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unitary private remedy: section 1681m(h)(8) excludes private civil actions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 failures under section 1681m and assigns that section to 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enforcement, while other FCRA provisions carry their own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allocations.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50"/>
      </w:r>
      <w:bookmarkStart w:id="354" w:name="x1-39010f54"/>
      <w:bookmarkEnd w:id="35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FCRA also applies only within its consumer-report architecture, generally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presupposes an existing file, and supplies neither an AI deployment map nor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material-control test. Its structural lesson remains powerful: federal law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 the visible decision user to identify an upstream record holder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expressly declining to treat that holder as the decisionmaker. The front door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adds the ex ante event and control record for legislatively designated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deployments.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Together, the comparators answer feasibility at the right level. FAA Part 5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shows prospective organizational records; the FTC orders show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roles and events can be specified; FCRA shows a private-actor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routing sequence across a divided decision stack. For firms already capable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version control, release management, access logging, vendor management,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incident response, and legal retention, the proposal connects those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systems for designated deployments. Sectoral designations can provide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simplified forms and regulator assistance where appropriate. None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these regimes requires a universal explanation of every internal 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state.</w:t>
      </w:r>
    </w:p>
    <w:bookmarkEnd w:id="355"/>
    <w:bookmarkEnd w:id="356"/>
    <w:bookmarkStart w:id="362" w:name="X16ad30c4d706d066ca5ea4f581954ce6b0ad1f3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57" w:name="x1-40000E"/>
      <w:bookmarkEnd w:id="357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Recordkeeping Risks Require Minimization by Design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Recordkeeping creates a distinct governance risk because recording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can reshape the organization being observed. In a 2025 survey of one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hundred practitioners, respondents described employee resistance,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privacy tension, and uses extending beyond the accountability purpose;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forty-seven percent reported records used to monitor or improve staff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performance.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58"/>
      </w:r>
      <w:bookmarkStart w:id="361" w:name="x1-40001f55"/>
      <w:bookmarkEnd w:id="36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mandate framed as “retain everything” could expand employee and user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surveillance, suppress candid internal discussion, preserve sensitive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data without purpose, and reward litigation defensibility over safety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value.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answers that risk in its data structure. The operator keeps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minimum manifest rather than raw content by default. Identity, feedback,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event records use different clocks. The event schema records that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threshold fired, which policy governed, and what response followed; it does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not require every conversation, keystroke, or unrelated user’s data.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Employee-performance monitoring is not a minimum field. Raw deliberative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conversation, protected health information, and intimate or third-party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content remain outside unless a sectoral designation expressly identifies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necessity and lawful protection. Automated capture must be limited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defined events, stated purposes, authorized recipients, and a deletion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organizational record also separates report from decision.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good-faith risk report records a signal, not an admission by the enterprise;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response record identifies who reviewed it, what information was available,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what action followed. That separation supports candor without making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report’s existence automatic breach. Periodic sampling tests whether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record resolves an event without converting continuous worker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observation into the measure of compliance. These specifications make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minimization part of observability rather than a promise added after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collection.</w:t>
      </w:r>
    </w:p>
    <w:bookmarkEnd w:id="362"/>
    <w:bookmarkStart w:id="367" w:name="the-record-is-also-a-defense-asset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F.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63" w:name="x1-41000F"/>
      <w:bookmarkEnd w:id="363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Record Is Also a Defense Asset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same record can defeat a claim. Version and configuration history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show that a feature was inactive, a downstream actor removed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safeguard, a warning appeared, an intervention fired, or the alleged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controller lacked stop authority. Evaluations and incident sequences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may establish reasonable preparation, intervening modification,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user circumvention, or residual risk. They also keep the inquiry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historical: later research may identify a question, and a later mitigation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possible control, without proving earlier knowledge, feasibility,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admissibility.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64"/>
      </w:r>
      <w:bookmarkStart w:id="366" w:name="x1-41001f56"/>
      <w:bookmarkEnd w:id="36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front door prevents either side from asking a court to infer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from the output alone.</w:t>
      </w:r>
    </w:p>
    <w:bookmarkEnd w:id="367"/>
    <w:bookmarkEnd w:id="368"/>
    <w:bookmarkStart w:id="446" w:name="X507690928aa67b85f2b8ff948030b87102a043b"/>
    <w:p>
      <w:pPr>
        <w:pStyle w:val="Heading3"/>
        <w:keepNext/>
        <w:keepLines/>
        <w:spacing w:before="300" w:after="10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V. 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 </w:t>
      </w:r>
      <w:bookmarkStart w:id="369" w:name="x1-42000V"/>
      <w:bookmarkEnd w:id="369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The Merits Firewall and Administrable Boundaries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is an access right with a defined stopping point. It begins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only with an adverse event affecting a legislatively specified interest,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supplies a closed first answer, and expands only upon a claim-specific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showing. It changes no element of the underlying cause of action.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Four boundaries make that allocation durable: existing law defines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protected interest; constitutional and confidentiality rules shape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disclosure; arbitration, territorial limits, and federal preemption govern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enforcing forum; and product or speech classification remains for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merits.</w:t>
      </w:r>
    </w:p>
    <w:bookmarkStart w:id="375" w:name="existing-legal-interests-define-the-gate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70" w:name="x1-43000A"/>
      <w:bookmarkEnd w:id="370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Existing Legal Interests Define the Gate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designation selects an existing legal interest that justifies compulsory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observability—for example, employment, credit, housing, public benefits,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health, education, physical safety, or the welfare of minors. Stage One requires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verified adverse event affecting that interest, not a complete underlying cause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of action or a freestanding demand to audit a business. A rejected applicant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identifies the job and disposition; a benefits recipient the entitlement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challenged action; a companion-service user the covered interaction.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Capability, dissatisfaction, or a preference for another model does not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qualify.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gate preserves the heterogeneity of AI disputes. Some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losses have no private remedy; others sound in contract, tort,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antidiscrimination, administrative, consumer-protection, or no-liability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71"/>
      </w:r>
      <w:bookmarkStart w:id="374" w:name="x1-43001f57"/>
      <w:bookmarkEnd w:id="37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out-of-scope interest or field ends the access action, as does a legal bar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dispositive of the statutory access claim itself, such as lack of jurisdiction,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immunity, or express preemption. The absence of a private merits remedy or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limitations bar on an underlying claim does not necessarily foreclose another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use permitted by the Act, such as correction, contest, or appeal. Once the first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answer identifies the deployment and custodian, ordinary procedure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governs. Routine observability and the first answer remain operator costs;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extraordinary protocols follow the designation and forum law, and actors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outside the control lane exit.</w:t>
      </w:r>
    </w:p>
    <w:bookmarkEnd w:id="375"/>
    <w:bookmarkStart w:id="391" w:name="X64f128467567ab17075eb48d3ab4c084add7f59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B.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76" w:name="x1-44000B"/>
      <w:bookmarkEnd w:id="376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Constitutional, Trade-Secret, and Privacy Protections Shape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Access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 compelled answer must satisfy the Constitution as well as the model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statute. The minimum answer is transaction linked and principally factual: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what system and version ran, which enterprise holds the record, what output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notice occurred, and which role possessed listed authority. It is delivered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affected person or enforcing tribunal rather than published to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world. Those features distinguish the first answer from compelled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ideological speech or a requirement that an enterprise confess legal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fault.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governing First Amendment standard depends on the speaker,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content, and regulatory setting.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Zauderer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permits certain compelled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disclosures of purely factual and uncontroversial commercial information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reasonably related to preventing deception;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NIFLA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rejects an unlimited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category of “professional speech” and requires courts to examine burdens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fit.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77"/>
      </w:r>
      <w:bookmarkStart w:id="381" w:name="x1-44001f58"/>
      <w:bookmarkEnd w:id="38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designation should therefore require operational facts, use neutral field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definitions, and avoid compelled normative characterizations such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 “unsafe,” “biased,” or “responsible.” If a sector or requested field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falls outside the commercial-disclosure line, the otherwise applicable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standard of scrutiny governs. The statute’s closed fields and nonpublic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protections narrow the burden; they do not predetermine the constitutional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result.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Trade secrets receive protection, not categorical exclusion.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Trade-secret interests can constitute property and turn on reasonable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expectations of confidentiality, while litigation law has long used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protective orders to limit disclosure of confidential commercial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82"/>
      </w:r>
      <w:bookmarkStart w:id="386" w:name="x1-44005f59"/>
      <w:bookmarkEnd w:id="38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Stage One does not require source code, weights, or unrestricted training data.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asks for identity, version, event, custodian, and control fields. Those deeper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materials may be considered only at Stage Two upon necessity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proportionality, with redaction, attorneys’-eyes-only access, secure expert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review, in camera inspection, and testing protocols available. A withholding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party identifies the record, custodian, date, version, and legal basis so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protection does not become invisibility.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Privilege follows the same line developed in Section </w:t>
      </w:r>
      <w:hyperlink w:anchor="Xe223f864c9710e45f97a5c50cbfddf30155e637">
        <w:r>
          <w:rPr>
            <w:rStyle w:val="Hyperlink"/>
            <w:rFonts w:ascii="Garamond" w:hAnsi="Garamond" w:cs="Garamond" w:eastAsia="Songti SC"/>
            <w:lang w:val="en-US" w:eastAsia="zh-CN"/>
          </w:rPr>
          <w:t xml:space="preserve">III.B.iii</w:t>
        </w:r>
      </w:hyperlink>
      <w:r>
        <w:rPr>
          <w:rFonts w:ascii="Garamond" w:hAnsi="Garamond" w:cs="Garamond" w:eastAsia="Songti SC"/>
          <w:lang w:val="en-US" w:eastAsia="zh-CN"/>
        </w:rPr>
        <w:t xml:space="preserve">. Legal advice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and attorney work product remain protected. The operator produces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underlying nonprivileged facts and ordinary-course business records and logs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protected material with sufficient specificity for review. The Act creates no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privilege exception and no rule that counsel’s involvement automatically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removes an operational fact from the minimum record.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Privacy and security limit both creation and production. Part IV’s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separate clocks and event schema keep unrelated users, raw conversations,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worker surveillance, protected health information, credentials, and security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details outside the manifest by default. A request uses the narrowest available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 identifier, time window, feature, and population. Pseudonymization,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aggregation, secure review, and in camera testing can establish that a control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existed without exposing the control itself. A timely field-specific objection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pauses only the contested protected field and permits prompt neutral review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before disclosure or penalty; uncontested identity and event fields remain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due.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87"/>
      </w:r>
      <w:bookmarkStart w:id="390" w:name="x1-44009f60"/>
      <w:bookmarkEnd w:id="390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boundary is affirmative: define the factual minimum, minimize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collection, and protect what remains.</w:t>
      </w:r>
    </w:p>
    <w:bookmarkEnd w:id="391"/>
    <w:bookmarkStart w:id="439" w:name="Xdc02b2c9f8ecb38a0d74a9a8d9de321f0e9eb2a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392" w:name="x1-45000C"/>
      <w:bookmarkEnd w:id="392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Arbitration, Territorial Limits, and Federal Preemption Govern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the Forum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Nonwaiver describes the substantive duty, not an exclusive judicial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forum. An operator cannot contract away the affected person’s right to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minimum record. But a valid arbitration agreement may govern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who enforces that right. For a federal statutory right, a contrary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congressional command can displace the Federal Arbitration Act’s rule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arbitrability. A state model act cannot single out arbitration agreements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 disfavored treatment; it should make the duty nonwaivable while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allowing an otherwise valid agreement to select the private enforcement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forum.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93"/>
      </w:r>
      <w:bookmarkStart w:id="398" w:name="x1-45001f61"/>
      <w:bookmarkEnd w:id="39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Questions about whether the parties delegated arbitrability follow federal arbitration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doctrine.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399"/>
      </w:r>
      <w:bookmarkStart w:id="402" w:name="x1-45006f62"/>
      <w:bookmarkEnd w:id="402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duty still arises before the merits forum needs discovery. A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operator must maintain the local record and answer a qualifying request on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statutory timetable; completion is not a condition precedent to commencing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 continuing arbitration. If it disputes enforceability or scope, the proper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court or arbitrator resolves that dispute under the agreement and the Federal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Arbitration Act. An agreement to which the administering agency is not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party does not eliminate public enforcement brought in the agency’s own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name.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03"/>
      </w:r>
      <w:bookmarkStart w:id="406" w:name="x1-45009f63"/>
      <w:bookmarkEnd w:id="40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This allocation preserves the substantive right, the selected private forum,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 public enforcement.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local record is especially important because arbitral process may not reach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an upstream stranger. Federal Arbitration Act section 7 authorizes arbitrators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to summon a person to attend and bring documents; the Ninth Circuit reads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 not to authorize a stand-alone prehearing document subpoena to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nonparty.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07"/>
      </w:r>
      <w:bookmarkStart w:id="411" w:name="x1-45012f64"/>
      <w:bookmarkEnd w:id="411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operator’s predeployment retrieval right supplies the defined vendor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fields without enlarging arbitral subpoena power. A supplier directly bound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by the Act or contractually bound to respond answers on that source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authority; another supplier responds only through an independent source of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law.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Territorial limits remain equally concrete. The State’s authority to apply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its substantive law, a tribunal’s personal jurisdiction, and valid service are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separate predicates. Operator notice supplies none of them. A control holder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receives a direct statutory duty only when the enterprise and identified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deployment fall within valid territorial and choice-of-law reach; coercive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relief additionally requires service and an independent jurisdictional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basis.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12"/>
      </w:r>
      <w:bookmarkStart w:id="416" w:name="x1-45016f65"/>
      <w:bookmarkEnd w:id="416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Appointment of the operator’s response agent authorizes the statutory delivery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route only. It should not silently become consent to all-purpose jurisdiction; 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express registration-based consent regime raises the distinct questions illustrated by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Mallory</w:t>
      </w:r>
      <w:r>
        <w:rPr>
          <w:rFonts w:ascii="Garamond" w:hAnsi="Garamond" w:cs="Garamond" w:eastAsia="Songti SC"/>
          <w:lang w:val="en-US" w:eastAsia="zh-CN"/>
        </w:rPr>
        <w:t xml:space="preserve">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17"/>
      </w:r>
      <w:bookmarkStart w:id="420" w:name="x1-45020f66"/>
      <w:bookmarkEnd w:id="420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domestic visible operator nevertheless owes the local manifest, event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receipt, and contractual retrieval path. That mandatory local architecture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keeps the answer reachable without pretending that state process reaches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every global node.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Sectoral designation must also perform a substantive federal-preemption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check provision by provision. FCRA expressly preempts specified state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requirements concerning dispute procedures, adverse-action duties, and furnisher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responsibilities; its present agency interpretation replaced the Bureau’s withdrawn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2022 narrow-preemption view, while recognizing that courts remain the final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arbiters.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21"/>
      </w:r>
      <w:bookmarkStart w:id="425" w:name="x1-45023f67"/>
      <w:bookmarkEnd w:id="425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ERISA can displace state reporting regimes that intrude on nationally uniform plan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administration. Federal medical-device law preempts some requirements different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from or additional to federal requirements, while the HIPAA rules preserve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specified more-stringent state privacy provisions and forbid contrary disclosure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commands.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26"/>
      </w:r>
      <w:bookmarkStart w:id="434" w:name="x1-45027f68"/>
      <w:bookmarkEnd w:id="43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Employment law supplies a different savings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rule.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35"/>
      </w:r>
      <w:bookmarkStart w:id="438" w:name="x1-45035f69"/>
      <w:bookmarkEnd w:id="438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designation should identify federal actors and exclusive remedies, whether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federal law supplies a floor, ceiling, or parallel-duty path, which actors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fields are excluded, how remedies overlap, and which claims the State may toll.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 generic savings clause cannot preserve an application federal law forecloses.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Congress can use the same front-door architecture when national uniformity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is required.</w:t>
      </w:r>
    </w:p>
    <w:bookmarkEnd w:id="439"/>
    <w:bookmarkStart w:id="445" w:name="Xcb4b30a26b8c574b82ee1211e6956218b6054e7"/>
    <w:p>
      <w:pPr>
        <w:pStyle w:val="Heading4"/>
        <w:keepNext/>
        <w:keepLines/>
        <w:spacing w:before="220" w:after="70" w:line="280" w:lineRule="exact"/>
        <w:ind w:firstLine="0"/>
        <w:jc w:val="left"/>
      </w:pP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D. 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 </w:t>
      </w:r>
      <w:bookmarkStart w:id="440" w:name="x1-46000D"/>
      <w:bookmarkEnd w:id="440"/>
      <w:r>
        <w:rPr>
          <w:rFonts w:ascii="Garamond" w:hAnsi="Garamond" w:cs="Garamond" w:eastAsia="Songti SC"/>
          <w:smallCaps/>
          <w:color w:val="000000"/>
          <w:sz w:val="22"/>
          <w:szCs w:val="22"/>
          <w:lang w:val="en-US" w:eastAsia="zh-CN"/>
        </w:rPr>
        <w:t xml:space="preserve">Classification Neutrality Preserves the Merits</w:t>
      </w:r>
    </w:p>
    <w:p>
      <w:pPr>
        <w:pStyle w:val="FirstParagraph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The front door does not classify an AI system as a product, service, speaker,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agent, or legal person. A companion application can present design questions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about access, memory, engagement objectives, crisis response,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warnings while a claim directed at an adopted message presents a distinct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First Amendment question. An employment score can participate in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decision without becoming a physical product. Generated text can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communicate an operator’s decision without making the model a juridical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actor.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Garcia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illustrates the separation. At Rule 12, the district court treated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Character.AI as plausibly alleged to be a product because the challenged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features concerned design and commercial distribution. It declined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on that record to classify the generated sequence as protected speech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where defendants had not identified a relevant expressive choice or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speaker.</w:t>
      </w:r>
      <w:r>
        <w:rPr>
          <w:rStyle w:val="FootnoteReference"/>
          <w:rFonts w:ascii="Garamond" w:hAnsi="Garamond" w:cs="Garamond" w:eastAsia="Songti SC"/>
          <w:lang w:val="en-US" w:eastAsia="zh-CN"/>
        </w:rPr>
        <w:footnoteReference w:id="441"/>
      </w:r>
      <w:bookmarkStart w:id="444" w:name="x1-46001f70"/>
      <w:bookmarkEnd w:id="444"/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Those rulings were procedural and claim specific. The first answer would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identify the deployed system, event, and organizational choices reflected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 the bounded record; the pleadings and requested relief identify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challenged conduct and whether the remedy regulates design,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transaction, decision process, or expression. Governing law then classifies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claim.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Fragmented and open architectures change the control map, not this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boundary. An open-weights publisher with no continuing visibility,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contractual right, or stopping power can exit after provenance; a modifier that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selects the protected use, adds tools, removes safeguards, and controls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operation can occupy the lane; and a provider retaining mandatory updates,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monitoring, or suspension may retain another. Contract labels and brand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association matter only insofar as they describe practical authority.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resulting record lets governing law distinguish reasonable deployment,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independent modification, residual risk, and actionable conduct without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choosing a winner in advance.</w:t>
      </w:r>
    </w:p>
    <w:bookmarkEnd w:id="445"/>
    <w:bookmarkEnd w:id="446"/>
    <w:bookmarkStart w:id="451" w:name="conclusion"/>
    <w:p>
      <w:pPr>
        <w:pStyle w:val="Heading3"/>
        <w:keepNext/>
        <w:keepLines/>
        <w:spacing w:before="300" w:after="100" w:line="280" w:lineRule="exact"/>
        <w:ind w:firstLine="0"/>
        <w:jc w:val="left"/>
      </w:pPr>
      <w:bookmarkStart w:id="447" w:name="x1-47000"/>
      <w:bookmarkEnd w:id="447"/>
      <w:r>
        <w:rPr>
          <w:rFonts w:ascii="Garamond" w:hAnsi="Garamond" w:cs="Garamond" w:eastAsia="Songti SC"/>
          <w:smallCaps/>
          <w:color w:val="000000"/>
          <w:sz w:val="24"/>
          <w:szCs w:val="24"/>
          <w:lang w:val="en-US" w:eastAsia="zh-CN"/>
        </w:rPr>
        <w:t xml:space="preserve">Conclusion</w:t>
      </w:r>
    </w:p>
    <w:p>
      <w:pPr>
        <w:pStyle w:val="FirstParagraph"/>
        <w:spacing w:before="0" w:after="0" w:line="320" w:lineRule="exact"/>
        <w:ind w:firstLine="360"/>
        <w:jc w:val="both"/>
      </w:pPr>
      <w:bookmarkStart w:id="448" w:name="Q1-1-53"/>
      <w:bookmarkEnd w:id="448"/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AI litigation can fail before duty, defect, discrimination, causation,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immunity, or defense because system identity, version, event path,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custodian, and control records remain divided among organizations.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Ordinary procedure becomes powerful once the proper target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record holder are known; it cannot create those predicates after the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Model sectoral legislation supplies the missing front door. It requires 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minimum deployment record during operation and, after a verified covered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event, a fixed answer from the visible operator identifying what ran, what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occurred, and who holds the relevant fields and authority. Broader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production follows only through a claim-specific material-control lane; actors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outside that lane exit the front-door role.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Garcia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shows the rule operating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within a visible service,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Mobley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across divided custody and control.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Existing procedure, confidentiality protections, and every merits element and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defense remain in place.</w:t>
      </w:r>
    </w:p>
    <w:p>
      <w:pPr>
        <w:pStyle w:val="BodyText"/>
        <w:spacing w:before="0" w:after="0" w:line="320" w:lineRule="exact"/>
        <w:ind w:firstLine="360"/>
        <w:jc w:val="both"/>
      </w:pPr>
      <w:r>
        <w:rPr>
          <w:rFonts w:ascii="Garamond" w:hAnsi="Garamond" w:cs="Garamond" w:eastAsia="Songti SC"/>
          <w:lang w:val="en-US" w:eastAsia="zh-CN"/>
        </w:rPr>
        <w:t xml:space="preserve">Probabilistic output does not foreclose legal responsibility under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governing law; it relocates the evidence of control. The deployment front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door does not choose who answers in liability. It makes the relevant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organizations and records reachable before information asymmetry decides</w:t>
      </w:r>
      <w:r>
        <w:rPr>
          <w:rFonts w:ascii="Garamond" w:hAnsi="Garamond" w:cs="Garamond" w:eastAsia="Songti SC"/>
          <w:lang w:val="en-US" w:eastAsia="zh-CN"/>
        </w:rPr>
        <w:t xml:space="preserve"> </w:t>
      </w:r>
      <w:r>
        <w:rPr>
          <w:rFonts w:ascii="Garamond" w:hAnsi="Garamond" w:cs="Garamond" w:eastAsia="Songti SC"/>
          <w:lang w:val="en-US" w:eastAsia="zh-CN"/>
        </w:rPr>
        <w:t xml:space="preserve">the case.</w:t>
      </w:r>
    </w:p>
    <w:bookmarkEnd w:id="451"/>
    <w:sectPr>
      <w:headerReference w:type="first" r:id="rIdHarvardJoltFirst"/>
      <w:headerReference w:type="default" r:id="rIdHarvardJoltOdd"/>
      <w:headerReference w:type="even" r:id="rIdHarvardJoltEven"/>
      <w:footnotePr>
        <w:numRestart w:val="eachSect"/>
      </w:footnotePr>
      <w:pgSz w:w="12240" w:h="15840"/>
      <w:pgMar w:top="2160" w:right="2880" w:bottom="1440" w:left="2880" w:header="720" w:footer="720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aramond">
    <w:family w:val="roman"/>
    <w:charset w:val="00"/>
  </w:font>
  <w:font w:name="Songti SC">
    <w:family w:val="roman"/>
    <w:charset w:val="86"/>
  </w:font>
</w:fonts>
</file>

<file path=word/footnotes.xml><?xml version="1.0" encoding="utf-8"?>
<w:footnotes xmlns:r="http://schemas.openxmlformats.org/officeDocument/2006/relationships" xmlns:w="http://schemas.openxmlformats.org/wordprocessingml/2006/main">
  <w:footnote w:type="continuationSeparator" w:id="0">
    <w:p>
      <w:r>
        <w:continuationSeparator/>
      </w:r>
    </w:p>
  </w:footnote>
  <w:footnote w:type="separator" w:id="-1">
    <w:p>
      <w:pPr>
        <w:pStyle w:val="FootnoteText"/>
        <w:spacing w:before="0" w:after="0" w:line="210" w:lineRule="exact"/>
        <w:ind w:firstLine="0"/>
        <w:jc w:val="both"/>
      </w:pP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separator/>
      </w:r>
    </w:p>
  </w:footnote>
  <w:footnote w:id="1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" w:name="x1-2002x"/>
      <w:bookmarkEnd w:id="1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" w:name="x1-2003"/>
      <w:bookmarkEnd w:id="1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 v. Character Techs.,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785 F. Supp. 3d 1157, 1165–69, 1174–84 (M.D. Fla.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2025)</w:t>
      </w:r>
      <w:bookmarkStart w:id="18" w:name="x1-2002xdoc"/>
      <w:bookmarkEnd w:id="1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" w:name="x1-2004"/>
      <w:bookmarkEnd w:id="1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 Dismissing Settled Action at 1,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 v. Character Techs.,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6:24-cv-01903-ACC-DCI (M.D. Fla. Jan. 7, 2026), ECF No. 244;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" w:name="x1-2005"/>
      <w:bookmarkEnd w:id="2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 Resolving Charging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Lien at 1,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 v. Character Techs.,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 6:24-cv-01903-ACC-DCI (M.D. Fla. June 11,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2026), ECF No. 273. The complaint’s disputed account remains an allegation. This Article uses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published Rule 12 order for its classification and pleading analysis, not as a merits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judgment.</w:t>
      </w:r>
    </w:p>
  </w:footnote>
  <w:footnote w:id="2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3" w:name="x1-2007x"/>
      <w:bookmarkEnd w:id="2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4" w:name="x1-2008"/>
      <w:bookmarkEnd w:id="2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Anat Lior,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AI Strict Liability Vis-À-Vis AI Monopolization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22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olum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ci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&amp; 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ech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L.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ev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90, 91, 94–97 (2021)</w:t>
      </w:r>
      <w:bookmarkStart w:id="25" w:name="x1-2007xdoc"/>
      <w:bookmarkEnd w:id="2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" w:name="x1-2009"/>
      <w:bookmarkEnd w:id="2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Zachary Henderson,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Rethinking Robot Liability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67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B.C. L. 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ev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479, 483, 515–17 (2026);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7" w:name="x1-2010"/>
      <w:bookmarkEnd w:id="2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Catherine M. Sharkey,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 Products Liability Framework for AI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25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olum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ci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&amp; 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ech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L. 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ev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240, 240, 244–47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8" w:name="x1-2011"/>
      <w:bookmarkEnd w:id="2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Ketan Ramakrishnan,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Tort Law at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Frontier of Artificial Intelligence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43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ale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960, 960–61 (2026). A systematic review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of 559 federal opinions likewise reports that courts predominantly resolve AI disputes through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preexisting legal doctrines and that litigated harms are shaped by existing causes of action. 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9" w:name="x1-2012"/>
      <w:bookmarkEnd w:id="2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Julie Yu et al., Visible to the Court: How AI Is (and Isn’t) Litigated in U.S. Federal Court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Opinions, at 1, 8–9 (2026),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30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https://arxiv.org/abs/2607.23888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3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3" w:name="x1-2014x"/>
      <w:bookmarkEnd w:id="3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" w:name="x1-2015"/>
      <w:bookmarkEnd w:id="3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Matthew Stewart,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Beyond Explanation: Evidentiary Rights for Algorithmic Accountability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roceedings of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2026 ACM 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onference 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airness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ccountability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ransparency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1066, 1067, 1076–79 (2026),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35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https://doi.org/10.1145/3805689.3806532</w:t>
        </w:r>
      </w:hyperlink>
      <w:bookmarkStart w:id="36" w:name="x1-2014xdoc"/>
      <w:bookmarkEnd w:id="3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" w:name="x1-2016"/>
      <w:bookmarkEnd w:id="3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Sarah H. Cen, Hannah Ismael &amp; Lucia Zheng,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Barriers to Evidence in AI-Related Cases 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Privatization of Proof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roceedings of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2026 ACM 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onference 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airness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ccountability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ransparency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7793, 7794–95, 7801–05 (2026),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38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https://doi.org/10.1145/3805689.3812219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4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4" w:name="x1-4002xA"/>
      <w:bookmarkEnd w:id="4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See, e.g.,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5" w:name="x1-4003"/>
      <w:bookmarkEnd w:id="4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United States v. U.S. Gypsum Co.,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438 U.S. 422, 444–46 (1978);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6" w:name="x1-4004"/>
      <w:bookmarkEnd w:id="4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Speller v. Sears,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Roebuck &amp; Co.,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100 N.Y.2d 38, 41–43 (2003);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7" w:name="x1-4005"/>
      <w:bookmarkEnd w:id="4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estatement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hird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)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of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gency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7.03(1),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7.05 (Am. L. Inst. 2006).</w:t>
      </w:r>
    </w:p>
  </w:footnote>
  <w:footnote w:id="4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0" w:name="x1-4007xA"/>
      <w:bookmarkEnd w:id="5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1" w:name="x1-4008"/>
      <w:bookmarkEnd w:id="5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Mobley v. Workday,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740 F. Supp. 3d 796, 806–08 (N.D. Cal. 2024). The decision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granted in part and denied in part Workday’s motion to dismiss the first amended complaint; it did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not find discriminatory operation or resolve the merits.</w:t>
      </w:r>
    </w:p>
  </w:footnote>
  <w:footnote w:id="5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8" w:name="x1-6002xC"/>
      <w:bookmarkEnd w:id="5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59" w:name="x1-6003"/>
      <w:bookmarkEnd w:id="5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8(a)(2);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60" w:name="x1-6004"/>
      <w:bookmarkEnd w:id="6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11(b)(3);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61" w:name="x1-6005"/>
      <w:bookmarkEnd w:id="6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Bell Atl. Corp. v. Twombly,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550 U.S. 544,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555–59, 570 (2007);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62" w:name="x1-6006"/>
      <w:bookmarkEnd w:id="6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Ashcroft v. Iqbal,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556 U.S. 662, 678–79, 686 (2009);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63" w:name="x1-6007"/>
      <w:bookmarkEnd w:id="6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Rotella v. Wood,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528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U.S. 549, 560–61 (2000).</w:t>
      </w:r>
    </w:p>
  </w:footnote>
  <w:footnote w:id="6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66" w:name="x1-6009xC"/>
      <w:bookmarkEnd w:id="6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67" w:name="x1-6010"/>
      <w:bookmarkEnd w:id="6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68" w:name="x1-6011"/>
      <w:bookmarkEnd w:id="6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34(a)(1), 45.</w:t>
      </w:r>
    </w:p>
  </w:footnote>
  <w:footnote w:id="7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71" w:name="x1-6013xC"/>
      <w:bookmarkEnd w:id="7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72" w:name="x1-6014"/>
      <w:bookmarkEnd w:id="7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26(a)(1)(A)(i)–(iv), 26(a)(1)(C), 26(f).</w:t>
      </w:r>
    </w:p>
  </w:footnote>
  <w:footnote w:id="7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75" w:name="x1-6016xC"/>
      <w:bookmarkEnd w:id="7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76" w:name="x1-6017"/>
      <w:bookmarkEnd w:id="7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Strike 3 Holdings, LLC v. Doe,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964 F.3d 1203, 1207, 1210–11 (D.C. Cir. 2020); see also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77" w:name="x1-6018"/>
      <w:bookmarkEnd w:id="7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Columbia Ins. Co. v. Seescandy.com,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185 F.R.D. 573, 577–80 (N.D. Cal. 1999).</w:t>
      </w:r>
    </w:p>
  </w:footnote>
  <w:footnote w:id="7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80" w:name="x1-6020xC"/>
      <w:bookmarkEnd w:id="8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81" w:name="x1-6021"/>
      <w:bookmarkEnd w:id="8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27;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82" w:name="x1-6022"/>
      <w:bookmarkEnd w:id="8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Workman v. U.S. Postal Serv.,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127 F.4th 237, 240–45 (10th Cir. 2025);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83" w:name="x1-6023"/>
      <w:bookmarkEnd w:id="8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Ash v. Cort,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512 F.2d 909, 912 (3d Cir. 1975).</w:t>
      </w:r>
    </w:p>
  </w:footnote>
  <w:footnote w:id="8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86" w:name="x1-6025xC"/>
      <w:bookmarkEnd w:id="8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Compare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87" w:name="x1-6026"/>
      <w:bookmarkEnd w:id="8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 re Citric Acid Litig.,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191 F.3d 1090, 1107–08 (9th Cir. 1999), with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88" w:name="x1-6027"/>
      <w:bookmarkEnd w:id="8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Sergeeva v.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Tripleton Int’l Ltd.,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834 F.3d 1194, 1200–02 (11th Cir. 2016).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Sergeeva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arose under 28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1782; it illustrates a practical-control approach rather than deciding ordinary domestic merits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discovery.</w:t>
      </w:r>
    </w:p>
  </w:footnote>
  <w:footnote w:id="9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91" w:name="x1-6029xC"/>
      <w:bookmarkEnd w:id="9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92" w:name="x1-6030"/>
      <w:bookmarkEnd w:id="9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15(c);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93" w:name="x1-6031"/>
      <w:bookmarkEnd w:id="9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Krupski v. Costa Crociere S.p.A.,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560 U.S. 538, 547–57 (2010);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94" w:name="x1-6032"/>
      <w:bookmarkEnd w:id="9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Winzer v. Kaufman Cnty.,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916 F.3d 464, 470–71 (5th Cir. 2019);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95" w:name="x1-6033"/>
      <w:bookmarkEnd w:id="9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Butler v. Nat’l Cmty.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Renaissance,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766 F.3d 1191, 1200–02 (9th Cir. 2014).</w:t>
      </w:r>
    </w:p>
  </w:footnote>
  <w:footnote w:id="9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98" w:name="x1-6035xC"/>
      <w:bookmarkEnd w:id="9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99" w:name="x1-6036"/>
      <w:bookmarkEnd w:id="9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Ill. Sup. Ct. R. 224(a)(1)–(2), (b), (c);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0" w:name="x1-6037"/>
      <w:bookmarkEnd w:id="10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Tex. R. Civ. P. 202.1, 202.2(g), 202.4(a), 202.5;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1" w:name="x1-6038"/>
      <w:bookmarkEnd w:id="10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N.Y.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C.P.L.R.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3102(c) (2026);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2" w:name="x1-6039"/>
      <w:bookmarkEnd w:id="10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Cal. Civ. Proc. Code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2035.010(b) (2026). A New York pre-action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petition does not become a federal Rule 27 proceeding simply because a respondent removes it;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Teamsters Local 404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treated the state petition as outside the removable civil action described by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28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1441. 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3" w:name="x1-6040"/>
      <w:bookmarkEnd w:id="10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Teamsters Loc. 404 Health Servs. &amp; Ins. Plan v. King Pharms.,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906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F.3d 260, 264–69 (2d Cir. 2018).</w:t>
      </w:r>
    </w:p>
  </w:footnote>
  <w:footnote w:id="10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8" w:name="x1-7002xD"/>
      <w:bookmarkEnd w:id="10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09" w:name="x1-7003"/>
      <w:bookmarkEnd w:id="10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Stewart,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14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3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1067, 1075–79.</w:t>
      </w:r>
    </w:p>
  </w:footnote>
  <w:footnote w:id="11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2" w:name="x1-7005xD"/>
      <w:bookmarkEnd w:id="11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3" w:name="x1-7006"/>
      <w:bookmarkEnd w:id="11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Cen, Ismael &amp; Zheng,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14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3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7794–95, 7801–05. Their analysis includes nonparty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developers, preservation, procurement, and logging. The distinction here is institutional sequence: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front door imposes a visible-operator gateway, minimum deployment record, material-control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routing rule, and safe exit before a court can apply an access test to a defined requester–producer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relation.</w:t>
      </w:r>
    </w:p>
  </w:footnote>
  <w:footnote w:id="11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6" w:name="x1-7008xD"/>
      <w:bookmarkEnd w:id="11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7" w:name="x1-7009"/>
      <w:bookmarkEnd w:id="11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Carlos García-Llorente &amp; Ignacio Olmeda,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Making Algorithmic Transparency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Enforceable: Sufficient Intelligibility, Technical Evidence, and Auditability Across the EU and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US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34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’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J.L. &amp; I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nfo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ech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eaag008 (2026) (abstract) (proposing a minimum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technical-evidence package);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18" w:name="x1-7010"/>
      <w:bookmarkEnd w:id="11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Oswaldo Maxwell, The Procurement Record: How AI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Contracts Decouple Evidence, Risk, Control, and Accountability (unpublished manuscript,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July 10, 2026),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119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https://ssrn.com/abstract=7097518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(abstract) (treating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procurement file as a governance record);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20" w:name="x1-7011"/>
      <w:bookmarkEnd w:id="12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Shreya Chappidi et 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Accountability Capture: How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Record-Keeping to Support AI Transparency and Accountability (Re)shapes Algorithmic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Oversight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8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roceedings of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AAAI/ACM 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onference 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AI, 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thics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ociety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554, 558–63 (2025) (identifying behavioral effects of accountability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records).</w:t>
      </w:r>
    </w:p>
  </w:footnote>
  <w:footnote w:id="12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23" w:name="x1-7013xD"/>
      <w:bookmarkEnd w:id="12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24" w:name="x1-7014"/>
      <w:bookmarkEnd w:id="12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Yu et al.,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07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2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1–2, 8–9. The study codes federal opinions in which AI appears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parties’ contentions; it does not estimate the universe of AI incidents or adjudicate the validity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of any claim.</w:t>
      </w:r>
    </w:p>
  </w:footnote>
  <w:footnote w:id="12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29" w:name="x1-8002xE"/>
      <w:bookmarkEnd w:id="12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30" w:name="x1-8003"/>
      <w:bookmarkEnd w:id="13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ancy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G. 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eveson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ngineering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afer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W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orld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: 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ystems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hinking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pplied to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afety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75–76, 87–90 (2012) (developing the systems-theoretic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premise);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31" w:name="x1-8004"/>
      <w:bookmarkEnd w:id="13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Nancy G. Leveson &amp; John P. Thomas, STPA Handbook, at 14–15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(MIT Partnership for Systems Approaches to Safety and Security, 2018),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132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https://psas.scripts.mit.edu/home/get_file.php?name=STPA_handbook.pdf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(specifying the STPA method);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33" w:name="x1-8005"/>
      <w:bookmarkEnd w:id="13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Shalaleh Rismani et 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From Plane Crashes to Algorithmic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Harm: Applicability of Safety Engineering Frameworks for Responsible ML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CHI ’23 P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2:1–2:18, 2:5–2:6, 2:14–2:18 (2023),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134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https://doi.org/10.1145/3544548.3581407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(applying safety-engineering frameworks to responsible machine learning).</w:t>
      </w:r>
    </w:p>
  </w:footnote>
  <w:footnote w:id="14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46" w:name="x1-10002xA"/>
      <w:bookmarkEnd w:id="14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47" w:name="x1-10003"/>
      <w:bookmarkEnd w:id="14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Companion Chatbots, Cal. Bus. &amp; Prof. Code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22601(b), (e), 22602(a)–(c),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22603(a)–(d), 22604–22606 (2025). The enacted provisions do not contain the deployment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front-door rule proposed here; they demonstrate that a legislature can designate a relational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deployment, identify its operator, and attach enforceable protocol and reporting duties.</w:t>
      </w:r>
    </w:p>
  </w:footnote>
  <w:footnote w:id="16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1" w:name="x1-15002xi"/>
      <w:bookmarkEnd w:id="16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2" w:name="x1-15003"/>
      <w:bookmarkEnd w:id="16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Bristol-Myers Squibb Co. v. Superior Ct. of Cal.,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582 U.S. 255, 264–68 (2017);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63" w:name="x1-15004"/>
      <w:bookmarkEnd w:id="16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Ford Motor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Co. v. Mont. Eighth Jud. Dist. Ct.,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592 U.S. 351, 359–71 (2021). The model statute therefore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distinguishes a control holder directly subject to the Act from a supplier reached through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operator’s contract and local record.</w:t>
      </w:r>
    </w:p>
  </w:footnote>
  <w:footnote w:id="16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0" w:name="x1-17002xiii"/>
      <w:bookmarkEnd w:id="17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1" w:name="x1-17003"/>
      <w:bookmarkEnd w:id="17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Stewart,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14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3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1076–79. Counterfactual interrogation tests the behavior of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known decision-time version; Stage One supplies the identity and preservation predicates needed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to direct that tool.</w:t>
      </w:r>
    </w:p>
  </w:footnote>
  <w:footnote w:id="17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7" w:name="x1-18002xE"/>
      <w:bookmarkEnd w:id="17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78" w:name="x1-18003"/>
      <w:bookmarkEnd w:id="17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26(c)(1)(G).</w:t>
      </w:r>
    </w:p>
  </w:footnote>
  <w:footnote w:id="18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5" w:name="x1-20002xG"/>
      <w:bookmarkEnd w:id="18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Berk v. Choy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607 U.S. 187, 191–200 (2026) (reversing dismissal of the diversity action 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holding that Federal Rule of Civil Procedure 8 displaced Del. Code tit. 18,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6853);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id.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at 200–12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(Jackson, J., concurring in the judgment) (locating the conflicts in Rules 3 and 12 rather than Rule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8);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Hanna v. Plumer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380 U.S. 460, 469–74 (1965);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Shady Grove Orthopedic Associates, P.A. v.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Allstate Insurance Co.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559 U.S. 393, 398–410 (2010);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Sibbach v. Wilson &amp; Co.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312 U.S. 1,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14–16 (1941).</w:t>
      </w:r>
    </w:p>
  </w:footnote>
  <w:footnote w:id="18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88" w:name="x1-20004xG"/>
      <w:bookmarkEnd w:id="18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Fed. R. Civ. P. 26(b)(1), 26(d)(1), 27(a), 34(a), 37(e), 45(a)(2);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Workman v. United States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Postal Service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127 F.4th 237, 240–45 (10th Cir. 2025).</w:t>
      </w:r>
    </w:p>
  </w:footnote>
  <w:footnote w:id="19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1" w:name="x1-20006xG"/>
      <w:bookmarkEnd w:id="19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1681g(a)(1)–(3) (2024); Fla. Stat.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627.4137(1)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(2026); Cal. Lab. Code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1198.5(b)–(c), (n)–(o) (2026);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American Bank v. City of Menasha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627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F.3d 261, 265–67 (7th Cir. 2010).</w:t>
      </w:r>
    </w:p>
  </w:footnote>
  <w:footnote w:id="19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4" w:name="x1-20008xG"/>
      <w:bookmarkEnd w:id="19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Berk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607 U.S. at 195–96 (distinguishing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Cohen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Cohen v. Beneficial Industrial Loan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Corp.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337 U.S. 541, 555–56 (1949).</w:t>
      </w:r>
    </w:p>
  </w:footnote>
  <w:footnote w:id="19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197" w:name="x1-20010xG"/>
      <w:bookmarkEnd w:id="19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Compare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 re Citric Acid Litigation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191 F.3d 1090, 1107–08 (9th Cir. 1999) (applying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legal-right-to-obtain test), with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Sergeeva v. Tripleton International Ltd.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834 F.3d 1194, 1200–02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(11th Cir. 2016) (affirming, in a proceeding under 28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1782, a control finding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supported by the affiliated entities’ ordinary course of dealing and access to responsive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information).</w:t>
      </w:r>
    </w:p>
  </w:footnote>
  <w:footnote w:id="19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0" w:name="x1-20012xG"/>
      <w:bookmarkEnd w:id="20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28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1331, 1332, 1367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TransUnion LLC v. Ramirez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594 U.S. 413,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425–31, 440–42 (2021);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Spokeo, Inc. v. Robins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578 U.S. 330, 339–43 (2016);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Havens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Realty Corp. v. Coleman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455 U.S. 363, 373–74 (1982);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Public Citizen v. United States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Department of Justice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491 U.S. 440, 449–50 (1989);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Federal Election Commission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v. Akins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524 U.S. 11, 21–25 (1998);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ASARCO Inc. v. Kadish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490 U.S. 605, 617–18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(1989).</w:t>
      </w:r>
    </w:p>
  </w:footnote>
  <w:footnote w:id="20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03" w:name="x1-20014xG"/>
      <w:bookmarkEnd w:id="20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Walker v. Armco Steel Corp.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446 U.S. 740, 750–52 (1980);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Berk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607 U.S. at 205 (Jackson,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J., concurring in the judgment); Fed. R. Civ. P. 15(c), 37(e).</w:t>
      </w:r>
    </w:p>
  </w:footnote>
  <w:footnote w:id="20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0" w:name="x1-22002xA"/>
      <w:bookmarkEnd w:id="21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1" w:name="x1-22003"/>
      <w:bookmarkEnd w:id="21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1165–69, 1174–84;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2" w:name="x1-22004"/>
      <w:bookmarkEnd w:id="21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 Dismissal, ECF No. 244, at 1;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3" w:name="x1-22005"/>
      <w:bookmarkEnd w:id="21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Charging-Lien Order, ECF No. 273, at 1.</w:t>
      </w:r>
    </w:p>
  </w:footnote>
  <w:footnote w:id="21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7" w:name="x1-23002xi"/>
      <w:bookmarkEnd w:id="21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First Amended Complaint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¶¶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24–25, 50–72,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 v. Character Techs., Inc.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No.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6:24-cv-01903-ACC-EJK (M.D. Fla. Nov. 9, 2024), ECF No. 11;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18" w:name="x1-23003"/>
      <w:bookmarkEnd w:id="21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1165–66, 1183–84.</w:t>
      </w:r>
    </w:p>
  </w:footnote>
  <w:footnote w:id="22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23" w:name="x1-24002xii"/>
      <w:bookmarkEnd w:id="22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24" w:name="x1-24003"/>
      <w:bookmarkEnd w:id="22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Julian De Freitas et al., Lessons from an App Update at Replika AI: Identity Discontinuity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 Human–AI Relationships, at 11–25 (Harv. Bus. Sch. Working Paper No. 25-018, 2025),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225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https://www.hbs.edu/ris/Publication%20Files/25-018_d256c104-e5ba-4911-b72c-874c5492166e.pdf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26" w:name="x1-24004"/>
      <w:bookmarkEnd w:id="22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Jaime Banks,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Deletion, Departure, Death: Experiences of AI Companion Loss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41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J. 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&amp;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ers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 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elationships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3547, 3547–49, 3555–69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27" w:name="x1-24005"/>
      <w:bookmarkEnd w:id="22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Linnea Laestadius et 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Too Human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and Not Human Enough: A Grounded Theory Analysis of Mental Health Harms from Emotional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Dependence on the Social Chatbot Replika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26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ew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edia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&amp; 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’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5923, 5926–38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28" w:name="x1-24006"/>
      <w:bookmarkEnd w:id="22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Renwen Zhang et al.,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Dark Side of AI Companionship: A Taxonomy of Harmful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Algorithmic Behaviors in Human–AI Relationships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CHI ’25 P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roc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1, 5–19, 22–23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(2025).</w:t>
      </w:r>
    </w:p>
  </w:footnote>
  <w:footnote w:id="23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31" w:name="x1-24008xii"/>
      <w:bookmarkEnd w:id="23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32" w:name="x1-24009"/>
      <w:bookmarkEnd w:id="23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Hannah Rose Kirk et al., Neural Steering Vectors Reveal Dose and Exposure-Dependent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Impacts of Human–AI Relationships, at 2–3, 5–8, 10–11, arXiv:2512.01991v2 (Feb. 18, 2026).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preprint does not establish commercial-population incidence, historical foreseeability, clinical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injury, or tort causation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23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39" w:name="x1-25002xiii"/>
      <w:bookmarkEnd w:id="23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40" w:name="x1-25003"/>
      <w:bookmarkEnd w:id="24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1167–69.</w:t>
      </w:r>
    </w:p>
  </w:footnote>
  <w:footnote w:id="24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43" w:name="x1-25005xiii"/>
      <w:bookmarkEnd w:id="24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Fed. R. Evid. 407;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1169.</w:t>
      </w:r>
    </w:p>
  </w:footnote>
  <w:footnote w:id="24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50" w:name="x1-27002xi"/>
      <w:bookmarkEnd w:id="25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51" w:name="x1-27003"/>
      <w:bookmarkEnd w:id="25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Mobley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740 F. Supp. 3d at 806–08, 815–16. The order granted in part and denied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part a motion to dismiss; it made no finding of discriminatory operation or ultimate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agency.</w:t>
      </w:r>
    </w:p>
  </w:footnote>
  <w:footnote w:id="25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54" w:name="x1-27005xi"/>
      <w:bookmarkEnd w:id="25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55" w:name="x1-27006"/>
      <w:bookmarkEnd w:id="25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 Granting Preliminary Collective Certification at 2, 4, 10–13, 18–20,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Mobley v.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Workday,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 3:23-cv-00770-RFL (N.D. Cal. May 16, 2025), ECF No. 128. Preliminary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certification authorized notice and preserved Workday’s right to seek decertification; it was not 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merits or final class ruling.</w:t>
      </w:r>
    </w:p>
  </w:footnote>
  <w:footnote w:id="25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0" w:name="x1-28002xii"/>
      <w:bookmarkEnd w:id="26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1" w:name="x1-28003"/>
      <w:bookmarkEnd w:id="26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Discovery Order at 1–3, 8–10,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Mobley v. Workday,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 3:23-cv-00770-RFL (N.D. Cal.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May 29, 2026), ECF No. 340. The holding concerns the agreement and record before the court; it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does not classify every hosted Workday record.</w:t>
      </w:r>
    </w:p>
  </w:footnote>
  <w:footnote w:id="26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6" w:name="x1-29002xiii"/>
      <w:bookmarkEnd w:id="26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Id. at 3, 7–8, 10–11. The order protected identified attorney-directed testing; it did not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classify every evaluation or underlying business fact as privileged.</w:t>
      </w:r>
    </w:p>
  </w:footnote>
  <w:footnote w:id="26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69" w:name="x1-29004xiii"/>
      <w:bookmarkEnd w:id="26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70" w:name="x1-29005"/>
      <w:bookmarkEnd w:id="27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Upjohn Co. v. United States,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449 U.S. 383, 395–96 (1981);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71" w:name="x1-29006"/>
      <w:bookmarkEnd w:id="27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26(b)(3),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26(b)(5)(A).</w:t>
      </w:r>
    </w:p>
  </w:footnote>
  <w:footnote w:id="27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76" w:name="x1-30002xiv"/>
      <w:bookmarkEnd w:id="27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77" w:name="x1-30003"/>
      <w:bookmarkEnd w:id="27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Order Concerning HiredScore Features and Customer Identification at 1–2,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Mobley v.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Workday,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No. 3:23-cv-00770-RFL (N.D. Cal. July 29, 2025), ECF No. 158.</w:t>
      </w:r>
    </w:p>
  </w:footnote>
  <w:footnote w:id="28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82" w:name="x1-31002xv"/>
      <w:bookmarkEnd w:id="28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83" w:name="x1-31003"/>
      <w:bookmarkEnd w:id="28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Hous. Fed’n of Tchrs., Loc. 2415 v. Hous. Indep. Sch. Dist.,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251 F. Supp. 3d 1168,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1172–73, 1177–78 (S.D. Tex. 2017).</w:t>
      </w:r>
    </w:p>
  </w:footnote>
  <w:footnote w:id="28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86" w:name="x1-31005xv"/>
      <w:bookmarkEnd w:id="28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Id. at 1179–83, 1185.</w:t>
      </w:r>
    </w:p>
  </w:footnote>
  <w:footnote w:id="29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93" w:name="x1-32002xIV"/>
      <w:bookmarkEnd w:id="29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294" w:name="x1-32003"/>
      <w:bookmarkEnd w:id="29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 34(a)(1).</w:t>
      </w:r>
    </w:p>
  </w:footnote>
  <w:footnote w:id="29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0" w:name="x1-33003xA"/>
      <w:bookmarkEnd w:id="30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1" w:name="x1-33004"/>
      <w:bookmarkEnd w:id="30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estatement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hird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)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of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orts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: 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iability for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hysical and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motional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arm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16(a) (Am. L. Inst. 2010);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2" w:name="x1-33005"/>
      <w:bookmarkEnd w:id="30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estatement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hird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)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of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orts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: P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roducts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iability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4(b) (Am. L. Inst. 1998). Jurisdictions may assign statutory compliance a different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effect.</w:t>
      </w:r>
    </w:p>
  </w:footnote>
  <w:footnote w:id="30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7" w:name="x1-34002xB"/>
      <w:bookmarkEnd w:id="30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08" w:name="x1-34003"/>
      <w:bookmarkEnd w:id="30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Maxwell,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7008xD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16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(abstract) (treating the procurement file as a governance record).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front door adds a nonwaivable affected-person-facing answer and event-specific enforcement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path.</w:t>
      </w:r>
    </w:p>
  </w:footnote>
  <w:footnote w:id="31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16" w:name="x1-37002xi"/>
      <w:bookmarkEnd w:id="31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17" w:name="x1-37003"/>
      <w:bookmarkEnd w:id="31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14 C.F.R.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5.1–5.17, 5.21–5.25, 5.53–5.57, 5.71–5.75, 5.95–5.97 (2025).</w:t>
      </w:r>
    </w:p>
  </w:footnote>
  <w:footnote w:id="31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0" w:name="x1-37005xi"/>
      <w:bookmarkEnd w:id="32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1" w:name="x1-37006"/>
      <w:bookmarkEnd w:id="32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Federal Aviation Administration, Aviation Safety Reporting Program,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Advisory Circular 00-46F, at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¶¶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2, 6.2, 8.1–8.3, 12.3 (Apr. 2, 2021),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322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https://www.faa.gov/documentLibrary/media/Advisory_Circular/AC_00-46F.pdf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32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7" w:name="x1-38002xii"/>
      <w:bookmarkEnd w:id="32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28" w:name="x1-38003"/>
      <w:bookmarkEnd w:id="32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Federal Trade Commission, Model Order to File a Special Report Regarding AI Companion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Chatbots, File No. P254500, at Definitions &amp; Instructions; specs. 3, 11–17 (Sept. 10, 2025),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329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https://www.ftc.gov/system/files/ftc_gov/pdf/AICompanionChatbot6(b)Order.pdf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The order gathers information; it is not a finding that a recipient violated law.</w:t>
      </w:r>
    </w:p>
  </w:footnote>
  <w:footnote w:id="33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32" w:name="x1-38005xii"/>
      <w:bookmarkEnd w:id="33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33" w:name="x1-38006"/>
      <w:bookmarkEnd w:id="33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National Institute of Standards and Technology, Artificial Intelligence Risk Management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Framework (AI RMF 1.0), NIST AI 100-1, at GOVERN 1.7, 2.1, 2.3; MAP 3.5; MEASURE 2.5;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MANAGE 4.1 (Jan. 2023),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r:id="rId334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https://nvlpubs.nist.gov/nistpubs/ai/NIST.AI.100-1.pdf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.</w:t>
      </w:r>
    </w:p>
  </w:footnote>
  <w:footnote w:id="33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39" w:name="x1-39002xiii"/>
      <w:bookmarkEnd w:id="33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0" w:name="x1-39003"/>
      <w:bookmarkEnd w:id="34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1681b(b)(3)(A) (2024).</w:t>
      </w:r>
    </w:p>
  </w:footnote>
  <w:footnote w:id="34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3" w:name="x1-39005xiii"/>
      <w:bookmarkEnd w:id="34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4" w:name="x1-39006"/>
      <w:bookmarkEnd w:id="34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1681m(a)(1), (3)–(4) (2024).</w:t>
      </w:r>
    </w:p>
  </w:footnote>
  <w:footnote w:id="34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7" w:name="x1-39008xiii"/>
      <w:bookmarkEnd w:id="34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48" w:name="x1-39009"/>
      <w:bookmarkEnd w:id="34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1681g(a)(1)–(3), 1681h(a), 1681j(b),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1681i(a)(1)–(2), (a)(5), 1681s-2(b)(1) (2024).</w:t>
      </w:r>
    </w:p>
  </w:footnote>
  <w:footnote w:id="350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51" w:name="x1-39011xiii"/>
      <w:bookmarkEnd w:id="35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52" w:name="x1-39012"/>
      <w:bookmarkEnd w:id="35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1681m(h)(8)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53" w:name="x1-39013"/>
      <w:bookmarkEnd w:id="35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Perry v. First Nat’l Bank,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459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F.3d 816, 822–23 (7th Cir. 2006).</w:t>
      </w:r>
    </w:p>
  </w:footnote>
  <w:footnote w:id="358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59" w:name="x1-40002xE"/>
      <w:bookmarkEnd w:id="35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60" w:name="x1-40003"/>
      <w:bookmarkEnd w:id="36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Chappidi et al.,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7008xD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16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554–56, 559–64.</w:t>
      </w:r>
    </w:p>
  </w:footnote>
  <w:footnote w:id="364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65" w:name="x1-41002xF"/>
      <w:bookmarkEnd w:id="36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 Fed. R. Evid. 407.</w:t>
      </w:r>
    </w:p>
  </w:footnote>
  <w:footnote w:id="37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2" w:name="x1-43002xA"/>
      <w:bookmarkEnd w:id="37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3" w:name="x1-43003"/>
      <w:bookmarkEnd w:id="37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Henderson, supra note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hyperlink w:anchor="x1-2007xdoc">
        <w:r>
          <w:rPr>
            <w:rStyle w:val="Hyperlink"/>
            <w:rFonts w:ascii="Garamond" w:hAnsi="Garamond" w:cs="Garamond" w:eastAsia="Songti SC"/>
            <w:color w:val="000000"/>
            <w:sz w:val="18"/>
            <w:szCs w:val="18"/>
            <w:lang w:val="en-US" w:eastAsia="zh-CN"/>
          </w:rPr>
          <w:t xml:space="preserve">2</w:t>
        </w:r>
      </w:hyperlink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at 483, 515–17.</w:t>
      </w:r>
    </w:p>
  </w:footnote>
  <w:footnote w:id="37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8" w:name="x1-44002xB"/>
      <w:bookmarkEnd w:id="37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79" w:name="x1-44003"/>
      <w:bookmarkEnd w:id="37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Zauderer v. Off. of Disciplinary Couns. of the Sup. Ct. of Ohio,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471 U.S. 626,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650–53 (1985);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0" w:name="x1-44004"/>
      <w:bookmarkEnd w:id="38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Nat’l Inst. of Fam. &amp; Life Advocs. v. Becerra,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585 U.S. 755, 768–79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(2018).</w:t>
      </w:r>
    </w:p>
  </w:footnote>
  <w:footnote w:id="38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3" w:name="x1-44006xB"/>
      <w:bookmarkEnd w:id="38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4" w:name="x1-44007"/>
      <w:bookmarkEnd w:id="38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Ruckelshaus v. Monsanto Co.,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467 U.S. 986, 1001–14 (1984);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5" w:name="x1-44008"/>
      <w:bookmarkEnd w:id="38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Fed. R. Civ. P.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26(c)(1)(G).</w:t>
      </w:r>
    </w:p>
  </w:footnote>
  <w:footnote w:id="38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8" w:name="x1-44010xB"/>
      <w:bookmarkEnd w:id="38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Cf.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89" w:name="x1-44011"/>
      <w:bookmarkEnd w:id="38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City of L.A. v. Patel,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576 U.S. 409, 418–23 (2015) (requiring an opportunity for neutral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precompliance review before penalized administrative inspection). A private first-answer request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is not the hotel-inspection regime at issue in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Patel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; the case supplies a protective design principle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rather than the governing standard.</w:t>
      </w:r>
    </w:p>
  </w:footnote>
  <w:footnote w:id="39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94" w:name="x1-45002xC"/>
      <w:bookmarkEnd w:id="39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95" w:name="x1-45003"/>
      <w:bookmarkEnd w:id="39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CompuCredit Corp. v. Greenwood,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565 U.S. 95, 98–104 (2012);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96" w:name="x1-45004"/>
      <w:bookmarkEnd w:id="39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Kindred Nursing Ctrs.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L.P. v. Clark,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581 U.S. 246, 251–58 (2017);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397" w:name="x1-45005"/>
      <w:bookmarkEnd w:id="39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Preston v. Ferrer,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552 U.S. 346, 359–63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(2008).</w:t>
      </w:r>
    </w:p>
  </w:footnote>
  <w:footnote w:id="399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0" w:name="x1-45007xC"/>
      <w:bookmarkEnd w:id="40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1" w:name="x1-45008"/>
      <w:bookmarkEnd w:id="40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First Options of Chi., Inc. v. Kaplan,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514 U.S. 938, 943–47 (1995).</w:t>
      </w:r>
    </w:p>
  </w:footnote>
  <w:footnote w:id="403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4" w:name="x1-45010xC"/>
      <w:bookmarkEnd w:id="40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5" w:name="x1-45011"/>
      <w:bookmarkEnd w:id="40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Equal Emp’t Opportunity Comm’n v. Waffle House,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534 U.S. 279, 288–96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(2002).</w:t>
      </w:r>
    </w:p>
  </w:footnote>
  <w:footnote w:id="40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8" w:name="x1-45013xC"/>
      <w:bookmarkEnd w:id="40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09" w:name="x1-45014"/>
      <w:bookmarkEnd w:id="40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Federal Arbitration Act, 9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7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10" w:name="x1-45015"/>
      <w:bookmarkEnd w:id="41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CVS Health Corp. v. Vividus, LLC,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878 F.3d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703, 706–09 (9th Cir. 2017).</w:t>
      </w:r>
    </w:p>
  </w:footnote>
  <w:footnote w:id="412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13" w:name="x1-45017xC"/>
      <w:bookmarkEnd w:id="41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14" w:name="x1-45018"/>
      <w:bookmarkEnd w:id="41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Bristol-Myers Squibb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582 U.S. at 262–68;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15" w:name="x1-45019"/>
      <w:bookmarkEnd w:id="415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Ford Motor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592 U.S. at 358–72.</w:t>
      </w:r>
    </w:p>
  </w:footnote>
  <w:footnote w:id="417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18" w:name="x1-45021xC"/>
      <w:bookmarkEnd w:id="41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19" w:name="x1-45022"/>
      <w:bookmarkEnd w:id="41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Mallory v. Norfolk S. Ry. Co.,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600 U.S. 122, 134–36 (2023).</w:t>
      </w:r>
    </w:p>
  </w:footnote>
  <w:footnote w:id="42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2" w:name="x1-45024xC"/>
      <w:bookmarkEnd w:id="42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3" w:name="x1-45025"/>
      <w:bookmarkEnd w:id="42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 Reporting Act, 15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1681t(a), (b)(1)(B)–(C), (F)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4" w:name="x1-45026"/>
      <w:bookmarkEnd w:id="424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Fair Credit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Reporting Act; Preemption of State Laws, 90 Fed. Reg. 48,710, 48,710–15 (Oct. 28, 2025). The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agency document is nonbinding guidance; the statutory text controls.</w:t>
      </w:r>
    </w:p>
  </w:footnote>
  <w:footnote w:id="426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7" w:name="x1-45028xC"/>
      <w:bookmarkEnd w:id="42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8" w:name="x1-45029"/>
      <w:bookmarkEnd w:id="428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Employee Retirement Income Security Act, 29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1144(a)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29" w:name="x1-45030"/>
      <w:bookmarkEnd w:id="429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Gobeille v.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Liberty Mut. Ins. Co.,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577 U.S. 312, 320–26 (2016);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0" w:name="x1-45031"/>
      <w:bookmarkEnd w:id="430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Medical Device Amendments, 21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360k(a)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1" w:name="x1-45032"/>
      <w:bookmarkEnd w:id="431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Riegel v. Medtronic, Inc.,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552 U.S. 312, 321–30 (2008);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2" w:name="x1-45033"/>
      <w:bookmarkEnd w:id="43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Health Insurance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Portability and Accountability Act, 42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1320d-7(a)(2) (2024);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3" w:name="x1-45034"/>
      <w:bookmarkEnd w:id="43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HIPAA Privacy Rule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State-Law Preemption, 45 C.F.R.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160.202–.203 (2025).</w:t>
      </w:r>
    </w:p>
  </w:footnote>
  <w:footnote w:id="435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6" w:name="x1-45036xC"/>
      <w:bookmarkEnd w:id="436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37" w:name="x1-45037"/>
      <w:bookmarkEnd w:id="437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Title VII of the Civil Rights Act of 1964, 42 U.S.C.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§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 2000e-7 (2024).</w:t>
      </w:r>
    </w:p>
  </w:footnote>
  <w:footnote w:id="441">
    <w:p>
      <w:pPr>
        <w:pStyle w:val="FootnoteText"/>
        <w:spacing w:before="0" w:after="0" w:line="210" w:lineRule="exact"/>
        <w:ind w:firstLine="0"/>
        <w:jc w:val="both"/>
      </w:pPr>
      <w:r>
        <w:rPr>
          <w:rStyle w:val="FootnoteReference"/>
          <w:rFonts w:ascii="Garamond" w:hAnsi="Garamond" w:cs="Garamond" w:eastAsia="Songti SC"/>
          <w:color w:val="000000"/>
          <w:sz w:val="18"/>
          <w:szCs w:val="18"/>
          <w:vertAlign w:val="superscript"/>
          <w:lang w:val="en-US" w:eastAsia="zh-CN"/>
        </w:rPr>
        <w:footnoteRef/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42" w:name="x1-46002xD"/>
      <w:bookmarkEnd w:id="442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See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 </w:t>
      </w:r>
      <w:bookmarkStart w:id="443" w:name="x1-46003"/>
      <w:bookmarkEnd w:id="443"/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Garcia</w:t>
      </w:r>
      <w:r>
        <w:rPr>
          <w:rFonts w:ascii="Garamond" w:hAnsi="Garamond" w:cs="Garamond" w:eastAsia="Songti SC"/>
          <w:color w:val="000000"/>
          <w:sz w:val="18"/>
          <w:szCs w:val="18"/>
          <w:lang w:val="en-US" w:eastAsia="zh-CN"/>
        </w:rPr>
        <w:t xml:space="preserve">, 785 F. Supp. 3d at 1174–80.</w:t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20" w:lineRule="exact"/>
      <w:jc w:val="center"/>
    </w:pPr>
    <w:r>
      <w:rPr>
        <w:rFonts w:ascii="Garamond" w:hAnsi="Garamond" w:cs="Garamond" w:eastAsia="Songti SC"/>
        <w:i/>
        <w:iCs/>
        <w:sz w:val="24"/>
        <w:szCs w:val="24"/>
        <w:lang w:val="en-US" w:eastAsia="zh-CN"/>
      </w:rPr>
      <w:t>Harvard Journal of Law &amp; Technology</w:t>
    </w:r>
  </w:p>
  <w:p>
    <w:pPr>
      <w:spacing w:before="0" w:after="0" w:line="220" w:lineRule="exact"/>
      <w:jc w:val="center"/>
    </w:pPr>
    <w:r>
      <w:rPr>
        <w:rFonts w:ascii="Garamond" w:hAnsi="Garamond" w:cs="Garamond" w:eastAsia="Songti SC"/>
        <w:i/>
        <w:iCs/>
        <w:sz w:val="24"/>
        <w:szCs w:val="24"/>
        <w:lang w:val="en-US" w:eastAsia="zh-CN"/>
      </w:rPr>
      <w:t>(submission draft)</w:t>
    </w:r>
  </w:p>
</w:hdr>
</file>

<file path=word/header2.xml><?xml version="1.0" encoding="utf-8"?>
<w:hdr xmlns:w="http://schemas.openxmlformats.org/wordprocessingml/2006/main">
  <w:p>
    <w:pPr>
      <w:tabs>
        <w:tab w:val="right" w:pos="6480"/>
      </w:tabs>
      <w:spacing w:before="0" w:after="0" w:line="220" w:lineRule="exact"/>
    </w:pPr>
    <w:r>
      <w:rPr>
        <w:rFonts w:ascii="Garamond" w:hAnsi="Garamond" w:cs="Garamond" w:eastAsia="Songti SC"/>
        <w:i/>
        <w:iCs/>
        <w:sz w:val="21"/>
        <w:szCs w:val="21"/>
        <w:lang w:val="en-US" w:eastAsia="zh-CN"/>
      </w:rPr>
      <w:t>Who Controls, Who Answers?</w:t>
    </w:r>
    <w:r>
      <w:rPr>
        <w:rFonts w:ascii="Garamond" w:hAnsi="Garamond" w:cs="Garamond" w:eastAsia="Songti SC"/>
        <w:sz w:val="21"/>
        <w:szCs w:val="21"/>
        <w:lang w:val="en-US" w:eastAsia="zh-CN"/>
      </w:rPr>
      <w:tab/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begin"/>
    </w:r>
    <w:r>
      <w:rPr>
        <w:rFonts w:ascii="Garamond" w:hAnsi="Garamond" w:cs="Garamond" w:eastAsia="Songti SC"/>
        <w:sz w:val="21"/>
        <w:szCs w:val="21"/>
        <w:lang w:val="en-US" w:eastAsia="zh-CN"/>
      </w:rPr>
      <w:instrText xml:space="preserve"> PAGE </w:instrText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separate"/>
    </w:r>
    <w:r>
      <w:rPr>
        <w:rFonts w:ascii="Garamond" w:hAnsi="Garamond" w:cs="Garamond" w:eastAsia="Songti SC"/>
        <w:sz w:val="21"/>
        <w:szCs w:val="21"/>
        <w:lang w:val="en-US" w:eastAsia="zh-CN"/>
      </w:rPr>
      <w:t>1</w:t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end"/>
    </w:r>
  </w:p>
</w:hdr>
</file>

<file path=word/header3.xml><?xml version="1.0" encoding="utf-8"?>
<w:hdr xmlns:w="http://schemas.openxmlformats.org/wordprocessingml/2006/main">
  <w:p>
    <w:pPr>
      <w:tabs>
        <w:tab w:val="center" w:pos="3240"/>
        <w:tab w:val="right" w:pos="6480"/>
      </w:tabs>
      <w:spacing w:before="0" w:after="0" w:line="220" w:lineRule="exact"/>
    </w:pPr>
    <w:r>
      <w:rPr>
        <w:rFonts w:ascii="Garamond" w:hAnsi="Garamond" w:cs="Garamond" w:eastAsia="Songti SC"/>
        <w:sz w:val="21"/>
        <w:szCs w:val="21"/>
        <w:lang w:val="en-US" w:eastAsia="zh-CN"/>
      </w:rPr>
      <w:fldChar w:fldCharType="begin"/>
    </w:r>
    <w:r>
      <w:rPr>
        <w:rFonts w:ascii="Garamond" w:hAnsi="Garamond" w:cs="Garamond" w:eastAsia="Songti SC"/>
        <w:sz w:val="21"/>
        <w:szCs w:val="21"/>
        <w:lang w:val="en-US" w:eastAsia="zh-CN"/>
      </w:rPr>
      <w:instrText xml:space="preserve"> PAGE </w:instrText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separate"/>
    </w:r>
    <w:r>
      <w:rPr>
        <w:rFonts w:ascii="Garamond" w:hAnsi="Garamond" w:cs="Garamond" w:eastAsia="Songti SC"/>
        <w:sz w:val="21"/>
        <w:szCs w:val="21"/>
        <w:lang w:val="en-US" w:eastAsia="zh-CN"/>
      </w:rPr>
      <w:t>1</w:t>
    </w:r>
    <w:r>
      <w:rPr>
        <w:rFonts w:ascii="Garamond" w:hAnsi="Garamond" w:cs="Garamond" w:eastAsia="Songti SC"/>
        <w:sz w:val="21"/>
        <w:szCs w:val="21"/>
        <w:lang w:val="en-US" w:eastAsia="zh-CN"/>
      </w:rPr>
      <w:fldChar w:fldCharType="end"/>
    </w:r>
    <w:r>
      <w:rPr>
        <w:rFonts w:ascii="Garamond" w:hAnsi="Garamond" w:cs="Garamond" w:eastAsia="Songti SC"/>
        <w:sz w:val="21"/>
        <w:szCs w:val="21"/>
        <w:lang w:val="en-US" w:eastAsia="zh-CN"/>
      </w:rPr>
      <w:tab/>
    </w:r>
    <w:r>
      <w:rPr>
        <w:rFonts w:ascii="Garamond" w:hAnsi="Garamond" w:cs="Garamond" w:eastAsia="Songti SC"/>
        <w:sz w:val="21"/>
        <w:szCs w:val="21"/>
        <w:lang w:val="en-US" w:eastAsia="zh-CN"/>
      </w:rPr>
      <w:t>Harvard Journal of Law &amp; Technology</w:t>
    </w:r>
    <w:r>
      <w:rPr>
        <w:rFonts w:ascii="Garamond" w:hAnsi="Garamond" w:cs="Garamond" w:eastAsia="Songti SC"/>
        <w:sz w:val="21"/>
        <w:szCs w:val="21"/>
        <w:lang w:val="en-US" w:eastAsia="zh-CN"/>
      </w:rPr>
      <w:tab/>
    </w:r>
    <w:r>
      <w:rPr>
        <w:rFonts w:ascii="Garamond" w:hAnsi="Garamond" w:cs="Garamond" w:eastAsia="Songti SC"/>
        <w:sz w:val="21"/>
        <w:szCs w:val="21"/>
        <w:lang w:val="en-US" w:eastAsia="zh-CN"/>
      </w:rPr>
      <w:t>[2026]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w="http://schemas.openxmlformats.org/wordprocessingml/2006/main">
  <w:evenAndOddHeaders/>
  <w:zoom w:percent="100"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 w:eastAsia="zh-CN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styleId="BodyText" w:type="paragraph">
    <w:name w:val="Body Text"/>
    <w:basedOn w:val="Normal"/>
    <w:link w:val="BodyTextChar"/>
    <w:qFormat/>
    <w:pPr>
      <w:spacing w:before="0" w:after="0" w:line="320" w:lineRule="exact"/>
      <w:ind w:firstLine="360"/>
      <w:jc w:val="both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customStyle="1" w:styleId="FirstParagraph" w:type="paragraph">
    <w:name w:val="First Paragraph"/>
    <w:basedOn w:val="BodyText"/>
    <w:next w:val="BodyText"/>
    <w:qFormat/>
    <w:pPr>
      <w:spacing w:before="0" w:after="0" w:line="320" w:lineRule="exact"/>
      <w:ind w:firstLine="360"/>
      <w:jc w:val="both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customStyle="1" w:styleId="Compact" w:type="paragraph">
    <w:name w:val="Compact"/>
    <w:basedOn w:val="BodyText"/>
    <w:qFormat/>
    <w:pPr>
      <w:spacing w:before="0" w:after="0" w:line="280" w:lineRule="exact"/>
      <w:ind w:firstLine="0"/>
      <w:jc w:val="both"/>
    </w:pPr>
    <w:rPr>
      <w:rFonts w:ascii="Garamond" w:hAnsi="Garamond" w:cs="Garamond" w:eastAsia="Songti SC"/>
      <w:color w:val="000000"/>
      <w:sz w:val="22"/>
      <w:szCs w:val="22"/>
      <w:lang w:val="en-US" w:eastAsia="zh-C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keepLines/>
      <w:spacing w:before="0" w:after="180" w:line="340" w:lineRule="exact"/>
      <w:ind w:firstLine="0"/>
      <w:contextualSpacing/>
      <w:jc w:val="center"/>
    </w:pPr>
    <w:rPr>
      <w:rFonts w:ascii="Garamond" w:hAnsi="Garamond" w:cs="Garamond" w:eastAsia="Songti SC"/>
      <w:b/>
      <w:bCs/>
      <w:smallCaps/>
      <w:color w:val="000000"/>
      <w:sz w:val="28"/>
      <w:szCs w:val="28"/>
      <w:lang w:val="en-US" w:eastAsia="zh-CN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before="0" w:after="60" w:line="280" w:lineRule="exact"/>
      <w:ind w:firstLine="0"/>
      <w:jc w:val="center"/>
    </w:pPr>
    <w:rPr>
      <w:rFonts w:ascii="Garamond" w:hAnsi="Garamond" w:cs="Garamond" w:eastAsia="Songti SC"/>
      <w:i/>
      <w:iCs/>
      <w:color w:val="000000"/>
      <w:sz w:val="24"/>
      <w:szCs w:val="24"/>
      <w:lang w:val="en-US" w:eastAsia="zh-CN"/>
    </w:rPr>
  </w:style>
  <w:style w:styleId="Date" w:type="paragraph">
    <w:name w:val="Date"/>
    <w:basedOn w:val="Normal"/>
    <w:next w:val="BodyText"/>
    <w:qFormat/>
    <w:pPr>
      <w:keepNext/>
      <w:spacing w:before="0" w:after="180" w:line="240" w:lineRule="exact"/>
      <w:ind w:firstLine="0"/>
      <w:jc w:val="center"/>
    </w:pPr>
    <w:rPr>
      <w:rFonts w:ascii="Garamond" w:hAnsi="Garamond" w:cs="Garamond" w:eastAsia="Songti SC"/>
      <w:color w:val="000000"/>
      <w:sz w:val="20"/>
      <w:szCs w:val="20"/>
      <w:lang w:val="en-US" w:eastAsia="zh-CN"/>
    </w:rPr>
  </w:style>
  <w:style w:customStyle="1" w:styleId="AbstractTitle" w:type="paragraph">
    <w:name w:val="Abstract Title"/>
    <w:basedOn w:val="Normal"/>
    <w:next w:val="Abstract"/>
    <w:qFormat/>
    <w:pPr>
      <w:keepNext/>
      <w:spacing w:before="160" w:after="40" w:line="280" w:lineRule="exact"/>
      <w:ind w:firstLine="0"/>
      <w:jc w:val="center"/>
    </w:pPr>
    <w:rPr>
      <w:rFonts w:ascii="Garamond" w:hAnsi="Garamond" w:cs="Garamond" w:eastAsia="Songti SC"/>
      <w:b/>
      <w:bCs/>
      <w:smallCaps/>
      <w:color w:val="000000"/>
      <w:sz w:val="24"/>
      <w:szCs w:val="24"/>
      <w:lang w:val="en-US" w:eastAsia="zh-CN"/>
    </w:rPr>
  </w:style>
  <w:style w:customStyle="1" w:styleId="Abstract" w:type="paragraph">
    <w:name w:val="Abstract"/>
    <w:basedOn w:val="Normal"/>
    <w:next w:val="BodyText"/>
    <w:qFormat/>
    <w:pPr>
      <w:keepLines/>
      <w:spacing w:before="0" w:after="0" w:line="272" w:lineRule="exact"/>
      <w:ind w:firstLine="0"/>
      <w:jc w:val="both"/>
    </w:pPr>
    <w:rPr>
      <w:rFonts w:ascii="Garamond" w:hAnsi="Garamond" w:cs="Garamond" w:eastAsia="Songti SC"/>
      <w:i/>
      <w:iCs/>
      <w:color w:val="000000"/>
      <w:sz w:val="24"/>
      <w:szCs w:val="24"/>
      <w:lang w:val="en-US" w:eastAsia="zh-CN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00" w:after="100" w:line="280" w:lineRule="exact"/>
      <w:ind w:firstLine="0"/>
      <w:jc w:val="left"/>
      <w:outlineLvl w:val="0"/>
    </w:pPr>
    <w:rPr>
      <w:rFonts w:ascii="Garamond" w:hAnsi="Garamond" w:cs="Garamond" w:eastAsia="Songti SC"/>
      <w:smallCaps/>
      <w:color w:val="000000"/>
      <w:sz w:val="24"/>
      <w:szCs w:val="24"/>
      <w:lang w:val="en-US" w:eastAsia="zh-CN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60" w:after="100" w:line="280" w:lineRule="exact"/>
      <w:ind w:firstLine="0"/>
      <w:jc w:val="left"/>
      <w:outlineLvl w:val="1"/>
    </w:pPr>
    <w:rPr>
      <w:rFonts w:ascii="Garamond" w:hAnsi="Garamond" w:cs="Garamond" w:eastAsia="Songti SC"/>
      <w:smallCaps/>
      <w:color w:val="000000"/>
      <w:sz w:val="24"/>
      <w:szCs w:val="24"/>
      <w:lang w:val="en-US" w:eastAsia="zh-CN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300" w:after="100" w:line="280" w:lineRule="exact"/>
      <w:ind w:firstLine="0"/>
      <w:jc w:val="left"/>
      <w:outlineLvl w:val="2"/>
    </w:pPr>
    <w:rPr>
      <w:rFonts w:ascii="Garamond" w:hAnsi="Garamond" w:cs="Garamond" w:eastAsia="Songti SC"/>
      <w:smallCaps/>
      <w:color w:val="000000"/>
      <w:sz w:val="24"/>
      <w:szCs w:val="24"/>
      <w:lang w:val="en-US" w:eastAsia="zh-CN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20" w:after="70" w:line="280" w:lineRule="exact"/>
      <w:ind w:firstLine="0"/>
      <w:jc w:val="left"/>
      <w:outlineLvl w:val="3"/>
    </w:pPr>
    <w:rPr>
      <w:rFonts w:ascii="Garamond" w:hAnsi="Garamond" w:cs="Garamond" w:eastAsia="Songti SC"/>
      <w:smallCaps/>
      <w:color w:val="000000"/>
      <w:sz w:val="22"/>
      <w:szCs w:val="22"/>
      <w:lang w:val="en-US" w:eastAsia="zh-CN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80" w:after="50" w:line="280" w:lineRule="exact"/>
      <w:ind w:firstLine="0"/>
      <w:jc w:val="left"/>
      <w:outlineLvl w:val="4"/>
    </w:pPr>
    <w:rPr>
      <w:rFonts w:ascii="Garamond" w:hAnsi="Garamond" w:cs="Garamond" w:eastAsia="Songti SC"/>
      <w:i/>
      <w:iCs/>
      <w:color w:val="000000"/>
      <w:sz w:val="21"/>
      <w:szCs w:val="21"/>
      <w:lang w:val="en-US" w:eastAsia="zh-CN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before="80" w:after="80" w:line="320" w:lineRule="exact"/>
      <w:ind w:firstLine="0" w:left="360" w:right="360"/>
      <w:jc w:val="both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 w:line="210" w:lineRule="exact"/>
      <w:ind w:firstLine="0"/>
      <w:jc w:val="both"/>
    </w:pPr>
    <w:rPr>
      <w:rFonts w:ascii="Garamond" w:hAnsi="Garamond" w:cs="Garamond" w:eastAsia="Songti SC"/>
      <w:color w:val="000000"/>
      <w:sz w:val="18"/>
      <w:szCs w:val="18"/>
      <w:lang w:val="en-US" w:eastAsia="zh-C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before="40" w:after="40" w:line="210" w:lineRule="exact"/>
      <w:ind w:firstLine="0" w:left="360" w:right="360"/>
      <w:jc w:val="both"/>
    </w:pPr>
    <w:rPr>
      <w:rFonts w:ascii="Garamond" w:hAnsi="Garamond" w:cs="Garamond" w:eastAsia="Songti SC"/>
      <w:color w:val="000000"/>
      <w:sz w:val="18"/>
      <w:szCs w:val="18"/>
      <w:lang w:val="en-US" w:eastAsia="zh-C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spacing w:before="0" w:after="0" w:line="320" w:lineRule="exact"/>
      <w:ind w:firstLine="0" w:left="360"/>
      <w:jc w:val="left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customStyle="1" w:styleId="Definition" w:type="paragraph">
    <w:name w:val="Definition"/>
    <w:basedOn w:val="Normal"/>
    <w:pPr>
      <w:spacing w:before="0" w:after="0" w:line="320" w:lineRule="exact"/>
      <w:ind w:firstLine="0" w:left="720"/>
      <w:jc w:val="both"/>
    </w:pPr>
    <w:rPr>
      <w:rFonts w:ascii="Garamond" w:hAnsi="Garamond" w:cs="Garamond" w:eastAsia="Songti SC"/>
      <w:color w:val="000000"/>
      <w:sz w:val="24"/>
      <w:szCs w:val="24"/>
      <w:lang w:val="en-US" w:eastAsia="zh-CN"/>
    </w:rPr>
  </w:style>
  <w:style w:styleId="Caption" w:type="paragraph">
    <w:name w:val="Caption"/>
    <w:basedOn w:val="Normal"/>
    <w:link w:val="BodyTextChar"/>
    <w:pPr>
      <w:spacing w:before="80" w:after="100" w:line="240" w:lineRule="exact"/>
      <w:ind w:firstLine="0"/>
      <w:jc w:val="center"/>
    </w:pPr>
    <w:rPr>
      <w:rFonts w:ascii="Garamond" w:hAnsi="Garamond" w:cs="Garamond" w:eastAsia="Songti SC"/>
      <w:i/>
      <w:iCs/>
      <w:color w:val="000000"/>
      <w:sz w:val="20"/>
      <w:szCs w:val="20"/>
      <w:lang w:val="en-US" w:eastAsia="zh-CN"/>
    </w:rPr>
  </w:style>
  <w:style w:customStyle="1" w:styleId="TableCaption" w:type="paragraph">
    <w:name w:val="Table Caption"/>
    <w:basedOn w:val="Normal"/>
    <w:pPr>
      <w:spacing w:before="80" w:after="100" w:line="240" w:lineRule="exact"/>
      <w:ind w:firstLine="0"/>
      <w:jc w:val="center"/>
    </w:pPr>
    <w:rPr>
      <w:rFonts w:ascii="Garamond" w:hAnsi="Garamond" w:cs="Garamond" w:eastAsia="Songti SC"/>
      <w:i/>
      <w:iCs/>
      <w:color w:val="000000"/>
      <w:sz w:val="20"/>
      <w:szCs w:val="20"/>
      <w:lang w:val="en-US" w:eastAsia="zh-CN"/>
    </w:rPr>
  </w:style>
  <w:style w:customStyle="1" w:styleId="ImageCaption" w:type="paragraph">
    <w:name w:val="Image Caption"/>
    <w:basedOn w:val="Normal"/>
    <w:pPr>
      <w:spacing w:before="80" w:after="100" w:line="240" w:lineRule="exact"/>
      <w:ind w:firstLine="0"/>
      <w:jc w:val="center"/>
    </w:pPr>
    <w:rPr>
      <w:rFonts w:ascii="Garamond" w:hAnsi="Garamond" w:cs="Garamond" w:eastAsia="Songti SC"/>
      <w:i/>
      <w:iCs/>
      <w:color w:val="000000"/>
      <w:sz w:val="20"/>
      <w:szCs w:val="20"/>
      <w:lang w:val="en-US" w:eastAsia="zh-CN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rFonts w:ascii="Garamond" w:hAnsi="Garamond" w:cs="Garamond" w:eastAsia="Songti SC"/>
      <w:color w:val="000000"/>
      <w:sz w:val="18"/>
      <w:szCs w:val="18"/>
      <w:vertAlign w:val="superscript"/>
      <w:lang w:val="en-US" w:eastAsia="zh-CN"/>
    </w:rPr>
  </w:style>
  <w:style w:styleId="Hyperlink" w:type="character">
    <w:name w:val="Hyperlink"/>
    <w:basedOn w:val="BodyTextChar"/>
    <w:rPr>
      <w:rFonts w:ascii="Garamond" w:hAnsi="Garamond" w:cs="Garamond" w:eastAsia="Songti SC"/>
      <w:color w:val="0000FF"/>
      <w:sz w:val="20"/>
      <w:szCs w:val="20"/>
      <w:u w:val="single"/>
      <w:lang w:val="en-US" w:eastAsia="zh-CN"/>
    </w:rPr>
  </w:style>
  <w:style w:styleId="TOCHeading" w:type="paragraph">
    <w:name w:val="TOC Heading"/>
    <w:basedOn w:val="Normal"/>
    <w:next w:val="BodyText"/>
    <w:uiPriority w:val="39"/>
    <w:unhideWhenUsed/>
    <w:qFormat/>
    <w:pPr>
      <w:keepNext/>
      <w:spacing w:before="0" w:after="160" w:line="280" w:lineRule="exact"/>
      <w:ind w:firstLine="0"/>
      <w:jc w:val="center"/>
      <w:outlineLvl w:val="9"/>
    </w:pPr>
    <w:rPr>
      <w:rFonts w:ascii="Garamond" w:hAnsi="Garamond" w:cs="Garamond" w:eastAsia="Songti SC"/>
      <w:b/>
      <w:bCs/>
      <w:smallCaps/>
      <w:color w:val="000000"/>
      <w:sz w:val="24"/>
      <w:szCs w:val="24"/>
      <w:lang w:val="en-US" w:eastAsia="zh-CN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styleId="TOC1" w:customStyle="1">
    <w:name w:val="TOC 1"/>
    <w:basedOn w:val="Normal"/>
    <w:pPr>
      <w:spacing w:before="0" w:after="0" w:line="240" w:lineRule="exact"/>
      <w:ind w:firstLine="0"/>
      <w:jc w:val="left"/>
    </w:pPr>
    <w:rPr>
      <w:rFonts w:ascii="Garamond" w:hAnsi="Garamond" w:cs="Garamond" w:eastAsia="Songti SC"/>
      <w:color w:val="000000"/>
      <w:sz w:val="20"/>
      <w:szCs w:val="20"/>
      <w:lang w:val="en-US" w:eastAsia="zh-CN"/>
    </w:rPr>
  </w:style>
  <w:style w:type="character" w:styleId="TOCLink" w:customStyle="1">
    <w:name w:val="TOC Link"/>
    <w:basedOn w:val="DefaultParagraphFont"/>
    <w:rPr>
      <w:rFonts w:ascii="Garamond" w:hAnsi="Garamond" w:cs="Garamond" w:eastAsia="Songti SC"/>
      <w:color w:val="000000"/>
      <w:sz w:val="20"/>
      <w:szCs w:val="20"/>
      <w:u w:val="none"/>
      <w:lang w:val="en-US" w:eastAsia="zh-C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30" Target="https://arxiv.org/abs/2607.23888" TargetMode="External" /><Relationship Type="http://schemas.openxmlformats.org/officeDocument/2006/relationships/hyperlink" Id="rId134" Target="https://doi.org/10.1145/3544548.3581407" TargetMode="External" /><Relationship Type="http://schemas.openxmlformats.org/officeDocument/2006/relationships/hyperlink" Id="rId35" Target="https://doi.org/10.1145/3805689.3806532" TargetMode="External" /><Relationship Type="http://schemas.openxmlformats.org/officeDocument/2006/relationships/hyperlink" Id="rId38" Target="https://doi.org/10.1145/3805689.3812219" TargetMode="External" /><Relationship Type="http://schemas.openxmlformats.org/officeDocument/2006/relationships/hyperlink" Id="rId334" Target="https://nvlpubs.nist.gov/nistpubs/ai/NIST.AI.100-1.pdf" TargetMode="External" /><Relationship Type="http://schemas.openxmlformats.org/officeDocument/2006/relationships/hyperlink" Id="rId132" Target="https://psas.scripts.mit.edu/home/get_file.php?name=STPA_handbook.pdf" TargetMode="External" /><Relationship Type="http://schemas.openxmlformats.org/officeDocument/2006/relationships/hyperlink" Id="rId119" Target="https://ssrn.com/abstract=7097518" TargetMode="External" /><Relationship Type="http://schemas.openxmlformats.org/officeDocument/2006/relationships/hyperlink" Id="rId322" Target="https://www.faa.gov/documentLibrary/media/Advisory_Circular/AC_00-46F.pdf" TargetMode="External" /><Relationship Type="http://schemas.openxmlformats.org/officeDocument/2006/relationships/hyperlink" Id="rId329" Target="https://www.ftc.gov/system/files/ftc_gov/pdf/AICompanionChatbot6(b)Order.pdf" TargetMode="External" /><Relationship Type="http://schemas.openxmlformats.org/officeDocument/2006/relationships/hyperlink" Id="rId225" Target="https://www.hbs.edu/ris/Publication%20Files/25-018_d256c104-e5ba-4911-b72c-874c5492166e.pdf" TargetMode="External" /><Relationship Id="rIdHarvardJoltFirst" Type="http://schemas.openxmlformats.org/officeDocument/2006/relationships/header" Target="header1.xml" /><Relationship Id="rIdHarvardJoltOdd" Type="http://schemas.openxmlformats.org/officeDocument/2006/relationships/header" Target="header2.xml" /><Relationship Id="rIdHarvardJoltEven" Type="http://schemas.openxmlformats.org/officeDocument/2006/relationships/header" Target="header3.xm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rxiv.org/abs/2607.23888" TargetMode="External" /><Relationship Type="http://schemas.openxmlformats.org/officeDocument/2006/relationships/hyperlink" Id="rId134" Target="https://doi.org/10.1145/3544548.3581407" TargetMode="External" /><Relationship Type="http://schemas.openxmlformats.org/officeDocument/2006/relationships/hyperlink" Id="rId35" Target="https://doi.org/10.1145/3805689.3806532" TargetMode="External" /><Relationship Type="http://schemas.openxmlformats.org/officeDocument/2006/relationships/hyperlink" Id="rId38" Target="https://doi.org/10.1145/3805689.3812219" TargetMode="External" /><Relationship Type="http://schemas.openxmlformats.org/officeDocument/2006/relationships/hyperlink" Id="rId334" Target="https://nvlpubs.nist.gov/nistpubs/ai/NIST.AI.100-1.pdf" TargetMode="External" /><Relationship Type="http://schemas.openxmlformats.org/officeDocument/2006/relationships/hyperlink" Id="rId132" Target="https://psas.scripts.mit.edu/home/get_file.php?name=STPA_handbook.pdf" TargetMode="External" /><Relationship Type="http://schemas.openxmlformats.org/officeDocument/2006/relationships/hyperlink" Id="rId119" Target="https://ssrn.com/abstract=7097518" TargetMode="External" /><Relationship Type="http://schemas.openxmlformats.org/officeDocument/2006/relationships/hyperlink" Id="rId322" Target="https://www.faa.gov/documentLibrary/media/Advisory_Circular/AC_00-46F.pdf" TargetMode="External" /><Relationship Type="http://schemas.openxmlformats.org/officeDocument/2006/relationships/hyperlink" Id="rId329" Target="https://www.ftc.gov/system/files/ftc_gov/pdf/AICompanionChatbot6(b)Order.pdf" TargetMode="External" /><Relationship Type="http://schemas.openxmlformats.org/officeDocument/2006/relationships/hyperlink" Id="rId225" Target="https://www.hbs.edu/ris/Publication%20Files/25-018_d256c104-e5ba-4911-b72c-874c5492166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Who Controls, Who Answers? A Deployment Front Door for High-Impact AI Litigation</dc:title>
  <dc:creator/>
  <dc:language>en-US</dc:language>
  <cp:keywords/>
  <ns2:created xsi:type="dcterms:W3CDTF">2026-09-01T12:34:18Z</ns2:created>
  <ns2:modified xsi:type="dcterms:W3CDTF">2026-09-01T12:34:18Z</ns2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what-is-ai-for-courts.tex</vt:lpwstr>
  </property>
  <property fmtid="{D5CDD505-2E9C-101B-9397-08002B2CF9AE}" pid="4" name="viewport">
    <vt:lpwstr>width=device-width,initial-scale=1</vt:lpwstr>
  </property>
</Properties>
</file>