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6.png" ContentType="image/png"/>
  <Override PartName="/word/media/rId87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r="http://schemas.openxmlformats.org/officeDocument/2006/relationships" xmlns:w="http://schemas.openxmlformats.org/wordprocessingml/2006/main">
  <w:body>
    <w:bookmarkStart w:id="97" w:name="Xee89abfa2a37bf19544e1d673d5d4ced202c13f"/>
    <w:p>
      <w:pPr>
        <w:pStyle w:val="Title"/>
        <w:keepNext/>
        <w:keepLines/>
        <w:spacing w:before="0" w:after="180" w:line="340" w:lineRule="exact"/>
        <w:ind w:firstLine="0"/>
        <w:jc w:val="center"/>
      </w:pPr>
      <w:r>
        <w:rPr>
          <w:rFonts w:ascii="Garamond" w:hAnsi="Garamond" w:cs="Garamond" w:eastAsia="Songti SC"/>
          <w:b/>
          <w:bCs/>
          <w:smallCaps/>
          <w:color w:val="000000"/>
          <w:sz w:val="28"/>
          <w:szCs w:val="28"/>
          <w:lang w:val="en-US" w:eastAsia="zh-CN"/>
        </w:rPr>
        <w:t xml:space="preserve">Before the Merits: A Deployment Front Door for</w:t>
      </w:r>
      <w:r>
        <w:rPr>
          <w:rFonts w:ascii="Garamond" w:hAnsi="Garamond" w:cs="Garamond" w:eastAsia="Songti SC"/>
          <w:b/>
          <w:bCs/>
          <w:smallCaps/>
          <w:color w:val="000000"/>
          <w:sz w:val="28"/>
          <w:szCs w:val="28"/>
          <w:lang w:val="en-US" w:eastAsia="zh-CN"/>
        </w:rPr>
        <w:t xml:space="preserve"> </w:t>
      </w:r>
      <w:r>
        <w:rPr>
          <w:rFonts w:ascii="Garamond" w:hAnsi="Garamond" w:cs="Garamond" w:eastAsia="Songti SC"/>
          <w:b/>
          <w:bCs/>
          <w:smallCaps/>
          <w:color w:val="000000"/>
          <w:sz w:val="28"/>
          <w:szCs w:val="28"/>
          <w:lang w:val="en-US" w:eastAsia="zh-CN"/>
        </w:rPr>
        <w:t xml:space="preserve">High-Impact AI Litigation</w:t>
      </w:r>
    </w:p>
    <w:p>
      <w:pPr>
        <w:pStyle w:val="Author"/>
        <w:keepNext/>
        <w:spacing w:before="0" w:after="60" w:line="28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Anonymous</w:t>
      </w:r>
      <w:r>
        <w:rPr>
          <w:rStyle w:val="FootnoteReference"/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>*</w:t>
      </w:r>
    </w:p>
    <w:p>
      <w:pPr>
        <w:pStyle w:val="Date"/>
        <w:keepNext/>
        <w:spacing w:before="0" w:after="180" w:line="240" w:lineRule="exact"/>
        <w:ind w:firstLine="0"/>
        <w:jc w:val="center"/>
      </w:pP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(submission draft)</w:t>
      </w:r>
      <w:bookmarkStart w:id="96" w:name="x1-2f1"/>
      <w:bookmarkEnd w:id="96"/>
    </w:p>
    <w:bookmarkEnd w:id="97"/>
    <w:bookmarkStart w:id="98" w:name="abstract"/>
    <w:p>
      <w:pPr>
        <w:pStyle w:val="AbstractTitle"/>
        <w:keepNext/>
        <w:spacing w:before="160" w:after="40" w:line="280" w:lineRule="exact"/>
        <w:ind w:firstLine="0"/>
        <w:jc w:val="center"/>
      </w:pPr>
      <w:r>
        <w:rPr>
          <w:rFonts w:ascii="Garamond" w:hAnsi="Garamond" w:cs="Garamond" w:eastAsia="Songti SC"/>
          <w:b/>
          <w:bCs/>
          <w:smallCaps/>
          <w:color w:val="000000"/>
          <w:sz w:val="24"/>
          <w:szCs w:val="24"/>
          <w:lang w:val="en-US" w:eastAsia="zh-CN"/>
        </w:rPr>
        <w:t xml:space="preserve">Abstract</w:t>
      </w:r>
    </w:p>
    <w:p>
      <w:pPr>
        <w:pStyle w:val="Abstract"/>
        <w:spacing w:before="0" w:after="0" w:line="320" w:lineRule="exact"/>
        <w:ind w:firstLine="0"/>
        <w:jc w:val="both"/>
        <w:keepLines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AI litigation can stop before substantive doctrine can operate. An affected person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may observe an adverse decision or interaction while the model, version, event record,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and allocation of control remain divided among enterprises. Discovery ordinarily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presupposes an identifiable target and cannot produce a deployment record that was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never created.</w:t>
      </w:r>
    </w:p>
    <w:p>
      <w:pPr>
        <w:pStyle w:val="Abstract"/>
        <w:spacing w:before="0" w:after="0" w:line="320" w:lineRule="exact"/>
        <w:ind w:firstLine="0"/>
        <w:jc w:val="both"/>
        <w:keepLines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This Article identifies that pre-merits attribution gap and proposes model sectoral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legislation creating a deployment front door. For a designated high-impact deployment,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an affected person invokes Stage One by identifying an adverse event affecting an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interest protected by specified law, the covered deployment through which it occurred,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and facts connecting bounded identity and event fields to that occurrence. Stage One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never requires facts held exclusively in the deployment record. The visible operator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must identify the system, supply an event receipt and custodian map, and preserve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the record. An identified enterprise remains for Stage Two only when it held practical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authority over a risk-relevant function, the Stage One record supports that the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function formed part of the event path or governed a safeguard, and the requested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information bears non-de-minimally on an element, defense, or remedy. Production is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claim specific, proportionate, nonprivileged, and protected. A merits firewall prevents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any participation-based merits inference.</w:t>
      </w:r>
    </w:p>
    <w:p>
      <w:pPr>
        <w:pStyle w:val="Abstract"/>
        <w:spacing w:before="0" w:after="0" w:line="320" w:lineRule="exact"/>
        <w:ind w:firstLine="0"/>
        <w:jc w:val="both"/>
        <w:keepLines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An ex ante record duty makes the rule usable by preserving version, approval,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evaluation, escalation, intervention, and contractual-retrieval fields before suit.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Garcia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v. Character Technologies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demonstrates the missing-record problem inside a visible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consumer service;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Mobley v. Workday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demonstrates identity, custody, and control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divided across an employment stack. In both, the front door supplies the predicates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while ordinary law decides who wins.</w:t>
      </w:r>
    </w:p>
    <w:p>
      <w:pPr>
        <w:pStyle w:val="Abstract"/>
        <w:spacing w:before="0" w:after="0" w:line="320" w:lineRule="exact"/>
        <w:ind w:firstLine="0"/>
        <w:jc w:val="both"/>
        <w:keepLines/>
      </w:pPr>
      <w:r>
        <w:rPr>
          <w:rFonts w:ascii="Garamond" w:hAnsi="Garamond" w:cs="Garamond" w:eastAsia="Songti SC"/>
          <w:b/>
          <w:bCs/>
          <w:i/>
          <w:iCs/>
          <w:color w:val="000000"/>
          <w:sz w:val="24"/>
          <w:szCs w:val="24"/>
          <w:lang w:val="en-US" w:eastAsia="zh-CN"/>
        </w:rPr>
        <w:t xml:space="preserve">Keywords:</w:t>
      </w:r>
      <w:r>
        <w:rPr>
          <w:rFonts w:ascii="Garamond" w:hAnsi="Garamond" w:cs="Garamond" w:eastAsia="Songti SC"/>
          <w:b/>
          <w:bCs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artificial intelligence litigation; deployment front door; high-impact AI;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early disclosure; deployment records; material control</w:t>
      </w:r>
    </w:p>
    <w:p>
      <w:pPr>
        <w:pStyle w:val="FootnoteText"/>
        <w:pBdr>
          <w:top w:val="single" w:sz="4" w:space="1" w:color="000000"/>
        </w:pBdr>
        <w:spacing w:before="40" w:after="0" w:line="180" w:lineRule="exact"/>
        <w:ind w:firstLine="0" w:right="3600"/>
        <w:jc w:val="left"/>
      </w:pPr>
    </w:p>
    <w:p>
      <w:pPr>
        <w:pStyle w:val="FootnoteText"/>
        <w:spacing w:before="0" w:after="80" w:line="210" w:lineRule="exact"/>
        <w:ind w:firstLine="0"/>
        <w:jc w:val="both"/>
      </w:pP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*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>Google Gemini 3.1 Pro was used for LaTeX formatting, Microsoft Word layout, figure preparation and prose translation. The authors remain responsible for all claims, quotations, and citations.</w:t>
      </w:r>
    </w:p>
    <w:bookmarkEnd w:id="98"/>
    <w:bookmarkStart w:id="100" w:name="contents"/>
    <w:p>
      <w:pPr>
        <w:pStyle w:val="TOCHeading"/>
        <w:keepNext/>
        <w:pageBreakBefore/>
        <w:spacing w:before="0" w:after="160" w:line="280" w:lineRule="exact"/>
        <w:ind w:firstLine="0"/>
        <w:jc w:val="center"/>
      </w:pPr>
      <w:bookmarkStart w:id="99" w:name="x1-1000"/>
      <w:bookmarkEnd w:id="99"/>
      <w:r>
        <w:rPr>
          <w:rFonts w:ascii="Garamond" w:hAnsi="Garamond" w:cs="Garamond" w:eastAsia="Songti SC"/>
          <w:b/>
          <w:bCs/>
          <w:smallCaps/>
          <w:color w:val="000000"/>
          <w:sz w:val="24"/>
          <w:szCs w:val="24"/>
          <w:lang w:val="en-US" w:eastAsia="zh-CN"/>
        </w:rPr>
        <w:t xml:space="preserve">Contents</w:t>
      </w:r>
    </w:p>
    <w:p>
      <w:pPr>
        <w:pStyle w:val="TOC1"/>
        <w:spacing w:before="0" w:after="0" w:line="240" w:lineRule="exact"/>
        <w:ind w:firstLine="0"/>
        <w:jc w:val="left"/>
      </w:pPr>
      <w:hyperlink w:anchor="introduction1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Introduction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premerits-attribution-gap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Pre-Merits Attribution Gap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373513752e49abb5fbcd58354d54f743b4b83d8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Output Does Not Reveal the Deployment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wo-coordinates-define-the-gap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Two Coordinates Define the Gap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0d45b1bf289ec41abdcdcdd96a97e2c1be6f103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Ordinary Procedure Opens After Four Predicates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ab8175e220738ba490249d3c1f68399b6f12eb5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Existing Evidence Rights Need a Deployment Front End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cascade-specifies-the-missing-record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Cascade Specifies the Missing Record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II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deployment-frontdoor-rul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Deployment Front-Door Rule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sectoral-designation-defines-the-field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Sectoral Designation Defines the Field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visible-operator-answers-firs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Visible Operator Answers First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9e7a45e9943e08544407f510f9a942aad7a0627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Material Control Requires Risk, Authority, and Information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 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Materiality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1207eb8943d5e4b552dc061fe7ef63b2b80a36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Creation, Preservation, and Production Are Separate Duties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protection-remedies-and-safe-exi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Protection, Remedies, and Safe Exit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F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model-statutory-tex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Model Statutory Text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G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9f368c707862d4e4fce8f56b15ef2e649f28023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Front Door Ends Where Federal Discovery Begins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III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ule-in-operation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Rule in Operation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an-integrated-deployment-garcia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An Integrated Deployment: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 </w:t>
        </w:r>
        <w:r>
          <w:rPr>
            <w:rStyle w:val="TOCLink"/>
            <w:rFonts w:ascii="Garamond" w:hAnsi="Garamond" w:cs="Garamond" w:eastAsia="Songti SC"/>
            <w:i/>
            <w:iCs/>
            <w:color w:val="000000"/>
            <w:sz w:val="20"/>
            <w:szCs w:val="20"/>
            <w:u w:val="none"/>
            <w:lang w:val="en-US" w:eastAsia="zh-CN"/>
          </w:rPr>
          <w:t xml:space="preserve">Garcia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523887ecf0e5c5a8ca26ad4aca0e46251deff1b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A Divided Deployment: The Vendor Hosts the Data; the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 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Employer Controls It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IV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ecord-infrastructur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Record Infrastructure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96e6df3ce2b0fe9ae370cd78843786deb0393c7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Charter Is the Deployment Record’s Control Sheet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ecord-has-a-standard-interfac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Record Has a Standard Interface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20f93bd622b219086ee0900f04dbdb471b336f6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Identity, Feedback, and Event Records Have Different Clocks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3bf8f79bbc4024447d2fb1025eff4c0b5e2ceca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Existing Regimes Demonstrate Administrability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16ad30c4d706d066ca5ea4f581954ce6b0ad1f3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Recordkeeping Risks Require Minimization by Design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F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ecd9a04b62efd8f961ae391a9a4ac0f1d5ab6ef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Accurate Records Require Protected Escalation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G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ecord-is-also-a-defense-asse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Record Is Also a Defense Asset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V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507690928aa67b85f2b8ff948030b87102a043b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Merits Firewall and Administrable Boundaries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existing-legal-interests-define-the-gat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Existing Legal Interests Define the Gate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64f128467567ab17075eb48d3ab4c084add7f59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Constitutional, Trade-Secret, and Privacy Protections Shape Access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dc02b2c9f8ecb38a0d74a9a8d9de321f0e9eb2a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Arbitration, Territorial Limits, and Federal Preemption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 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Govern the Forum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cb4b30a26b8c574b82ee1211e6956218b6054e7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Classification Neutrality Preserves the Merits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hyperlink w:anchor="conclusion1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Conclusion</w:t>
        </w:r>
      </w:hyperlink>
    </w:p>
    <w:bookmarkEnd w:id="100"/>
    <w:bookmarkStart w:id="129" w:name="introduction1"/>
    <w:p>
      <w:pPr>
        <w:pStyle w:val="Heading3"/>
        <w:keepNext/>
        <w:keepLines/>
        <w:pageBreakBefore/>
        <w:spacing w:before="0" w:after="100" w:line="280" w:lineRule="exact"/>
        <w:ind w:firstLine="0"/>
        <w:jc w:val="left"/>
      </w:pPr>
      <w:bookmarkStart w:id="101" w:name="x1-2000"/>
      <w:bookmarkEnd w:id="101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Introduction</w:t>
      </w:r>
    </w:p>
    <w:p>
      <w:pPr>
        <w:pStyle w:val="FirstParagraph"/>
        <w:spacing w:before="0" w:after="0" w:line="320" w:lineRule="exact"/>
        <w:ind w:firstLine="360"/>
        <w:jc w:val="both"/>
      </w:pPr>
      <w:bookmarkStart w:id="102" w:name="Q1-1-3"/>
      <w:bookmarkEnd w:id="102"/>
      <w:r>
        <w:rPr>
          <w:rFonts w:ascii="Garamond" w:hAnsi="Garamond" w:cs="Garamond" w:eastAsia="Songti SC"/>
          <w:lang w:val="en-US" w:eastAsia="zh-CN"/>
        </w:rPr>
        <w:t xml:space="preserve"> </w:t>
      </w:r>
      <w:bookmarkStart w:id="103" w:name="x1-2000doc"/>
      <w:bookmarkEnd w:id="103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Fourteen-year-old Sewell Setzer III did not encounter a foundation model in a laboratory. 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encountered a deployed relationship.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Garcia v. Character Technologies, Inc.</w:t>
      </w:r>
      <w:r>
        <w:rPr>
          <w:rFonts w:ascii="Garamond" w:hAnsi="Garamond" w:cs="Garamond" w:eastAsia="Songti SC"/>
          <w:lang w:val="en-US" w:eastAsia="zh-CN"/>
        </w:rPr>
        <w:t xml:space="preserve">, his mother’s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complaint alleged that Character.AI combined persistent personas, memory, access rules, warnings,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engagement design, and safety controls in a consumer service available to minors. It alleged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Character Technologies’ founders and Google made different contributions of personnel,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technology, knowledge, and resources and that, after months of interaction with a character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modeled on a fictional television figure, Sewell died by suicide. His mother brought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wrongful-death, negligence, product-defect, failure-to-warn, deceptive-practice, and related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claims. At the pleading stage, the district court treated the application as plausibly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alleged to be a product and declined, on that record, to classify the generated output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speech. The action later settled without a finding of defect, causation,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04"/>
      </w:r>
      <w:bookmarkStart w:id="110" w:name="x1-2001f1"/>
      <w:bookmarkEnd w:id="110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case exposes a problem analytically independent of the ultimate merits result. The user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sees the interface and the output. The facts ordinary law needs lie behind both: which model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 versions ran; who selected the relational objective, system instructions, memory, 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gate, crisis response, and engagement metric; what evaluations, complaints, and incident signals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arrived; who could update, restrict, roll back, or stop the deployment; and which enterprise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retained each record. In a direct-to-consumer service, the operating company may be obvious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 deployment record remains inaccessible. In a divided system, the visible hospital, employer,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agency, or application can depend on a model vendor, scoring service, infrastructure provider,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systems integrator that retain different controls. The claimant needs the configuration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record to test a recognized claim, yet often must identify the record holder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obtaining that record. The merits standard exists; access to the facts that feed it does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Article calls that sequence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pre-merits attribution gap</w:t>
      </w:r>
      <w:r>
        <w:rPr>
          <w:rFonts w:ascii="Garamond" w:hAnsi="Garamond" w:cs="Garamond" w:eastAsia="Songti SC"/>
          <w:lang w:val="en-US" w:eastAsia="zh-CN"/>
        </w:rPr>
        <w:t xml:space="preserve">. It comprises two related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failures. The first is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actor-identification failure</w:t>
      </w:r>
      <w:r>
        <w:rPr>
          <w:rFonts w:ascii="Garamond" w:hAnsi="Garamond" w:cs="Garamond" w:eastAsia="Songti SC"/>
          <w:lang w:val="en-US" w:eastAsia="zh-CN"/>
        </w:rPr>
        <w:t xml:space="preserve">: an affected person cannot tell which enterprise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selected or retained a control relevant to the asserted risk. The second is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deployment-record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failure</w:t>
      </w:r>
      <w:r>
        <w:rPr>
          <w:rFonts w:ascii="Garamond" w:hAnsi="Garamond" w:cs="Garamond" w:eastAsia="Songti SC"/>
          <w:lang w:val="en-US" w:eastAsia="zh-CN"/>
        </w:rPr>
        <w:t xml:space="preserve">: even when the operator’s name is visible, the versions, configuration, evaluations, warnings,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incidents, and intervention authority needed to test its conduct remain internal or were never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recorded. The first failure is most acute in divided deployments. The second can determine a case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any deployment.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AI-liability scholarship disagrees over the substantive rule that should govern after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actor and conduct are known. Anat Lior argues that legislators should adopt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strict liability for AI-inflicted damages, while Zachary Henderson rejects categorical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strict liability, arguing that negligence and products liability should remain the defaults,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supplemented by insurance and narrow legislation. Catherine Sharkey identifies products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 as the most promising framework for AI, while Ketan Ramakrishnan offers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qualified defense of negligence as the principal doctrinal foundation for foundation-model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11"/>
      </w:r>
      <w:bookmarkStart w:id="120" w:name="x1-2006f2"/>
      <w:bookmarkEnd w:id="12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Those positions address the merits-side question: which rule should govern an identified actor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 This Article addresses a logically prior access question: how an affected person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the deployment, actor, and bounded record to which any such rule would apply.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firewall leaves that substantive disagreement intact. Negligence cannot evaluate conduct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until the relevant conduct and actor are visible. Products liability cannot identify which company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selected the model harness or retained the update right. Strict liability still requires identification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the covered activity or product and its connection to the injury. A rule placing a category of loss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outside liability still requires enough information to determine whether the case falls within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category.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question presented is therefore narrow: when an adverse event affects an interest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by specified law through a designated high-impact AI deployment, but the affected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 cannot identify the operative system, control holder, or deployment record, what facts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should open a bounded identity-and-event stage—and which enterprise must 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first?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Article’s contribution is institutional sequencing. Section </w:t>
      </w:r>
      <w:hyperlink w:anchor="Xab8175e220738ba490249d3c1f68399b6f12eb5">
        <w:r>
          <w:rPr>
            <w:rStyle w:val="Hyperlink"/>
            <w:rFonts w:ascii="Garamond" w:hAnsi="Garamond" w:cs="Garamond" w:eastAsia="Songti SC"/>
            <w:lang w:val="en-US" w:eastAsia="zh-CN"/>
          </w:rPr>
          <w:t xml:space="preserve">D</w:t>
        </w:r>
      </w:hyperlink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maps neighboring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proposals that begin with a substantive duty, disclosure mandate, regulator, or an access problem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after an actor and artifact are identifiable; existing procedure offers discovery after a viable action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reaches an identifiable target. The front door brings together four functions: a sectoral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 that identifies the legal interest; an ex ante minimum record that keeps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deployment observable; a visible-operator gateway that supplies a reachable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recipient; and a material-control test that allocates access without allocating liability.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resulting rule is narrow enough to administer and complete enough to open the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process.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Recent work has made the adjacent evidence problem explicit on both sides of litigation’s filing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line. Stewart proposes a pre-litigation right to test how modified inputs would change a known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algorithmic decision. Cen, Ismael, and Zheng identify the “privatization of proof” and structure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judicial access disputes once a requester can identify an artifact and a producing party that controls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21"/>
      </w:r>
      <w:bookmarkStart w:id="128" w:name="x1-2013f3"/>
      <w:bookmarkEnd w:id="12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Article supplies a different institutional layer: the front end that identifies the deployment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 control holders, creates a minimum deployment record before an adverse event becomes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lawsuit, and gives the visible operator a bounded first-answer duty. Counterfactual testing,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discovery, and audit can then operate on a known deployment, version,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primary adoption audience is a state legislature regulating a designated sector.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Congress can use the same architecture for a national market, a federal cause of action, or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interstate deployment requiring uniformity. Courts administer the closed first-answer proceeding,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 the record, and decide whether Stage Two is justified. They do not create the ex ante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duty, nonwaiver rule, tolling period, or enforcement remedy from ordinary discovery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doctrine. In short, this Article proposes model sectoral legislation that courts can administer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a closed pre-merits proceeding.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Article proposes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deployment front-door rule</w:t>
      </w:r>
      <w:r>
        <w:rPr>
          <w:rFonts w:ascii="Garamond" w:hAnsi="Garamond" w:cs="Garamond" w:eastAsia="Songti SC"/>
          <w:lang w:val="en-US" w:eastAsia="zh-CN"/>
        </w:rPr>
        <w:t xml:space="preserve">. A legislature first designates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category and specifies the protected interests, visible operator, minimum record,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period, trigger, and remedy. An affected person invokes Stage One by identifying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adverse event affecting an interest protected by the specified law, the covered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which it occurred, and facts reasonably connecting the requested identity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fields to that occurrence. Stage One does not require facts held exclusively in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record. The enterprise that made the deployment available or incorporated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into the affected process becomes the disclosure gateway. It must identify the deployed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system, provide a bounded event receipt and custodian map, preserve the corresponding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record, and activate the contractual retrieval path. An identified enterprise remains 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Two only when it held practical authority over a risk-relevant function, the Stage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One record supports that the function formed part of the event path or governed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safeguard, and the requested information bears non-de-minimally on an element, defense,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remedy.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rule changes access to facts, not the elements that decide the case. Its merits firewall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creates no merits inference. Jurisdiction, immunity, privilege, proportionality, trade-secret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protection, and substantive defenses remain operative. An enterprise that completes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first-answer obligation and establishes that it lacked material control over the risk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terminates its special front-door role; absent an independently sufficient claim, it returns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nonparty status. Ultimate allocation remains governed by the cause of action,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contribution and indemnity law, contract, and any independently available individual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has an ex ante component because litigation cannot recover a record that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never created. For each designated category, the statute should impose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deployment-record duty</w:t>
      </w:r>
      <w:r>
        <w:rPr>
          <w:rFonts w:ascii="Garamond" w:hAnsi="Garamond" w:cs="Garamond" w:eastAsia="Songti SC"/>
          <w:lang w:val="en-US" w:eastAsia="zh-CN"/>
        </w:rPr>
        <w:t xml:space="preserve">: identify the system and version; assign risk and approval authority;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document material evaluations, unresolved risk decisions, changes, complaints, incidents,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interventions; identify who can restrict, roll back, or stop operation; and retain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for a specified period. A responsibility charter is the internal instrument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satisfies that record duty: infrastructure for the front door, not a second governance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scope of the required record follows practical control. This Article uses a compressed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deployment-control cascade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map objectives, resources, configuration, feedback, and stopping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power across the model provider, application deployer, and operating institution. The cascade is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record-specification method. It identifies evidence relevant to authorization, notice, foreseeability,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feasible precaution, causal sequence, preservation, and defense; governing law supplies every legal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standard. Token-level unpredictability may complicate causal proof, but it does not make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organizational choices about purpose, users, data, instructions, tools, monitoring, updates,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shutdown disappear.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Three design constraints define the rule’s specifications. First, ordinary pleading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often work once a claimant has a proper defendant and an identifiable record holder.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gap lies in establishing those predicates and in creating the record before litigation. Second,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identification and production impose real costs even when the enterprise ultimately prevails.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Coverage must therefore be sectorally designated; Stage One must be closed and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specific; Stage Two must be claim specific and proportionate; and privacy, security,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privilege, and trade secrets must be protected. Third, some losses connected to AI have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legal remedy. The designation therefore names the protected interest and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route, pure legal defenses can be resolved before Stage Two, and the statute supplies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 general right to inspect a deployment simply because an affected person invokes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AI.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Article develops one contribution through five Parts. Part I identifies the pre-merits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attribution gap, distinguishes adjacent evidence-access scholarship, and compresses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deployment-control cascade into a tool for specifying the missing record. Part II states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front-door rule, separates Stage One from Stage Two, defines material control, supplies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statutory text, and fixes the boundary between the statutory first answer and federal discovery.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 III applies the rule to two complementary settings: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Garcia</w:t>
      </w:r>
      <w:r>
        <w:rPr>
          <w:rFonts w:ascii="Garamond" w:hAnsi="Garamond" w:cs="Garamond" w:eastAsia="Songti SC"/>
          <w:lang w:val="en-US" w:eastAsia="zh-CN"/>
        </w:rPr>
        <w:t xml:space="preserve">, where the visible operator makes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 the central problem,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Mobley</w:t>
      </w:r>
      <w:r>
        <w:rPr>
          <w:rFonts w:ascii="Garamond" w:hAnsi="Garamond" w:cs="Garamond" w:eastAsia="Songti SC"/>
          <w:lang w:val="en-US" w:eastAsia="zh-CN"/>
        </w:rPr>
        <w:t xml:space="preserve">, where feature identity, data hosting, legal control,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validation divide across employers and a vendor. Part IV develops a minimized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 ante record infrastructure and compares existing safety, information-demand,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private-access regimes. Part V defines four boundaries: existing legal interests; constitutional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confidentiality protections; arbitration, cross-border enforcement, and preemption;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classification neutrality. The Conclusion returns to a single proposition: substantive law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decide AI cases, not an information asymmetry that prevents substantive law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starting.</w:t>
      </w:r>
    </w:p>
    <w:bookmarkEnd w:id="129"/>
    <w:bookmarkStart w:id="233" w:name="the-premerits-attribution-gap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130" w:name="x1-3000I"/>
      <w:bookmarkEnd w:id="130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Pre-Merits Attribution Gap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merits rule and a fact-access rule perform different work. Negligence may ask what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precautions a reasonable deployer would have taken; products law may ask whether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 or warning was defective; antidiscrimination law may ask whether a screening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process caused a prohibited disparity; administrative law may ask whether an agency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supplied the explanation and review an entitlement requires. Each inquiry presupposes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defined act, actor, system, and time. Affected people commonly know the adverse result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the institution through which it arrived. They do not ordinarily know the version,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configuration, allocation of control, or record needed to connect that result to the governing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elements.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Part identifies the resulting gap in four moves. Section A separates computational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opacity from the system and organizational facts that adjudication can reach. Section B shows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federal procedure becomes effective after a proper target and record holder are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identifiable but offers no uniform route to create those predicates. Section C distinguishes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from adjacent evidence-access scholarship. Section D compresses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deployment-control cascade into a specification for the facts the front door must identify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preserve.</w:t>
      </w:r>
    </w:p>
    <w:bookmarkStart w:id="142" w:name="X373513752e49abb5fbcd58354d54f743b4b83d8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31" w:name="x1-4000A"/>
      <w:bookmarkEnd w:id="131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Output Does Not Reveal the Deployment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An AI dispute should begin with the deployed system rather than the generated token, score,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recommendation. The first attribution question is not who selected the final words or number. It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who constructed, supplied, authorized, observed, and could alter the deployment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produced the legally relevant effect. A model’s internal computation may be difficult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explain while the surrounding control structure can leave usable evidence in contracts,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release records, configuration systems, evaluation reports, incident queues, and access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logs when law requires its creation and retention. That distinction makes responsibility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evidence obtainable even when a compact explanation of the model’s internal path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unavailable.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Three forms of opacity should remain separate.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Computational opacity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inability to give a human-scale account of how internal states produced a particular output.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System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opacity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 interactions among the model, instructions, retrieval, memory, tools, filters,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credentials, and conventional software.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Organizational opacity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 who approved the use,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possessed risk information, controlled resources, or could restrict and stop operation. The first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follow from architecture. The latter two ordinarily follow from deployment design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recordkeeping.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Collapsing all three into a single “black box” allows the least tractable fact to obscure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facts ordinary doctrine can use. A court may be unable to reconstruct why a model ranked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token above another yet able to determine that a provider selected the model; a deployer supplied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records and external tools; an interface suppressed uncertainty; a safety team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documented a known failure mode; management rejected a delayed release; and an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lacked time or authority to intervene. Intent and knowledge are often inferred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conduct and circumstances, product defect can sometimes be proved circumstantially,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direct organizational fault can lie in information systems, supervision, and resource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allocation.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32"/>
      </w:r>
      <w:bookmarkStart w:id="137" w:name="x1-4001f4"/>
      <w:bookmarkEnd w:id="137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Model interpretability is not a condition precedent to responsibility at the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level.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Fragmentation makes those accessible facts difficult to attribute. Consider an employer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licenses an applicant platform. The employer may select the job, criteria, candidate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pool, weight assigned to a recommendation, and final disposition. A platform vendor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select the ranking model, training process, default features, update cadence,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bias testing. A systems integrator may configure data fields and workflow triggers.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applicant encounters an employer-branded portal and a rejection, not this allocation.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Mobley v. Workday, Inc.</w:t>
      </w:r>
      <w:r>
        <w:rPr>
          <w:rFonts w:ascii="Garamond" w:hAnsi="Garamond" w:cs="Garamond" w:eastAsia="Songti SC"/>
          <w:lang w:val="en-US" w:eastAsia="zh-CN"/>
        </w:rPr>
        <w:t xml:space="preserve">, for example, a complaint alleged that employer customers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delegated candidate screening to Workday’s AI-based tools; at the Rule 12 stage,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district court treated the alleged delegation of a traditional hiring function as sufficient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proceed on a statutory agency theory while leaving the allegations and ultimate liability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unresolved.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38"/>
      </w:r>
      <w:bookmarkStart w:id="141" w:name="x1-4006f5"/>
      <w:bookmarkEnd w:id="14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opinion shows that substantive law may address a divided stack once the vendor and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alleged function are visible. It does not supply every rejected applicant with the identity, version,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configuration, or evaluation record needed to reach that point.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same problem appears when the visible institution itself cannot inspect the vendor’s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method. A public employer may control whether and how a score affects termination while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vendor controls the scoring software and updates. A hospital may select the patient population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integrate a recommendation while a supplier controls model validation and releases. A benefits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agency may own the legal decision and appeal path while contractors control the calculation tool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documentation. Control is distributed by function, not transferred wholesale to whichever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entity’s logo appears on the screen.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Current legal subjects remain stable across that distribution. Operational autonomy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describes how a system produces effects; it does not identify an entity with assets, records, service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capacity, or exposure to judgment. In the covered deployments considered here, existing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organizations hold those incidents. A future legislature can construct a bounded juridical status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specify its representative, assets, attribution rules, service, and remedies. The front-door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need not decide that future question. It follows the records and practical authority that existing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 can presently reach.</w:t>
      </w:r>
    </w:p>
    <w:bookmarkEnd w:id="142"/>
    <w:bookmarkStart w:id="144" w:name="two-coordinates-define-the-gap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43" w:name="x1-5000B"/>
      <w:bookmarkEnd w:id="14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Two Coordinates Define the Gap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Actor identity and record availability are independent coordinates. Treating them as one generic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opacity problem obscures which legal intervention is needed. A claimant may know the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yet lack its deployment record. A claimant may possess a transaction or application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yet lack the upstream entity that supplied the operative function. A divided stack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produce both conditions at once. The front door sequences identity and record access so that each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condition receives the smallest useful response.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first configuration is an identifiable integrated operator with an adequate record.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procedure has a direct target, and the statute’s principal work occurs ex ante: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standardization, retention, and a quick first answer. The record may establish the active version,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policy, warnings, incident sequence, and stop authority without adding another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defendant. If a filed claim proceeds, ordinary discovery can deepen the record in the familiar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second configuration is an identifiable operator with a missing or fragmented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internal record. The brand and legal entity are visible, but the claimant and sometimes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operator cannot reconstruct which versions, components, policies, and intervention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roles governed the event. This is the production problem. It arises in an integrated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consumer service when engineering, safety, product, trust-and-safety, and executive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decisions live in separate systems. It also arises in a public institution that relies on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proprietary score it cannot independently verify. The ex ante duty matters most here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because a post-event subpoena cannot create lineage or approval that the operator never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third configuration is an identifiable event with an unknown operative entity.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applicant may have an employer, job, timestamp, and rejection while lacking the product feature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processed the application and the supplier responsible for it. A patient may know the hospital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encounter while lacking the vendor and version embedded in a clinical workflow. This is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actor-identification problem. A closed first answer resolves provenance and custodian fields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broader access. The visible operator performs the gateway role because it chose to incorporate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 and can preserve the event even if another enterprise holds the relevant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fourth configuration combines the two. The operative feature and supplier are hidden,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the minimum record was never created or is divided by contract. A supplier may host data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while the customer owns it; an integrator may hold configuration history while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institution holds the decision; a model provider may know version lineage while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 company knows prompts, tools, and user exposure. Asking the claimant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choose a single controller before revealing this map converts organizational design into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litigation advantage. Treating every participant as a controller creates the opposite error.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identifies lanes first and terminates the special role of actors outside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two-coordinate account yields a fixed sequence. The visible operator maps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deployment and event. Identified enterprises acknowledge their control and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lanes. All holders preserve the bounded slice. Stage One supplies version, provenance,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control, and event fields. The material-control test removes irrelevant actors. Stage Two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follows only the legal theory and unresolved lane. The sequence is the Article’s central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payoff: it opens access without deciding the liability questions that the record is meant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illuminate.</w:t>
      </w:r>
    </w:p>
    <w:bookmarkEnd w:id="144"/>
    <w:bookmarkStart w:id="194" w:name="X0d45b1bf289ec41abdcdcdd96a97e2c1be6f103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45" w:name="x1-6000C"/>
      <w:bookmarkEnd w:id="145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Ordinary Procedure Opens After Four Predicates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Federal procedure supplies substantial tools after four predicates are present: a filed action,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complaint capable of stating a legal claim, a known party or subpoena recipient, and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existing record within the reach of that target. The deployment front door supplies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needed to establish those predicates; it does not replace the procedure that follows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Pleading law illustrates the sequence. Rule 8 requires a short and plain statement showing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entitlement to relief.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Twombly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Iqbal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 factual matter supporting a plausible claim,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 11(b)(3) requires counsel to certify that factual contentions have evidentiary support or, if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specifically identified, will likely have such support after a reasonable opportunity for investigation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46"/>
      </w:r>
      <w:bookmarkStart w:id="153" w:name="x1-6001f6"/>
      <w:bookmarkEnd w:id="15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accommodation matters: a plaintiff need not possess every internal email or validation report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filing. But Rule 11 creates neither a discovery entitlement nor a substitute for Rule 8.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Neither rule names an unknown supplier, links a rejection to a product feature, identifies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 that ran, or requires the operator to have recorded that fact.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Discovery becomes powerful once an action and target exist. Rule 26(b)(1)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permits discovery of relevant, proportional, nonprivileged matter. Rule 34 reaches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existing documents and electronically stored information in a party’s possession,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custody, or control. Rule 45 reaches a known nonparty that can be named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served.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54"/>
      </w:r>
      <w:bookmarkStart w:id="158" w:name="x1-6008f7"/>
      <w:bookmarkEnd w:id="15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These mechanisms can test an agency theory, obtain validation evidence, and expose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divided contract. They do not identify the person to whom a subpoena should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directed or create a release approval, configuration history, or incident record that never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Initial disclosure begins later and serves a narrower function. Rule 26(a)(1) generally requires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parties to identify witnesses and materials they may use to support their own claims or defenses,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along with damages and insurance information. The disclosures ordinarily follow the Rule 26(f)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conference.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59"/>
      </w:r>
      <w:bookmarkStart w:id="162" w:name="x1-6012f8"/>
      <w:bookmarkEnd w:id="162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They are not an adverse-record inventory. An operator that does not expect to use a rejected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mitigation, contradictory test, or internal escalation in support of its position has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initial-disclosure obligation to list the item on that basis alone. The claimant can request it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after the case begins; the front-door problem is how to identify the system, holder,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category needed to frame that request.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Court-authorized early discovery provides a real bridge when the claimant already has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unique event identifier and knows the intermediary holding the identity record.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Strike 3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Holdings, LLC v. Doe</w:t>
      </w:r>
      <w:r>
        <w:rPr>
          <w:rFonts w:ascii="Garamond" w:hAnsi="Garamond" w:cs="Garamond" w:eastAsia="Songti SC"/>
          <w:lang w:val="en-US" w:eastAsia="zh-CN"/>
        </w:rPr>
        <w:t xml:space="preserve">, a rights holder tied an alleged online infringement to an IP address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sought an early subpoena to the known internet service provider capable of mapping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address to a subscriber. The D.C. Circuit held that Rule 26(d)(1) permits such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route and that Doe pleading can be appropriate when discovery is expected to reveal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identity, subject to relevance, proportionality, and a realistic prospect of jurisdiction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success.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63"/>
      </w:r>
      <w:bookmarkStart w:id="167" w:name="x1-6015f9"/>
      <w:bookmarkEnd w:id="167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case identifies the bridge’s predicates as clearly as its power: a viable substantive claim,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unique incident identifier, and a known intermediary with an existing identity record.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fragmented deployment may lack the second or third predicate because the applicant sees only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branded portal, the operator does not retain the feature or run identifier, or the intermediary itself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hidden behind an integrator.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Rule 27 occupies another useful but bounded lane. It permits a person expecting to become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party to perpetuate testimony that risks being lost before an action can be filed. The petition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must state the facts the petitioner expects to establish and the substance of the testimony to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preserved. Courts therefore distinguish perpetuation of known evidence from an investigation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designed to learn whether a cause of action exists or whom to sue.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Workman v. United States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Postal Service</w:t>
      </w:r>
      <w:r>
        <w:rPr>
          <w:rFonts w:ascii="Garamond" w:hAnsi="Garamond" w:cs="Garamond" w:eastAsia="Songti SC"/>
          <w:lang w:val="en-US" w:eastAsia="zh-CN"/>
        </w:rPr>
        <w:t xml:space="preserve">, the Tenth Circuit affirmed denial of a petition that sought testimony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determine whether a postal-facility fire supported a claim; lack of the evidence needed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frame a complaint was not the inability to bring an action contemplated by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27.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68"/>
      </w:r>
      <w:bookmarkStart w:id="173" w:name="x1-6019f10"/>
      <w:bookmarkEnd w:id="17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deposition cannot supply an unknown model version or a deployment record that no witness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created.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Divided control creates a further limit within ordinary discovery. Rule 34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a legal and organizational inquiry, not a synonym for technical hosting. The Ninth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Circuit has declined to treat cooperative affiliation as control when the responding entity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lacked a legal right to obtain an affiliate’s files on demand. The Eleventh Circuit, in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different statutory proceeding and factual record, found control where affiliated entities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regularly shared responsive information and the recipient had the practical ability to obtain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74"/>
      </w:r>
      <w:bookmarkStart w:id="178" w:name="x1-6024f11"/>
      <w:bookmarkEnd w:id="17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Those outcomes properly depend on contract and practice. They also show why a visible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should retain the minimum record locally and obtain a contractual right to retrieve defined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provenance and event fields from a supplier. Otherwise the vendor may physically host the data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while the customer legally controls it, leaving each able to identify the other as the proper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source.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Doe pleading and later amendment preserve some claims but do not create a national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limitations safety net. Rule 15(c)(1)(C) requires timely notice to the added party and knowledge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that, but for a mistake concerning identity, the action would have been brought against it.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Krupski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treats the prospective defendant’s knowledge as central and recognizes that confusion over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roles of related, known entities can constitute a mistake. Courts can distinguish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situation from complete ignorance of an upstream actor.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Winzer</w:t>
      </w:r>
      <w:r>
        <w:rPr>
          <w:rFonts w:ascii="Garamond" w:hAnsi="Garamond" w:cs="Garamond" w:eastAsia="Songti SC"/>
          <w:lang w:val="en-US" w:eastAsia="zh-CN"/>
        </w:rPr>
        <w:t xml:space="preserve">, the Fifth Circuit held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substituting named officers for Doe defendants after limitations expired did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correct a Rule 15 mistake. Rule 15(c)(1)(A) can incorporate a more forgiving 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relation-back rule, but that route depends on the law governing limitations and the state’s 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conditions.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79"/>
      </w:r>
      <w:bookmarkStart w:id="185" w:name="x1-6028f12"/>
      <w:bookmarkEnd w:id="18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deployment statute can address the timing problem directly for claims within the enacting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legislature’s authority by tolling the applicable period while a compliant identity request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pending. Amendment and relation back in a later federal action remain governed by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15.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State pre-suit proceedings confirm that a narrow identity stage is administrable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revealing the absence of a uniform route. Illinois Rule 224 authorizes an independent verified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 limited to identifying a potentially responsible person or entity and ordinarily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ends the proceeding after identification. Texas Rule 202 permits a verified petition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investigate a potential claim when the likely benefit outweighs burden or when perpetuation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prevent a failure or delay of justice. New York authorizes disclosure to aid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bringing an action. California’s perpetuation statute takes the opposite approach: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expressly excludes discovery to determine whether a claim exists or to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parties.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86"/>
      </w:r>
      <w:bookmarkStart w:id="193" w:name="x1-6034f13"/>
      <w:bookmarkEnd w:id="19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These systems provide design elements—verification, a closed purpose, burden review, a short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proceeding, and cost allocation—rather than an existing federal solution.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doctrinal sequence thus defines the proposal’s consequential job. Ordinary discovery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test the merits once the litigation gateway is open. The deployment front door supplies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identity, minimum record, and control map needed to reach that gateway, and it makes those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facts available before limitations, deletion, and divided custody determine the case’s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trajectory.</w:t>
      </w:r>
    </w:p>
    <w:bookmarkEnd w:id="194"/>
    <w:bookmarkStart w:id="215" w:name="Xab8175e220738ba490249d3c1f68399b6f12eb5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95" w:name="x1-7000D"/>
      <w:bookmarkEnd w:id="195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Existing Evidence Rights Need a Deployment Front End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Evidence-access scholarship now reaches both sides of litigation’s filing line. Stewart’s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counterfactual-interrogation right would let a person affected by a known adverse algorithmic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 generate behavioral evidence before filing suit. The organization would supply a bounded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interface using the decision-time model version, supported by logging and retention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duties.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96"/>
      </w:r>
      <w:bookmarkStart w:id="199" w:name="x1-7001f14"/>
      <w:bookmarkEnd w:id="19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is the nearest pre-litigation intervention. It begins, however, with an identified adverse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decision, an organization capable of furnishing the testing portal, and a model linked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decision. The front door constructs the identity and routing predicates that a divided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conceal: whether a covered feature participated, which product and version ran, which entities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supplied and operated it, and who can retrieve the event record. Once Stage One supplies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map, counterfactual interrogation can operate as one bounded form of Stage Two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testing.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Cen, Ismael, and Zheng address the complementary access dispute. They identify seven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recurring asymmetries—models, data, documentation, logs, expertise, compute,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infrastructure—and describe a Catch-22 in which the requester needs evidence to justify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access while the producing party controls the evidence needed to make that showing.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Their three-part test compares the benefits and risks of requested access, the minimum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access needed to reproduce elements of the cause of action, and functionally equivalent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alternatives.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00"/>
      </w:r>
      <w:bookmarkStart w:id="203" w:name="x1-7004f15"/>
      <w:bookmarkEnd w:id="20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framework helps a court decide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how much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existing evidence an identified producing party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should disclose. Stage One supplies the deployment, event, custodian, and control map; Stage Two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then use ordinary proportionality, protective orders, access alternatives, and the Cen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framework on a claim-specific record.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Other work specifies adjacent components without supplying this claimant-facing route.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García-Llorente and Olmeda propose a minimum technical-evidence package for sufficient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intelligibility and auditability; procurement scholarship treats the contract file as a governance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record; and organizational research shows that accountability records can change the conduct they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04"/>
      </w:r>
      <w:bookmarkStart w:id="210" w:name="x1-7007f16"/>
      <w:bookmarkEnd w:id="21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Those contributions inform what a useful record may contain and how its costs should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controlled. The front door supplies the legal sequence that makes the record reachable by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affected person without treating the procurement contract or technical package as the source of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entitlement.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2026 systematic study of 559 federal opinions further finds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courts principally use preexisting doctrines to resolve disputes involving 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that the set of litigated harms is shaped by which injuries existing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recognizes.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11"/>
      </w:r>
      <w:bookmarkStart w:id="214" w:name="x1-7012f17"/>
      <w:bookmarkEnd w:id="21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evidence supports the Article’s ordinary-law premise while sharpening its institutional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contribution. The front door is the positive-law routing and record-formation layer: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visible operator, bounded first answer, ex ante deployment record, material-control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allocation, staged access, safe exit, and merits firewall. It lets testing and ordinary procedure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operate on a known deployment without claiming a new general law of evidence or 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liability.</w:t>
      </w:r>
    </w:p>
    <w:bookmarkEnd w:id="215"/>
    <w:bookmarkStart w:id="232" w:name="the-cascade-specifies-the-missing-record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16" w:name="x1-8000E"/>
      <w:bookmarkEnd w:id="21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Cascade Specifies the Missing Record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deployment-control cascade is a disciplined way to define those predicates. Adapted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systems-safety analysis, it represents an AI deployment as linked controllers,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actions, process models, feedback channels, and intervention capacity. Systems-theoretic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methods treat loss as a control problem that can arise from an absent constraint,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unsafe action, inadequate feedback, or a controller’s mistaken model of the operating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environment.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17"/>
      </w:r>
      <w:bookmarkStart w:id="224" w:name="x1-8001f18"/>
      <w:bookmarkEnd w:id="22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cascade uses that vocabulary only to specify contestable evidence. Governing law assigns duty,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fault, causation, defenses, and remedy.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Four functional levels provide a reusable map for the integrated and divided deployments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addressed here: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1.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authority and resources</w:t>
      </w:r>
      <w:r>
        <w:rPr>
          <w:rFonts w:ascii="Garamond" w:hAnsi="Garamond" w:cs="Garamond" w:eastAsia="Songti SC"/>
          <w:lang w:val="en-US" w:eastAsia="zh-CN"/>
        </w:rPr>
        <w:t xml:space="preserve">: the actors who set objectives, risk tolerance, staffing, compute,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data access, and release conditions;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2.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model and component supply</w:t>
      </w:r>
      <w:r>
        <w:rPr>
          <w:rFonts w:ascii="Garamond" w:hAnsi="Garamond" w:cs="Garamond" w:eastAsia="Songti SC"/>
          <w:lang w:val="en-US" w:eastAsia="zh-CN"/>
        </w:rPr>
        <w:t xml:space="preserve">: the actors who develop or select models, document limits,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conduct evaluations, issue updates, and supply interfaces or weights;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3.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deployment and harness operation</w:t>
      </w:r>
      <w:r>
        <w:rPr>
          <w:rFonts w:ascii="Garamond" w:hAnsi="Garamond" w:cs="Garamond" w:eastAsia="Songti SC"/>
          <w:lang w:val="en-US" w:eastAsia="zh-CN"/>
        </w:rPr>
        <w:t xml:space="preserve">: the actors who select instructions, retrieval, memory,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filters, routing, tools, credentials, eligible users, monitoring, and escalation; and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4.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the affected environment</w:t>
      </w:r>
      <w:r>
        <w:rPr>
          <w:rFonts w:ascii="Garamond" w:hAnsi="Garamond" w:cs="Garamond" w:eastAsia="Songti SC"/>
          <w:lang w:val="en-US" w:eastAsia="zh-CN"/>
        </w:rPr>
        <w:t xml:space="preserve">: operators, users, data subjects, third-party systems,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institutional conditions that supply inputs and experience effects.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These are roles rather than four firms. One enterprise can occupy the first three levels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integrated service. An API deployment may divide them among a model vendor,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 developer, enterprise customer, and professional user. A public agency can set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legal objective and use of a score while a contractor supplies and updates the model.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map prevents a corporate label or contract caption from substituting for actual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function.</w:t>
      </w:r>
    </w:p>
    <w:bookmarkStart w:id="229" w:name="x1-80101"/>
    <w:tbl>
      <w:tblPr>
        <w:tblStyle w:val="FigureTable"/>
        <w:tblW w:type="dxa" w:w="9000"/>
        <w:jc w:val="center"/>
        <w:tblLayout w:type="fixed"/>
        <w:tblLook w:firstRow="0" w:lastRow="0" w:firstColumn="0" w:lastColumn="0"/>
      </w:tblPr>
      <w:tblGrid>
        <w:gridCol w:w="9000"/>
      </w:tblGrid>
      <w:tr>
        <w:trPr>
          <w:cantSplit/>
        </w:trPr>
        <w:tc>
          <w:tcPr>
            <w:tcW w:type="dxa" w:w="9000"/>
            <w:vAlign w:val="center"/>
          </w:tcPr>
          <w:p>
            <w:pPr>
              <w:jc w:val="center"/>
            </w:pPr>
            <w:bookmarkStart w:id="222" w:name="Xe149883a8d67100c0eced09bad61029d3596ad1"/>
            <w:bookmarkEnd w:id="222"/>
            <w:r>
              <w:rPr>
                <w:rFonts w:ascii="Garamond" w:hAnsi="Garamond" w:cs="Garamond" w:eastAsia="Songti SC"/>
                <w:lang w:val="en-US" w:eastAsia="zh-CN"/>
              </w:rPr>
              <w:drawing>
                <ns1:inline>
                  <ns1:extent cx="4114800" cy="3138197"/>
                  <ns1:effectExtent b="0" l="0" r="0" t="0"/>
                  <ns1:docPr descr="[Picture]" title="" id="224" name="Picture"/>
                  <ns2:graphic>
                    <ns2:graphicData uri="http://schemas.openxmlformats.org/drawingml/2006/picture">
                      <ns3:pic>
                        <ns3:nvPicPr>
                          <ns3:cNvPr descr="what-is-ai-for-courts0x.svg.png" id="225" name="Picture"/>
                          <ns3:cNvPicPr>
                            <ns2:picLocks noChangeArrowheads="1" noChangeAspect="1"/>
                          </ns3:cNvPicPr>
                        </ns3:nvPicPr>
                        <ns3:blipFill>
                          <ns2:blip r:embed="rId226"/>
                          <ns2:stretch>
                            <ns2:fillRect/>
                          </ns2:stretch>
                        </ns3:blipFill>
                        <ns3:spPr bwMode="auto">
                          <ns2:xfrm>
                            <ns2:off x="0" y="0"/>
                            <ns2:ext cx="4114800" cy="3138197"/>
                          </ns2:xfrm>
                          <ns2:prstGeom prst="rect">
                            <ns2:avLst/>
                          </ns2:prstGeom>
                          <ns2:noFill/>
                          <ns2:ln w="9525">
                            <ns2:noFill/>
                            <ns2:headEnd/>
                            <ns2:tailEnd/>
                          </ns2:ln>
                        </ns3:spPr>
                      </ns3:pic>
                    </ns2:graphicData>
                  </ns2:graphic>
                </ns1:inline>
              </w:drawing>
            </w:r>
          </w:p>
        </w:tc>
      </w:tr>
    </w:tbl>
    <w:p>
      <w:pPr>
        <w:pStyle w:val="Imag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Figure 1: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The deployment-control cascade as a record specification. Solid arrows carry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authority, resources, components, and operational actions toward the affected environment.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Dashed arrows carry the feedback required to update each controller’s understanding.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Restriction, rollback, credential revocation, and shutdown must be recorded where they can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be exercised.</w:t>
      </w:r>
    </w:p>
    <w:bookmarkEnd w:id="229"/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At each level, six questions define the discoverable record. What asserted risk was within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scope? Which action could create, expose, detect, or reduce it? What did the controller understand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about the system and environment? Which feedback could correct that understanding? What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practical authority and resources existed at the relevant time? Who could restrict, roll 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suspend, or terminate operation? The answers identify specific materials rather than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undifferentiated demand for “the algorithm.”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bookmarkStart w:id="230" w:name="x1-8011r1"/>
      <w:bookmarkEnd w:id="230"/>
    </w:p>
    <w:bookmarkStart w:id="231" w:name="TBL-1"/>
    <w:p>
      <w:pPr>
        <w:pStyle w:val="Tabl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Table 1: 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From Deployment Control to a Litigation Record</w:t>
      </w:r>
    </w:p>
    <w:tbl>
      <w:tblPr>
        <w:tblStyle w:val="Table"/>
        <w:tblW w:type="dxa" w:w="7920"/>
        <w:jc w:val="left"/>
        <w:tblLayout w:type="fixed"/>
        <w:tblLook w:firstRow="0" w:lastRow="0" w:firstColumn="0" w:lastColumn="0" w:noHBand="0" w:noVBand="0" w:val="0000"/>
        <w:tblCaption w:val="Table 1: From Deployment Control to a Litigation Record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  <w:tr>
        <w:trPr>
          <w:cantSplit/>
          <w:tblHeader/>
        </w:trPr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Control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lane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Core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Potential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under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governing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law</w:t>
            </w:r>
          </w:p>
        </w:tc>
      </w:tr>
      <w:tr>
        <w:trPr>
          <w:cantSplit/>
        </w:trPr>
        <w:tc>
          <w:tcPr>
            <w:tcW w:type="dxa" w:w="7920"/>
            <w:gridSpan w:val="3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Identity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configuration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Model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application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versions;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instructions;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retrieval;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data;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tools;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credentials;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material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changes.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Attribution;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intended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use;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causal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mechanism;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authentication.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Authority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approval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Risk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owner;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release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approvers;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objectives;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resources;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conditions;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unresolved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risk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decisions.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Authorization;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direct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organizational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conduct;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feasibility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inquiry.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Evaluation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feedback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Test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protocols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results;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complaints;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incidents;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drift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signals;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overrides;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escalation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Knowledge;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notice;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continuing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alternative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explanations.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Intervention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Restriction,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update,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rollback,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suspension,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termination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rights;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tested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triggers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times.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Practical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control;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ability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prevent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mitigate;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causal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sequence.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Retention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provenance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custodian;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retention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period;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version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lineage;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third-party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holders;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legal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holds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deletion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events.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Identification;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preservation;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proportional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discovery;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defense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rebuttal.</w:t>
            </w:r>
          </w:p>
        </w:tc>
      </w:tr>
      <w:tr>
        <w:trPr>
          <w:cantSplit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</w:tbl>
    <w:bookmarkEnd w:id="231"/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table is deliberately factual. Shutdown credentials supply evidence of practical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authority; an alert supplies evidence of receipt; an internal limit supplies evidence about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organization’s selected constraint. Governing law decides whether those facts establish duty, notice,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reasonable care. The same record supplies defense-favorable facts: a downstream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modifier removed a safeguard, a user defeated a tested constraint, an incident signal never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reached the asserted controller, or the proposed intervention could not have changed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result.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mapping yields the front door’s object. Actor-identification asks which enterprise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occupied a risk-specific control lane. Deployment-record production asks for the bounded materials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establish or rebut that proposition and then permit ordinary doctrine to operate. Part II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turns those two functions into a statutory trigger, a first-answer obligation, and a safe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exit.</w:t>
      </w:r>
    </w:p>
    <w:bookmarkEnd w:id="232"/>
    <w:bookmarkEnd w:id="233"/>
    <w:bookmarkStart w:id="297" w:name="the-deployment-frontdoor-rule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II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234" w:name="x1-9000II"/>
      <w:bookmarkEnd w:id="234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Deployment Front-Door Rule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attribution gap calls for a limited information rule rather than a new general law of 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liability. The rule must tell an affected person whom to approach, tell enterprises what record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maintain, and tell courts when and how that record becomes available. It must also provide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prompt exit for an enterprise whose connection to the brand or technical stack did not include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practical control over the asserted 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Part supplies that architecture. Section A ties coverage to sectoral legislative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designation. Section B makes the visible operator the first-answer gateway and defines a threshold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linked to an existing legal claim. Section C gives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material control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cumulative, risk-specific test.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Section D separates record creation, preservation, and staged production. Section E specifies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confidentiality, remedies, and safe exit. Section F consolidates the proposal into model statutory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text, and Section G shows why the ex ante record duty remains outside the Federal Rules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statutory access channel ends wherever federal party discovery answers the same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question.</w:t>
      </w:r>
    </w:p>
    <w:bookmarkStart w:id="240" w:name="sectoral-designation-defines-the-field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35" w:name="x1-10000A"/>
      <w:bookmarkEnd w:id="235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Sectoral Designation Defines the Field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“High impact” should identify a deployment category, not attach permanently to a model.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general-purpose model can support casual drafting in one setting and become part of a benefits,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hiring, clinical, or physical-control process in another. The deployment supplies the protected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interest, affected population, operating institution, and legally relevant control. Coverage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follow those features.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proposed statute therefore applies only when a legislature has designated a category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specified six matters: the protected interests; the visible operator; the minimum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record; the retention period and material-change trigger; the claimant’s threshold;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available enforcement remedy. A legislature can make the designation directly or authorize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sectoral agency to maintain a bounded list under statutory criteria. The legislature retains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choices that determine who must answer and which interests justify compulsory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recordkeeping.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Five features identify the strongest candidates. First, the deployment affects an interest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already protected by substantive law, such as employment opportunity, access to public benefits,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health, credit, housing, education, physical safety, or the welfare of minors. Second,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 repeatedly mediates decisions or exposure rather than producing an isolated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low-consequence convenience. Third, affected people predictably observe less about the operative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 than the operator and suppliers know. Fourth, the identity, version, control,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event fields can be standardized at reasonable cost. Fifth, existing doctrine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adjudicate the dispute once those facts are available. These criteria select the settings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a record gateway unlocks an established legal regime rather than inventing a new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Designation also fixes the public-law interface. If a covered operator is a government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institution, the legislature should specify the enforcing tribunal, available relief, applicable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exhaustion route, and the treatment of sovereign or official immunity. The front door need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imply a damages action against the government. It can supply an administrative record,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declaratory remedy, reviewable denial, or other access path tailored to the underlying interest.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Defining that route at designation keeps the information right aligned with the sector’s remedial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structure.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design avoids an unstable universal definition. Employment screening, allocation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essential public benefits, clinical diagnosis or treatment, credit, housing, education admissions,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physical safety, and relational services offered to minors may justify different records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periods. A companion service may require age-access, relational-behavior,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crisis-intervention, and continuity records. An employment tool may require input-feature,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validation, selection-rate, configuration, and version records. A clinical system may require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intended-use, validation-population, uncertainty, escalation, override, and follow-up records.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shared front-door architecture permits sector-specific content.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California’s enacted companion-chatbot provisions demonstrate the feasibility of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form. The legislature defined a covered relational service and its operator, required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specified disclosures and self-harm protocols, imposed protections for known minors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reporting obligations, supplied a private remedy, and preserved cumulative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36"/>
      </w:r>
      <w:bookmarkStart w:id="239" w:name="x1-10001f19"/>
      <w:bookmarkEnd w:id="23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statute did not need to declare every conversational model high impact. It regulated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category and the enterprise that made it available.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designation should also identify exclusions. Research or internal evaluation that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produce a legally or practically consequential effect on an affected person ordinarily falls outside.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 does general cloud hosting without risk-specific configuration or intervention authority. Small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entities may receive simplified record forms or regulator assistance where the sector permits, but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information essential to identify a consequential decision should not disappear with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size. A covered operator using open weights still controls a deployment;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upstream author who has no continuing authority may fall outside the post-release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lane.</w:t>
      </w:r>
    </w:p>
    <w:bookmarkEnd w:id="240"/>
    <w:bookmarkStart w:id="242" w:name="the-visible-operator-answers-firs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41" w:name="x1-11000B"/>
      <w:bookmarkEnd w:id="241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Visible Operator Answers First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rule resolves the service problem by selecting the entity an affected person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ordinarily identify.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visible operator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the enterprise or public institution that made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deployment available to the affected person or incorporated it into the process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produced the adverse event. It may be a companion-service provider, employer,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hospital, lender, benefits agency, school, or operator of a branded application. Its gateway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role follows from visibility and provenance, not a presumption that it controlled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One uses an occurrence threshold rather than a miniature merits pleading. A verified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 identifies: (1) an adverse event affecting an interest protected by the law specified in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sectoral designation; (2) the covered deployment or visible operator through which the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occurred; (3) facts reasonably connecting the requested identity and event fields to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occurrence; (4) the relevant time, transaction, account, decision, or interaction with as much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specificity as reasonably available; (5) the closed fields sought; and (6) a good-faith intended use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answer to evaluate, contest, appeal, or seek relief for the event. A declaration under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penalty of perjury supplies the requester’s personal knowledge and marks matters stated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information reasonably available; counsel certifies proper purpose and reasonable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inquiry.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threshold demands an event and a bounded connection, but never a fact held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exclusively in the deployment record. An applicant need not know whether a named feature was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enabled, whether it generated a score, whether the score reached the employer, which version ran,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which supplier retained the event log. Those are first-answer fields. “An AI harmed me” remains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insufficient because it identifies neither a covered occurrence nor a closed record. But the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cannot defeat Stage One by demanding proof that an undisclosed feature participated in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notice invokes a statutory access right that exists outside merits discovery. It may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served before a complaint. In a state proceeding or another lawful forum, the designation may also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 delivery with or after filing; Section 7 supplies the separate boundary for fields sought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another party after a federal action concerning the adverse event is pending. Delivery follows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electronic or registered-agent channel named in the designation; it invokes the operator’s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first-answer duty but is not service of process for a later action. The operator receives thirty days,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subject to one short extension for a documented technical, privacy, or security need,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answer, object by field, or state that no covered deployment processed the identified event.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Silence, a blanket proprietary designation, and referral to an unnamed vendor are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If the operator refuses or materially underanswers, the affected person may seek narrow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enforcement against that known entity in a lawful forum. The statutory violation is complete upon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coverage, a compliant request, delivery, and nonperformance; enforcement does not depend 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pleading the merits fact that the first answer exists to reveal. The administering agency or a 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independent subject-matter and personal jurisdiction can order the defined answer, and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valid arbitration agreement may select the private enforcement forum. The requester bears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burden on coverage, delivery, and the occurrence threshold. The operator bears the burden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a field-specific objection based on facts within its control, including nonoperation,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burden, privilege, privacy, security, or documented unavailability. Jurisdiction, immunity,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preemption, and a pure legal bar remain available before access expands beyond the fixed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gateway then supplies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first answer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two components.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event receipt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application and model versions active for the event; any output, score, decision, notice,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warning, transmission, use, or intervention recorded for that event; and whether a requested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function did not run.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custodian map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entities that supplied, configured, integrated,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operated material components; the holder and legal controller of each listed record; and the roles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authority to update, restrict, roll back, suspend, or stop a relevant function.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preserves records within its control, identifies the retention schedule and known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deletion, and activates each contractual retrieval and preservation path required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answer solves two practical problems. The affected person receives identity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provenance without reconstructing vendor architecture. Potential control holders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receive a common event identifier and can preserve the corresponding slice. A visible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cannot answer that procurement did not retain the version or that the supplier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relationship is confidential; local provenance and a retrieval right are conditions of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 Notice to a supplier, however, creates neither statutory coverage, choice of law,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personal jurisdiction, nor service of process. Direct statutory duties attach only where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and deployment fall within the Act’s valid territorial and choice-of-law reach;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remains responsible for the local minimum answer and contractual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architecture.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Two begins only after that record exists. The affected person must identify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claim-specific control lane, show from Stage One that the function formed part of the event path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governed a safeguard, and show that additional nonprivileged information bears non-de-minimally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an element, defense, or remedy and is proportionate to the defined dispute. The visible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remains free to show that its gateway role did not include the relevant lane.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Visibility opens Stage One; the test in the next Section determines who remains for Stage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Two.</w:t>
      </w:r>
    </w:p>
    <w:bookmarkEnd w:id="242"/>
    <w:bookmarkStart w:id="248" w:name="X9e7a45e9943e08544407f510f9a942aad7a0627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43" w:name="x1-12000C"/>
      <w:bookmarkEnd w:id="24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Material Control Requires Risk, Authority, and Information Materiality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“Ability to affect the system” is too broad. A cloud provider, investor, data vendor, researcher,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model author, and downstream institution may each have some causal connection to a deployment.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should reach an enterprise only when three requirements are satisfied at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time.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First,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risk specificity</w:t>
      </w:r>
      <w:r>
        <w:rPr>
          <w:rFonts w:ascii="Garamond" w:hAnsi="Garamond" w:cs="Garamond" w:eastAsia="Songti SC"/>
          <w:lang w:val="en-US" w:eastAsia="zh-CN"/>
        </w:rPr>
        <w:t xml:space="preserve">: the asserted control must connect to the risk alleged in the verified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notice. General influence over corporate strategy, compute availability, or model research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establish control over age access, hiring rank, clinical escalation, a particular tool permission,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another specified hazard.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Second,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practical authority</w:t>
      </w:r>
      <w:r>
        <w:rPr>
          <w:rFonts w:ascii="Garamond" w:hAnsi="Garamond" w:cs="Garamond" w:eastAsia="Songti SC"/>
          <w:lang w:val="en-US" w:eastAsia="zh-CN"/>
        </w:rPr>
        <w:t xml:space="preserve">: the enterprise must have possessed an operational or legally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enforceable ability to configure, constrain, evaluate, monitor, update, suspend, roll back,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terminate the relevant function. A theoretical technical capacity, an expired contract right,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influence that required another actor’s voluntary cooperation is evidence but not practical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 by itself. Contractual audit, update, safety-override, and suspension rights matter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because they may be usable controls; a contractual label declaring the parties independent does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 decide the question.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Third,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information materiality</w:t>
      </w:r>
      <w:r>
        <w:rPr>
          <w:rFonts w:ascii="Garamond" w:hAnsi="Garamond" w:cs="Garamond" w:eastAsia="Songti SC"/>
          <w:lang w:val="en-US" w:eastAsia="zh-CN"/>
        </w:rPr>
        <w:t xml:space="preserve">: the Stage One record must support that the function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formed part of the event path or governed a safeguard, and the requested information must bear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non-de-minimally on an element, defense, or remedy. An incidental contribution or a remote ability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affecting every customer in the same undifferentiated way falls outside. The inquiry asks whether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requested information can materially inform adjudication. It does not require a showing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exercising the authority would have prevented the injury, changed the ultimate decision,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satisfied causation.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requirements are cumulative. Nonexclusive factors include who selected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deployment’s purpose and population; chose the model and version; configured instructions,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memory, retrieval, data fields, tools, and credentials; set engagement, ranking, decision,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escalation thresholds; received evaluations, complaints, and incident signals; could issue an update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impose a restriction; retained contractual audit or safety-override rights; and could suspend, roll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back, or terminate the function. The inquiry is temporal. Authority obtained after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does not create earlier control, although later records may reveal what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Several negative rules keep the test bounded. Investment, ordinary cloud capacity,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publication of research, past employment, trademark association, and model provenance alone do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 establish material control. Publishing open weights may end the original provider’s ability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monitor or stop an independent deployment. A downstream modifier that removes safeguards, adds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credentials, or selects a new high-impact purpose can occupy the relevant lane instead. Conversely,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provider that retains mandatory updates, remote suspension, risk monitoring, or binding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conditions may retain a lane despite contract language assigning “all responsibility”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downstream.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Material control determines information obligations, not substantive liability.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can possess a control relevant to feasibility yet owe no duty to the affected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 under governing law. It can receive an alert that does not constitute legally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sufficient notice. The test identifies the entities and records needed to ask the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questions accurately. The statute’s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merits firewall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preserves that separation: front-door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participation and record production create no inference on an element of the underlying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bookmarkStart w:id="247" w:name="adjudicating-material-control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1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44" w:name="x1-130001"/>
      <w:bookmarkEnd w:id="244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Adjudicating Material Control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test becomes useful doctrine when each requirement has an evidentiary question and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allocated burden. After the first answer, the affected person makes a prima facie showing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identifying a concrete lane connected to the asserted risk, showing that the Stage One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supports that the function formed part of the event path or governed a safeguard, and identifying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information that bears non-de-minimally on a claim-specific element, defense,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remedy. The showing may point to an employer’s enabled ranking feature, a provider’s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retained update authority, an application’s self-harm threshold, or an integrator’s workflow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trigger. It concerns allocation and record relevance, not breach or causal sufficiency.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enterprise seeking termination then identifies Stage One material showing that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function did not run, no output was generated or transmitted, the asserted authority was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unavailable at the relevant time, or the requested information bears no non-de-minimis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relation to an element, defense, or remedy. The tribunal decides termination on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closed record or permits a bounded Stage Two inquiry when a genuine factual conflict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remains.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record duty supplies one limited burden consequence. If a covered enterprise’s failure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 or retain a required Stage One field produces an ambiguity about its lane, the tribunal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resolves that ambiguity against the record-duty holder only for access and termination.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consequence opens bounded production; it creates no inference of duty, breach, causation,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discriminatory operation, or damages. That allocation prevents record noncompliance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becoming a safe exit while preserving the merits firewall.</w:t>
      </w:r>
    </w:p>
    <w:p>
      <w:pPr>
        <w:pStyle w:val="BodyText"/>
        <w:spacing w:before="0" w:after="0" w:line="320" w:lineRule="exact"/>
        <w:ind w:firstLine="360"/>
        <w:jc w:val="both"/>
      </w:pPr>
      <w:bookmarkStart w:id="245" w:name="x1-130012"/>
      <w:bookmarkEnd w:id="245"/>
    </w:p>
    <w:p>
      <w:pPr>
        <w:pStyle w:val="Imag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Table 2: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Material Control as an Adjudicable Test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rPr>
          <w:cantSplit/>
        </w:trPr>
        <w:tc>
          <w:tcPr/>
          <w:bookmarkStart w:id="243" w:name="TBL-4"/>
          <w:tbl>
            <w:tblPr>
              <w:tblStyle w:val="Table"/>
              <w:tblW w:type="dxa" w:w="9000"/>
              <w:jc w:val="center"/>
              <w:tblBorders>
                <w:top w:val="single" w:sz="8" w:space="0" w:color="000000"/>
                <w:bottom w:val="single" w:sz="8" w:space="0" w:color="000000"/>
                <w:left w:val="nil" w:sz="0" w:space="0" w:color="auto"/>
                <w:right w:val="nil" w:sz="0" w:space="0" w:color="auto"/>
                <w:insideV w:val="nil" w:sz="0" w:space="0" w:color="auto"/>
                <w:insideH w:val="single" w:sz="2" w:space="0" w:color="B7B7B7"/>
              </w:tblBorders>
              <w:tblLayout w:type="fixed"/>
              <w:tblCellMar>
                <w:top w:type="dxa" w:w="45"/>
                <w:left w:type="dxa" w:w="70"/>
                <w:bottom w:type="dxa" w:w="45"/>
                <w:right w:type="dxa" w:w="70"/>
              </w:tblCellMar>
              <w:tblLook w:firstRow="0" w:lastRow="0" w:firstColumn="0" w:lastColumn="0" w:noHBand="0" w:noVBand="0" w:val="0000"/>
            </w:tblPr>
            <w:tblGrid>
              <w:gridCol w:w="1620"/>
              <w:gridCol w:w="3150"/>
              <w:gridCol w:w="4230"/>
            </w:tblGrid>
            <w:tr>
              <w:trPr>
                <w:cantSplit/>
                <w:tblHeader/>
              </w:trPr>
              <w:tc>
                <w:tcPr>
                  <w:tcW w:type="dxa" w:w="162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Requirement</w:t>
                  </w:r>
                </w:p>
              </w:tc>
              <w:tc>
                <w:tcPr>
                  <w:tcW w:type="dxa" w:w="315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Evidence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that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supports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the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lane</w:t>
                  </w:r>
                </w:p>
              </w:tc>
              <w:tc>
                <w:tcPr>
                  <w:tcW w:type="dxa" w:w="423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Evidence that supports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b/>
                      <w:bCs/>
                      <w:sz w:val="18"/>
                      <w:szCs w:val="18"/>
                      <w:lang w:val="en-US" w:eastAsia="zh-CN"/>
                    </w:rPr>
                    <w:t xml:space="preserve">termination of the lane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2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Risk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specificity</w:t>
                  </w:r>
                </w:p>
              </w:tc>
              <w:tc>
                <w:tcPr>
                  <w:tcW w:type="dxa" w:w="315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Function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map;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risk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ownership;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feature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requirements;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evaluation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scope;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incident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category;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warnings;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escalation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assignment.</w:t>
                  </w:r>
                </w:p>
              </w:tc>
              <w:tc>
                <w:tcPr>
                  <w:tcW w:type="dxa" w:w="423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General corporate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influence; unrelated research;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infrastructure service without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risk-specific configuration;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records addressing a different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feature or hazard.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2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Practical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authority</w:t>
                  </w:r>
                </w:p>
              </w:tc>
              <w:tc>
                <w:tcPr>
                  <w:tcW w:type="dxa" w:w="315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Contract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right;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administrative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permission;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release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update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role;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audit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access;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monitoring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feed;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restriction,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rollback,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suspension,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termination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mechanism;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consistent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exercise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practice.</w:t>
                  </w:r>
                </w:p>
              </w:tc>
              <w:tc>
                <w:tcPr>
                  <w:tcW w:type="dxa" w:w="423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Expired or legally unavailable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right; access requiring another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actor’s uncommitted consent;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technical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ability prohibited and unused;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independent modification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beyond visibility or reach.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2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Information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materiality</w:t>
                  </w:r>
                </w:p>
              </w:tc>
              <w:tc>
                <w:tcPr>
                  <w:tcW w:type="dxa" w:w="315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Stage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One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evidence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that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the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function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formed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part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of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the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event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path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governed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safeguard;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requested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information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bearing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non-de-minimally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an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element,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defense,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remedy.</w:t>
                  </w:r>
                </w:p>
              </w:tc>
              <w:tc>
                <w:tcPr>
                  <w:tcW w:type="dxa" w:w="423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Feature inactive for the event;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output never generated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or transmitted; lane acquired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after the event; requested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information unrelated to the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asserted path or claim-specific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sz w:val="18"/>
                      <w:szCs w:val="18"/>
                      <w:lang w:val="en-US" w:eastAsia="zh-CN"/>
                    </w:rPr>
                    <w:t xml:space="preserve">issue.</w:t>
                  </w:r>
                </w:p>
              </w:tc>
            </w:tr>
          </w:tbl>
          <w:bookmarkEnd w:id="243"/>
          <w:p/>
        </w:tc>
      </w:tr>
    </w:tbl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Reserved contractual rights deserve particular care. A right to obtain validation on demand,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 a safety update, audit use, or suspend a feature is practical authority when the right was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legally available and operationally usable. The holder need not have exercised it in the claimant’s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event; otherwise an enterprise could erase its information obligation by leaving a reserved safeguard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idle. A generic right to terminate an entire commercial agreement may be too remote when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provides no timely, risk-specific intervention. The contract supplies evidence, while administrative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permissions, actual practice, response time, technical dependencies, and past interventions show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whether the right could function.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Actual power can matter when a contract is silent or inaccurate. A vendor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routinely pushes mandatory updates, disables a feature across tenants, monitors risk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signals, or supplies the only version map may possess practical authority even if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agreement calls the customer solely responsible. A customer that can enable, ignore,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combine a score may control the decision lane even when the vendor hosts the data.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systems integrator with one-time access during installation may fall outside after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handoff unless it retained monitoring, credentials, or change authority. The inquiry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reconstructs the operative deployment rather than enforcing labels selected for another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purpose.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Information materiality imposes event-path discipline without creating a causation hearing.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One can answer many cases: the feature was disabled; no score was generated; the output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never reached the decisionmaker; the provider had no post-release connection; or the supposed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controller joined the stack after the event. A lane remains when the Stage One record supports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its function formed part of that path or governed a safeguard and the requested information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bears non-de-minimally on a claim-specific element, defense, or remedy. Where the event path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 conflict, Stage Two can examine configuration history, tests, monitoring, or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representative protocol limited to that lane. No different-act, prevention, or causation showing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same test produces different allocations across architectures. In an integrated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companion service, the visible operator may control access, relationship design, memory,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engagement objectives, warnings, monitoring, and account restriction; an infrastructure provider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offering generic compute exits. In an employment stack, the employer may control job criteria,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 activation, decision weight, review, and final disposition, while a vendor controls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design, defaults, validation, updates, and cross-customer monitoring. In an open-weights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deployment, the original publisher may have no continuing control after release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modifier and operating institution acquire the risk-specific tools, data, credentials,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stop authority. The rule follows each lane without requiring every participant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remain.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material-control ruling terminates only the special front-door role. An entity never named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an underlying claim returns to ordinary nonparty status after completing any first-answer duty.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party already facing an independently sufficient cause of action remains subject to that claim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 if it lacks the control lane alleged in the notice. This distinction gives safe exit its intended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economy without using an information proceeding to decide a merits question it was not designed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reach.</w:t>
      </w:r>
    </w:p>
    <w:bookmarkEnd w:id="247"/>
    <w:bookmarkEnd w:id="248"/>
    <w:bookmarkStart w:id="265" w:name="X1207eb8943d5e4b552dc061fe7ef63b2b80a36e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49" w:name="x1-14000D"/>
      <w:bookmarkEnd w:id="249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Creation, Preservation, and Production Are Separate Duties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depends on three legal functions that begin at different times.</w:t>
      </w:r>
    </w:p>
    <w:bookmarkStart w:id="256" w:name="record-creation-before-operation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1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50" w:name="x1-150001"/>
      <w:bookmarkEnd w:id="250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Record Creation Before Operation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deployment-record duty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arises before a covered deployment affects the public.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visible operator has a nondelegable local duty to identify the system, version, purpose,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population, material components, vendors, data sources, tools, credentials, intended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limits, risk owners, release approval, event identifier, and intervention authority. During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operation, it records material changes, evaluations, complaints, incidents, escalations,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overrides, restrictions, rollbacks, and termination decisions. A covered control holder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subject to the Act maintains the subset corresponding to its lane and provides current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provenance and a response contact. If a supplier is outside the Act’s direct reach,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still owes the local minimum record and must perform through its predeployment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divided deployment requires a retrieval architecture as well as a list of vendors.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use, the visible operator must obtain contractual rights to retrieve the identity, version,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configuration, event, and control-allocation fields assigned to an upstream holder on demand.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agreement identifies a responsive agent, stable deployment and event identifiers, preservation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response duties, lawful routes for producing customer-controlled data, successor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obligations after acquisition, and the treatment of subcontractors. The operator need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warehouse a supplier’s source code or unrelated customer data. It keeps a closed local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sufficient to identify what ran and a legally usable path to obtain the defined supplier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requirement builds a usable retrieval right into deployment design. Where Rule 34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turns on a legal right to obtain documents on demand, a covered operator can create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right before deployment instead of litigating it after harm. Where privacy law or a customer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agreement places legal control with the operating institution, the contract can authorize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coordinated response rather than allowing the host and customer to direct the requester to each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other. Operator notice alone does not create personal jurisdiction over a foreign or out-of-state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51"/>
      </w:r>
      <w:bookmarkStart w:id="255" w:name="x1-15001f20"/>
      <w:bookmarkEnd w:id="25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domestic operator preserves the minimum record locally and conditions covered use on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reachable agent and retrieval duty.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designation supplies the detail. A statute need not require indefinite retention of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prompt or every user’s data. It should define event categories, sampling where appropriate, privacy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minimization, and a retention period calibrated to the protected interest and ordinary limitations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period. High-impact decisions affecting employment or benefits may require the inputs, output,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version, governing policy, notice, and review event for each affected person while permitting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aggregation or deletion of unrelated interaction content. Relational deployments involving minors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require crisis detections and interventions while minimizing intimate content unrelated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asserted event.</w:t>
      </w:r>
    </w:p>
    <w:bookmarkEnd w:id="256"/>
    <w:bookmarkStart w:id="258" w:name="preservation-after-a-defined-trigger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2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57" w:name="x1-160002"/>
      <w:bookmarkEnd w:id="257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Preservation After a Defined Trigger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Retention and litigation preservation are related but distinct. The statute fixes a baseline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 before any dispute. A verified front-door notice, regulator demand, filed claim,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other event making a dispute reasonably foreseeable suspends ordinary deletion for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risk-specific record. The operator must issue a hold to relevant custodians and notify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identified control holders. The notice should not freeze every model and customer record.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scope follows the event, versions, period, user or decision, control lanes, and asserted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statutory trigger creates a stable bridge to existing preservation law. It also protects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defendants: a dated notice and documented hold define what had to be preserved and when.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can show that a missing item was outside scope, deleted before any duty attached,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available from another source.</w:t>
      </w:r>
    </w:p>
    <w:bookmarkEnd w:id="258"/>
    <w:bookmarkStart w:id="264" w:name="staged-production-after-the-threshold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3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59" w:name="x1-170003"/>
      <w:bookmarkEnd w:id="259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Staged Production After the Threshold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Production proceeds in stages. Stage One is the first answer described above: identity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active versions; event-specific run, output, notice, and intervention fields; suppliers,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custodians, and legal controllers; listed operational and stopping authority; and preservation,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deletion, and retrieval status. Its purpose is to identify the deployment and test the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Two follows only when the affected person uses Stage One to make a prima facie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showing of a claim-specific control lane, information materiality, and proportional need. It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include relevant evaluations and validation; complaints and incident trends; configuration history;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release and change approvals; rejected or conditional mitigations; escalation and response;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 needed to test a proposed alternative or defense. Time, version, affected population,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feature, and risk category bound the request.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Source code, model weights, unrestricted training data, security-sensitive controls,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unrelated users’ content occupy a final tier. A court should order them only when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requesting party shows that a material issue cannot reasonably be tested through less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intrusive evidence such as versioned documentation, validation results, representative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testing, counterfactual interrogation, interrogatories, an expert protocol, or in camera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review.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60"/>
      </w:r>
      <w:bookmarkStart w:id="263" w:name="x1-17001f21"/>
      <w:bookmarkEnd w:id="26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distinction protects legitimate secrecy without converting a trade secret into a barrier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legal process that governs its consequential use.</w:t>
      </w:r>
    </w:p>
    <w:bookmarkEnd w:id="264"/>
    <w:bookmarkEnd w:id="265"/>
    <w:bookmarkStart w:id="271" w:name="protection-remedies-and-safe-exi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66" w:name="x1-18000E"/>
      <w:bookmarkEnd w:id="26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Protection, Remedies, and Safe Exit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Confidentiality is part of the rule’s design. Production remains limited to nonprivileged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matter. Courts may use redaction, pseudonymization, data minimization,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attorneys’-eyes-only access, secure expert environments, in camera review,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protective orders for trade secrets, research, security, medical information, and personal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data.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67"/>
      </w:r>
      <w:bookmarkStart w:id="270" w:name="x1-18001f22"/>
      <w:bookmarkEnd w:id="27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operator must still identify that a protected record exists, its custodian, date, version,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asserted basis for withholding. A privilege log separates a lawful protection from an unreviewable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 that the record is proprietary.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statute should specify graduated consequences.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1.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Late or incomplete identification</w:t>
      </w:r>
      <w:r>
        <w:rPr>
          <w:rFonts w:ascii="Garamond" w:hAnsi="Garamond" w:cs="Garamond" w:eastAsia="Songti SC"/>
          <w:lang w:val="en-US" w:eastAsia="zh-CN"/>
        </w:rPr>
        <w:t xml:space="preserve">: an order enforcing the statutory first answer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reasonable expenses caused by noncompliance. For a claim created or governed by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same enactment, the limitations period is suspended from service of a compliant request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until a fixed period after compliance or final denial. Other state and federal claims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retain their own limitations and tolling law.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2.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Failure to create or retain the minimum record</w:t>
      </w:r>
      <w:r>
        <w:rPr>
          <w:rFonts w:ascii="Garamond" w:hAnsi="Garamond" w:cs="Garamond" w:eastAsia="Songti SC"/>
          <w:lang w:val="en-US" w:eastAsia="zh-CN"/>
        </w:rPr>
        <w:t xml:space="preserve">: the administrative penalty, corrective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order, compliance monitoring, or statutory-access remedy specified by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sectoral enactment. The consequence addresses the independent deployment obligation;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does not become a prescribed inference on the underlying injury.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3.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Loss after a preservation trigger</w:t>
      </w:r>
      <w:r>
        <w:rPr>
          <w:rFonts w:ascii="Garamond" w:hAnsi="Garamond" w:cs="Garamond" w:eastAsia="Songti SC"/>
          <w:lang w:val="en-US" w:eastAsia="zh-CN"/>
        </w:rPr>
        <w:t xml:space="preserve">: an order to identify the loss and available substitute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sources, followed by measures under the governing forum’s preservation law. 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electronically stored information that should have been preserved in anticipation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conduct of federal litigation and cannot be restored or replaced, Rule 37(e) supplies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standard. The state statute should not prescribe a competing litigation sanction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 the same loss.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4.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Intentional concealment or falsification</w:t>
      </w:r>
      <w:r>
        <w:rPr>
          <w:rFonts w:ascii="Garamond" w:hAnsi="Garamond" w:cs="Garamond" w:eastAsia="Songti SC"/>
          <w:lang w:val="en-US" w:eastAsia="zh-CN"/>
        </w:rPr>
        <w:t xml:space="preserve">: specified civil penalties, enforcement expenses,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remedies for the independent access violation. Litigation misconduct remains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subject to the tribunal’s governing authority.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5.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The merits firewall</w:t>
      </w:r>
      <w:r>
        <w:rPr>
          <w:rFonts w:ascii="Garamond" w:hAnsi="Garamond" w:cs="Garamond" w:eastAsia="Songti SC"/>
          <w:lang w:val="en-US" w:eastAsia="zh-CN"/>
        </w:rPr>
        <w:t xml:space="preserve">: compliance, noncompliance, and front-door participation create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inference on the merits questions enumerated in Section 8. Governing law determines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whether a record omission has any separate relevance to an independently pleaded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Safe exit is the reciprocal limit. After Stage One, an enterprise may move to terminate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front-door role by showing that it lacked material control over the asserted risk during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period. The claimant may use the first-answer record to contest that showing.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entity not otherwise sued returns to ordinary nonparty status. A party remains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only when an independently sufficient claim, a valid subpoena, or regulatory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a basis for continued participation. The gateway obligation therefore ends 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point where the control record shows that another lane or no AI-specific lane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relevant.</w:t>
      </w:r>
    </w:p>
    <w:bookmarkEnd w:id="271"/>
    <w:bookmarkStart w:id="273" w:name="model-statutory-tex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F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72" w:name="x1-19000F"/>
      <w:bookmarkEnd w:id="272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Model Statutory Text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following text consolidates the rule as a default model. A sectoral enactment would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covered field, retention clock, administering authority, and ordinary civil-penalty ceiling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preserving the sequence and merits firewall.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1. Designated Deployment and Covered Enterprises.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Act applies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only to an AI deployment category designated by the enacting legislature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identified by covered function, protected interests, visible operator, affected persons,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minimum record, retention period, material-change threshold, administering authority,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enforcement route, and civil-penalty ceiling.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covered control holder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an enterprise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this State’s law validly applies that operates, provides, or continuously supports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identified covered deployment, or that has contractually assumed the response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duties defined here. Before designation, the legislature or authorized agency shall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publish a federal-overlap determination identifying applicable federal actors, statutes,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regulations, exclusive enforcement provisions, express or conflict-preemption issues,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excluded actors and fields, the relation between remedies, and the claims to which 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tolling may lawfully apply.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2. Deployment Record and Retrieval Architecture.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making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deployment available or incorporating it into an affected process, the visible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shall create and maintain a local record identifying the system and versions;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purpose and affected population; material model, data, retrieval, tool, and credential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components; deployment and event identifiers; suppliers and integrators; risk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release owners; evaluation and approval; material limitations and unresolved risk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decisions; incident and escalation channels; and authority to update, restrict, roll 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suspend, or terminate. Each covered control holder shall maintain the corresponding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portion and provide current provenance and a response contact. The operator shall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obtain a contractual right to retrieve the defined supplier fields, require preservation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response, and carry those duties through subcontracting, acquisition, and service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termination. These operator duties are nondelegable. The designation supplies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period and material-change rule.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3. Stage One Notice; No Condition Precedent.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affected person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deliver to the visible operator’s designated agent a sworn declaration or declaration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under penalty of perjury identifying: (a) an adverse event affecting an interest protected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 the law named in the designation; (b) the covered deployment or visible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which the event occurred; (c) facts reasonably connecting the requested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 and event fields to that occurrence; (d) the event, transaction, account,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application, decision, or period with as much specificity as reasonably available; (e)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closed fields sought; and (f) a good-faith intended use of the answer to evaluate, contest,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appeal, or seek relief for the event. Stage One does not require a fact held exclusively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deployment record. Counsel, if any, shall certify to the operator proper purpose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reasonable inquiry. Delivery invokes the first-answer duty but is not service of process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 an enforcement action. Invocation or exhaustion of Stage One is not a condition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precedent to commencing or maintaining any action other than an action to enforce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duties created by this Act. Failure to invoke Stage One, or an incomplete first answer,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creates no pleading requirement, ground for dismissal, stay, or defense as to any 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4. First Answer and Preservation.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thirty days after delivery,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operator shall provide an event receipt and custodian map. The receipt 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application and model versions active for the event; any requested output, score,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decision, notice, warning, transmission, use, or intervention; and whether a named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function did not run. The map identifies each entity that supplied, configured,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integrated, or operated a material component; the custodian and legal controller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each field; and each entity with update, restriction, rollback, suspension, or termination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authority. The operator shall preserve its risk-specific record, identify known deletion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unavailability, and activate its contractual retrieval and preservation rights. Each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control holder independently subject to this Act shall preserve and acknowledge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 assigned lane. For any other supplier, the operator shall satisfy the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obligation through Section 2’s contract and local record. Operator notice alone creates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neither statutory coverage, choice of law, service, personal jurisdiction, nor consent.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One extension of fifteen days may be obtained for a stated technical, privacy, or security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need.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5. Material Control.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enterprise remains for Stage Two only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upon a prima facie showing that, at the relevant time: (a) its function was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specifically connected to the asserted risk; (b) it possessed practical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configuration, constraint, evaluation, monitoring, update, restriction, rollback,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suspension, termination, or a legally enforceable equivalent; and (c) the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supports that the function formed part of the event path or governed a safeguard,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the requested information bears non-de-minimally on an element, defense,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remedy. This Section requires no showing that exercising the authority would have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prevented the injury, changed the decision, or satisfied causation. Investment, general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cloud service, publication, research, brand association, provenance, or theoretical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technical capacity alone is insufficient.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6. Objection, Burdens, and Enforcement.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operator may object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 and shall state facts supporting noncoverage, nonoperation, burden, privilege,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privacy, security, or documented unavailability. A proprietary label or referral to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unnamed supplier is insufficient. A timely, specific objection stays disclosure of only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contested field pending prompt neutral review; every uncontested field remains due.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affected person may seek expedited enforcement in a court of competent jurisdiction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another lawful forum. The requester bears the burden on coverage, delivery,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Stage One occurrence threshold. The operator bears the burden on a field-specific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objection based on facts within its control. After the first answer, the requester 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prima facie control lane; an enterprise seeking termination identifies the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defeating risk specificity, practical authority, or information materiality.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ambiguity caused by that enterprise’s violation of Section 2 is resolved against it only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 access and termination and creates no merits inference.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7. Stage Two, Federal-Court Boundary, and Protection.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Further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nonprivileged production may be obtained by agreement or ordered in a pending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proceeding only when Stage One supports a claim-specific control lane, including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function formed part of the event path or governed a safeguard; the requested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bears non-de-minimally on an element, defense, or remedy; and production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necessary and proportionate. Production shall be limited by time, version, affected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population, feature, and asserted risk. Source code, weights, sensitive data, raw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content, expressive deliberation, and security controls require written findings that less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intrusive evidence cannot reasonably resolve a material issue. The owner of contested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material and any materially affected third party shall receive notice and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opportunity for prompt neutral review before disclosure. The tribunal shall protect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privilege, privacy, trade secrets, research, association, expression, and security through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minimization, redaction, pseudonymization, limited access, secure expert review,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camera review, or another lawful safeguard.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 an action pending in a court of the United States, the Federal Rules of Civil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Procedure govern all Stage Two production and protection. After an action concerning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adverse event is pending in such a court, and except for relief on a first-answer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violation completed before that action was commenced, no party may invoke Stage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One to obtain fields from another party in that action. As to fields first sought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another party after the action is pending, the first-answer duty is satisfied through,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limited by, the Federal Rules of Civil Procedure. This Act creates no entitlement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production from a party beyond the scope of Rule 26(b)(1), advances no discovery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Rule 26(d), and enlarges no production or subpoena authority under Rules 34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45. The duties to create, retain, and preserve the record under Sections 2 and 4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apply without regard to whether an action is pending.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8. Merits Firewall and Termination.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Compliance, noncompliance, notice,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participation create no presumption of duty, breach, defect, discriminatory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operation, agency, causation, damages, or joint liability. Governing law supplies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element and defense. An enterprise that completes Section 4 and defeats a Section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5 requirement terminates its front-door role. An entity not otherwise subject to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independently sufficient claim resumes nonparty status. A valid subpoena, regulatory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authority, or another source of law may require continued participation on its 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terms.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9. Remedies and Limitations.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lawful forum may issue an expedited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compliance order and award reasonable actual expenses caused by an incomplete,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late, or evasive answer. The administering authority may order creation or correction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the minimum record, compliance monitoring, and a civil penalty calibrated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duration, affected persons, record scope, and culpability up to the ceiling fixed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sectoral designation. Knowing falsification, concealment, or repeated violation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permits recovery of enforcement expenses and an enhanced penalty up to twice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ceiling. Bare nonperformance creates no private statutory damages; this Act creates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 damages for the underlying adverse event and no merits presumption. Measures 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lost electronically stored information in federal litigation remain governed by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 of Civil Procedure 37(e). Only a claim created or expressly governed by this Act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tolled from delivery of a compliant request until sixty days after compliance or final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denial.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10. Nonwaiver, Forum, Standing, and Federal Procedure.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duties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create, retain, and provide the minimum record are nonwaivable as to affected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persons, arise from covered deployment, and exist whether a dispute is litigated,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arbitrated, or never filed. Except as an element of a claim to enforce the first-answer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duty itself, invocation or exhaustion of Stage One is not a condition precedent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commencing or maintaining any civil action or arbitration. Failure to invoke Stage One,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an incomplete first answer, creates no pleading requirement, ground for dismissal,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stay, or defense as to any other claim.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valid arbitration agreement may select the private enforcement forum under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Arbitration Act; the first-answer clock continues independently, and completion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Stage One is not a condition precedent to commencing or continuing arbitration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except as an element of a claim to enforce the first-answer duty itself. An agreement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the administering authority is not a party does not restrict public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brought in that authority’s own name.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claim to enforce a first-answer violation completed before a federal action was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commenced seeks the compliance relief specified in Section 9. In federal court,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Rules govern commencement, pleading, service, provisional relief, adjudication,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judgment. Section 7 governs any fields first sought from another party after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action concerning the adverse event is pending.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Nothing in this Act creates Article III standing, personal jurisdiction, or subject-matter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jurisdiction; overrides immunity or privilege; binds a nonsignatory to arbitration;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alters federal rules governing pleading, service, joinder, discovery, amendment,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protective orders, injunctions, and sanctions. Courts and arbitrators administer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duties created here; they do not derive them from ordinary discovery authority.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b/>
          <w:bCs/>
          <w:lang w:val="en-US" w:eastAsia="zh-CN"/>
        </w:rPr>
        <w:t xml:space="preserve">Section 11. Territorial Reach, Federal Supremacy, and Severability.</w:t>
      </w:r>
      <w:r>
        <w:rPr>
          <w:rFonts w:ascii="Garamond" w:hAnsi="Garamond" w:cs="Garamond" w:eastAsia="Songti SC"/>
          <w:b/>
          <w:b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upstream enterprise has a direct duty only when it purposefully supplied, configured,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operated, or continuously supported the identified deployment for covered use in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State, or another lawful basis for legislative authority exists, and application of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State’s law satisfies territorial and choice-of-law rules. Coercive relief additionally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requires valid service and an independent basis for personal jurisdiction. Appointment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the operator’s response agent authorizes delivery under Section 3 only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creates no consent to general jurisdiction. This Act imposes no requirement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extent federal law preempts it, requires no disclosure prohibited by federal privacy,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security, communications, or confidentiality law, creates no claim solely to enforce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duty reserved to the United States, and does not regulate the United States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absent congressional authorization and an applicable waiver. A tribunal shall sever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preempted actor, field, remedy, or application when the remaining designation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operate consistently with the legislature’s stated purpose.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model text makes the statutory architecture legible. The regulated acts are operating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deployment without the minimum record and refusing the resulting access right, not unsafe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 in the abstract. The trigger is tied to a legislatively specified legal interest, an adverse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event, and closed deployment facts. Control is risk specific. Access is staged. Confidential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receives protection. A record holder can terminate its special role. The merits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where ordinary law placed them.</w:t>
      </w:r>
    </w:p>
    <w:bookmarkEnd w:id="273"/>
    <w:bookmarkStart w:id="296" w:name="X9f368c707862d4e4fce8f56b15ef2e649f28023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G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74" w:name="x1-20000G"/>
      <w:bookmarkEnd w:id="274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Front Door Ends Where Federal Discovery Begins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door’s most durable contribution precedes any access dispute. No Federal Rule tells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what version, approval, evaluation, escalation, intervention, event, or retrieval record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must create while operating a covered deployment. Rule 34 permits requests for designated existing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materials within a party’s possession, custody, or control; it does not require the enterprise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 the record in the first place. Thus, even if a federal court declined to enforce a first-answer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demand against another party after litigation began, the ex ante duty would still have performed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Article’s indispensable work. The deployment would remain identifiable, its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control record would exist, and ordinary federal discovery could reach that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subject to the Rules’ own limits.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Erie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therefore governs the access channel in a bounded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set of federal cases. It does not determine whether a covered deployment must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observable.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Berk v. Choy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makes the correct axis explicit: scope, not characterization. The 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reversed the dismissal of a diversity medical-negligence action that lacked the affidavit of merit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required by Delaware law. An eight-Justice majority held that Rule 8 answered whether the action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could be dismissed because the plaintiff had not supplied merits evidence at the outset; Justice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Jackson concurred only in the judgment, locating the conflicts in Rules 3 and 12 instead.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opinions disagreed over the precise Federal Rule, but each treated definition of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“question in dispute” as decisive. Once a valid Federal Rule answers that question,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Berk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holds, contrary state law gives way even if it would count as substantive under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Erie</w:t>
      </w:r>
      <w:r>
        <w:rPr>
          <w:rFonts w:ascii="Garamond" w:hAnsi="Garamond" w:cs="Garamond" w:eastAsia="Songti SC"/>
          <w:lang w:val="en-US" w:eastAsia="zh-CN"/>
        </w:rPr>
        <w:t xml:space="preserve">. At the Rules Enabling Act step, the inquiry is whether the Federal Rule “really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regulates procedure”; the displaced state law’s substantive nature or purpose “makes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difference.” The front door therefore cannot rest on the proposition that Stage One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substantive, or on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Shady Grove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concurrence’s intertwinement formulation as a second-stage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escape. It must stand because the Federal Rules do not answer the question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asks.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75"/>
      </w:r>
      <w:bookmarkStart w:id="277" w:name="x1-20001f23"/>
      <w:bookmarkEnd w:id="277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distinction is structural. Delaware required a plaintiff to submit evidence to a court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 of commencing or maintaining a lawsuit. The front door requires no litigant to submit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anything to a court, adds nothing to a complaint, changes no dismissal standard, and creates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prerequisite to another claim. It asks what a covered operator must record during operation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what fixed identity-and-event receipt it owes an affected person after a covered event. That duty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keyed to deployment, not litigation. It applies when the recipient later sues, arbitrates,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pursues an administrative appeal, seeks an internal correction, or brings no proceeding.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Sections 3 and 10 make the line operative: invocation is not a condition precedent,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noninvocation supplies no pleading defect, dismissal ground, stay, or defense in another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discovery Rules answer a later and different set of questions. Rule 26(b)(1) defines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relevant and proportional discovery that parties may obtain concerning a party’s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 or defense. Rule 26(d)(1) sets the time at which a party may seek that discovery.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 34(a) authorizes a party to request designated existing items from another party,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Rule 26(b)’s scope and in that party’s possession, custody, or control. Rule 45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process issuing from the court where an action is pending to reach an identified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person. Rule 37(e) specifies federal-litigation measures for covered loss of electronically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stored information. These Rules presuppose an action, a discovery relation, and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identifiable target or record. None tells an enterprise what record to create before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dispute or what transaction-linked receipt it owes a person who may never become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litigant.</w:t>
      </w:r>
      <w:bookmarkStart w:id="563" w:name="_RefFootnote24"/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78"/>
      </w:r>
      <w:bookmarkEnd w:id="563"/>
      <w:bookmarkStart w:id="280" w:name="x1-20003f24"/>
      <w:bookmarkEnd w:id="280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Rule 27 is the closest textual candidate because it operates before an action is filed. Its text,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however, answers whether a federal district court may authorize depositions to perpetuate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identified testimony for a contemplated federal action.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Workman v. United States Postal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Service</w:t>
      </w:r>
      <w:r>
        <w:rPr>
          <w:rFonts w:ascii="Garamond" w:hAnsi="Garamond" w:cs="Garamond" w:eastAsia="Songti SC"/>
          <w:lang w:val="en-US" w:eastAsia="zh-CN"/>
        </w:rPr>
        <w:t xml:space="preserve">, the Tenth Circuit affirmed denial of a Rule 27 petition because the petitioner sought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investigation to determine whether a claim existed rather than preservation of known testimony 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 of loss. That holding marks the limit of federal judicial power under Rule 27. It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convert Rule 27 into an exclusive code governing every information duty that positive law places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regulated enterprises before suit. A broader reading would sweep transaction-linked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access rights into a Rule directed to court-authorized depositions, even though those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rights neither ask a federal court to investigate nor depend on its power to perpetuate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testimony.</w:t>
      </w:r>
      <w:r>
        <w:rPr>
          <w:rFonts w:ascii="Garamond" w:hAnsi="Garamond" w:cs="Garamond" w:eastAsia="Songti SC"/>
          <w:lang w:val="en-US" w:eastAsia="zh-CN"/>
        </w:rPr>
        <w:fldChar w:fldCharType="begin"/>
      </w:r>
      <w:r>
        <w:rPr>
          <w:rFonts w:ascii="Garamond" w:hAnsi="Garamond" w:cs="Garamond" w:eastAsia="Songti SC"/>
          <w:lang w:val="en-US" w:eastAsia="zh-CN"/>
        </w:rPr>
        <w:instrText xml:space="preserve"> NOTEREF _RefFootnote24 \f \h </w:instrText>
      </w:r>
      <w:r>
        <w:rPr>
          <w:rFonts w:ascii="Garamond" w:hAnsi="Garamond" w:cs="Garamond" w:eastAsia="Songti SC"/>
          <w:lang w:val="en-US" w:eastAsia="zh-CN"/>
        </w:rPr>
        <w:fldChar w:fldCharType="separate"/>
      </w:r>
      <w:r>
        <w:rPr>
          <w:rStyle w:val="FootnoteReference"/>
          <w:rFonts w:ascii="Garamond" w:hAnsi="Garamond" w:cs="Garamond" w:eastAsia="Songti SC"/>
          <w:lang w:val="en-US" w:eastAsia="zh-CN"/>
        </w:rPr>
        <w:t>24</w:t>
      </w:r>
      <w:r>
        <w:rPr>
          <w:rFonts w:ascii="Garamond" w:hAnsi="Garamond" w:cs="Garamond" w:eastAsia="Songti SC"/>
          <w:lang w:val="en-US" w:eastAsia="zh-CN"/>
        </w:rPr>
        <w:fldChar w:fldCharType="end"/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Existing access statutes illustrate the distinction without resolving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Erie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presented here. The Fair Credit Reporting Act requires a consumer reporting agency, upon request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proper identification, to disclose a bounded consumer file, sources, and recipients.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Florida requires a liability insurer to disclose specified coverage information to a claimant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thirty days of a written request. California requires an employer to maintain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personnel records and furnish inspection or copies to a current or former employee,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expressly suspending that access route during a related lawsuit. Each regime has its 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coverage and remedies; their institutional form is the relevant point. They impose record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disclosure obligations by virtue of a regulated relationship, not by enlarging a court’s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power. The model Act adopts the same distinction and, like the California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provision, expressly withdraws the parallel party-to-party route once a federal action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pending.</w:t>
      </w:r>
      <w:bookmarkStart w:id="564" w:name="_RefFootnote25"/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81"/>
      </w:r>
      <w:bookmarkEnd w:id="564"/>
      <w:bookmarkStart w:id="283" w:name="x1-20005f25"/>
      <w:bookmarkEnd w:id="283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American Bank v. City of Menasha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a useful but limited analogy. Interpreting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discovery stay, the Seventh Circuit held that a public-records request did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become discovery solely because the requester sought the material for litigation. It also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warned that substance controls if a State disguises a discovery procedure as an inspection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right. The front door satisfies that warning only if its operative structure matches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description: the fields are fixed before any dispute, the duty applies outside litigation,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claim-specific relevance and proportionality do not define Stage One. The Illinois,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Texas, and New York pre-suit proceedings discussed in Part I serve a different function.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Because they authorize a court to order pre-suit discovery, they demonstrate that a closed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 proceeding can be administered; they do not supply the federal-law form of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proposal.</w:t>
      </w:r>
      <w:r>
        <w:rPr>
          <w:rFonts w:ascii="Garamond" w:hAnsi="Garamond" w:cs="Garamond" w:eastAsia="Songti SC"/>
          <w:lang w:val="en-US" w:eastAsia="zh-CN"/>
        </w:rPr>
        <w:fldChar w:fldCharType="begin"/>
      </w:r>
      <w:r>
        <w:rPr>
          <w:rFonts w:ascii="Garamond" w:hAnsi="Garamond" w:cs="Garamond" w:eastAsia="Songti SC"/>
          <w:lang w:val="en-US" w:eastAsia="zh-CN"/>
        </w:rPr>
        <w:instrText xml:space="preserve"> NOTEREF _RefFootnote25 \f \h </w:instrText>
      </w:r>
      <w:r>
        <w:rPr>
          <w:rFonts w:ascii="Garamond" w:hAnsi="Garamond" w:cs="Garamond" w:eastAsia="Songti SC"/>
          <w:lang w:val="en-US" w:eastAsia="zh-CN"/>
        </w:rPr>
        <w:fldChar w:fldCharType="separate"/>
      </w:r>
      <w:r>
        <w:rPr>
          <w:rStyle w:val="FootnoteReference"/>
          <w:rFonts w:ascii="Garamond" w:hAnsi="Garamond" w:cs="Garamond" w:eastAsia="Songti SC"/>
          <w:lang w:val="en-US" w:eastAsia="zh-CN"/>
        </w:rPr>
        <w:t>25</w:t>
      </w:r>
      <w:r>
        <w:rPr>
          <w:rFonts w:ascii="Garamond" w:hAnsi="Garamond" w:cs="Garamond" w:eastAsia="Songti SC"/>
          <w:lang w:val="en-US" w:eastAsia="zh-CN"/>
        </w:rPr>
        <w:fldChar w:fldCharType="end"/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Berk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itself supplies the affirmative model. In distinguishing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Cohen v. Beneficial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Industrial Loan Corp.</w:t>
      </w:r>
      <w:r>
        <w:rPr>
          <w:rFonts w:ascii="Garamond" w:hAnsi="Garamond" w:cs="Garamond" w:eastAsia="Songti SC"/>
          <w:lang w:val="en-US" w:eastAsia="zh-CN"/>
        </w:rPr>
        <w:t xml:space="preserve">, the Court explained that there was no conflict because state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created a liability while Rule 23 governed disclosure to the court and notice to interested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parties. The front door belongs on that side of the line when drafted as the model text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provides. Coverage, a compliant notice, delivery, and nonperformance complete a state-law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violation. An enforcement action seeks the prescribed event receipt and custodian map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relief on that claim; it does not ask the court to compel evidence for proving a different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 Rule 8 governs the enforcement complaint, Rule 12 governs dismissal, Rule 65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remedial rules govern interim relief, and the remaining Federal Rules govern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adjudication. State law supplies the duty and remedy; federal law supplies the litigation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machinery.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84"/>
      </w:r>
      <w:bookmarkStart w:id="286" w:name="x1-20007f26"/>
      <w:bookmarkEnd w:id="286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Calling production “relief” is not sufficient by itself. Two objective features separate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 door from a free-standing bill of discovery. First, the designation fixes the Stage One universe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the event. Two affected persons presenting different liability theories receive the same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identity, version, event, custodian, and control fields for the same kind of event, although either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request fewer fields. Second, the duty performs the same work when no merits suit follows.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 whose scope changes with a pleaded element, defense, relevance argument, or proportionality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showing is not a Stage One field; it belongs to Stage Two or ordinary discovery. Fixed content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litigation-independent operation are therefore elements of the rule’s boundary, not labels assigned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during enforcement.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model text then withdraws where a Federal Rule does answer the disputed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question. Once an action concerning the adverse event is pending in federal court,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claimant may not serve Stage One on another party as an additional route around Rules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26(d), 26(b)(1), or 34. For fields first sought from that party after filing, the first-answer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duty is satisfied through and limited by the Federal Rules. A completed refusal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preceded filing remains a claim for the compliance relief created by the Act; additional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sought to prove that claim or the underlying merits proceeds under the Rules.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boundary is written into Sections 7 and 10 rather than left to a general savings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clause.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operation is concrete. A rejected applicant who serves a compliant notice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receives no answer before filing may add the completed access violation to a later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 if jurisdiction and Article III permit; the event receipt and custodian map are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relief. An applicant who files the employment action first may not use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against the employer to obtain fields earlier or more broadly than federal discovery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allows. In both sequences, the employer’s Section 2 record-creation and retrieval duties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have already made the deployment observable. The first sequence enforces an accrued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statutory obligation. The second uses the Federal Rules against an existing, identifiable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retrieval architecture likewise makes the state rule complementary to Rule 34. Section 2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requires the operator to obtain a contractual right to retrieve defined supplier fields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 The Act does not declare that this right constitutes Rule 34 control. It changes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fact to which the federal test applies. In a circuit asking whether the responding party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has a legal right to obtain documents on demand, a valid retrieval clause can supply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right. In a circuit examining practical ability and course of dealing, the clause,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 mechanism, and actual practice supply relevant evidence. The federal 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independently decides possession, custody, or control under the governing circuit’s law.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 contract law creates the retrieval entitlement; Rule 34 determines its procedural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consequence.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87"/>
      </w:r>
      <w:bookmarkStart w:id="289" w:name="x1-20009f27"/>
      <w:bookmarkEnd w:id="28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forum boundary follows. The principal adopting institution is a state legislature,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ordinary enforcement forum is the one the sectoral designation supplies under state law.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compliant cases no tribunal is involved: the operator delivers the receipt, and any later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action proceeds under ordinary discovery. A federal court encounters the 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access claim only through diversity or supplemental jurisdiction; Congress can adopt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same architecture for a federal cause of action, in which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Erie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does not arise.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state statute creates neither subject-matter jurisdiction nor personal jurisdiction.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Article III independently requires a concrete injury. A federal plaintiff should allege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denial impaired a specified use—identification, correction, contest, appeal, or pursuit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relief—or caused reasonable actual expense. State courts apply their own standing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90"/>
      </w:r>
      <w:bookmarkStart w:id="292" w:name="x1-20011f28"/>
      <w:bookmarkEnd w:id="292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Record preservation and limitations follow the same allocation. State law may prescribe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baseline creation and retention as conditions of covered operation and may extend the defined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period after a qualifying notice. If electronically stored information is lost in anticipation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conduct of federal litigation, Rule 37(e) supplies the federal litigation measures;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 statute prescribes no competing adverse inference or case-management sanction.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 may toll a limitations period for a claim the Act creates or expressly governs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while the operator answers.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Walker v. Armco Steel Corp.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remains the relevant scope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precedent: Rule 3 did not answer when state limitations law was satisfied, so the state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applied. Rule 15 continues to govern amendment and relation back in a later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93"/>
      </w:r>
      <w:bookmarkStart w:id="295" w:name="x1-20013f29"/>
      <w:bookmarkEnd w:id="295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allocation does not depend on how lower courts extend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Berk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anti-SLAPP statutes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other state gatekeeping devices. Nor does the four-step sequence depend on a federal 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accepting a parallel access channel against another party after litigation begins. The rule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narrower and more durable: a State may require a covered enterprise to make a high-impact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observable and to furnish a fixed receipt outside federal party discovery; once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party discovery governs the same request, the Federal Rules supply the exclusive channel.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creates the record and the first object. It ends where federal discovery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begins.</w:t>
      </w:r>
    </w:p>
    <w:bookmarkEnd w:id="296"/>
    <w:bookmarkEnd w:id="297"/>
    <w:bookmarkStart w:id="390" w:name="the-rule-in-operation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III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298" w:name="x1-21000III"/>
      <w:bookmarkEnd w:id="298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Rule in Operation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performs two functions that no single fact pattern displays equally well. In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integrated deployment, the operator is visible and the missing object is the deployment record. In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divided deployment, identity, possession, legal control, and technical control can occupy different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entities. This Part applies the rule once to each architecture.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Garcia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the production application. It shows how an alleged covered event can define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narrow, two-stage record while preserving product classification, speech, defect, causation,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defense for ordinary adjudication.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Mobley v. Workday, Inc.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the divided-stack application.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cited orders provide an unusually direct view of information split among applicants, employer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customers, and an AI vendor.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Mobley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 is analytically independent of any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later decertification, dismissal, merits judgment, appellate disposition, or settlement.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Each order is used only for the procedural posture and record-allocation problem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documents.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99"/>
      </w:r>
      <w:bookmarkStart w:id="302" w:name="x1-21001f30"/>
      <w:bookmarkEnd w:id="302"/>
    </w:p>
    <w:bookmarkStart w:id="341" w:name="an-integrated-deployment-garcia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03" w:name="x1-22000A"/>
      <w:bookmarkEnd w:id="30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An Integrated Deployment: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Garcia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Garcia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begins where the rule is easiest to serve. Character Technologies operated the visible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consumer application. The complaint identified the company, its founders, and Google entities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described months of interaction through a known service. The difficult questions concerned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behind the interface: which versions and policies governed, how features were allocated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among the application and its components, what relational and self-harm risks were evaluated,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what warnings and interventions appeared, and which actors could change access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published decision supplies a careful procedural anchor. Taking well-pleaded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allegations as true for Rule 12 purposes, the district court treated Character.AI as plausibly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alleged to be a product and allowed central product and negligence theories to proceed.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declined on that record to treat the generated sequence as protected speech where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defendants had not identified the relevant expressive choice or speaker. The order made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finding of defect, causation, or liability, and the later settlement supplied no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determination.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04"/>
      </w:r>
      <w:bookmarkStart w:id="309" w:name="x1-22001f31"/>
      <w:bookmarkEnd w:id="309"/>
    </w:p>
    <w:bookmarkStart w:id="315" w:name="trigger-and-first-answer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1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10" w:name="x1-230001"/>
      <w:bookmarkEnd w:id="310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Trigger and First Answer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alleged event and pleaded facts illustrate a notice that, if verified, would satisfy the threshold.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complaint identified legally cognizable injuries, including wrongful death, and linked them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sustained interaction with a designated relational deployment. It challenged concrete features: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access by a minor, anthropomorphic presentation, continuity and memory, relational engagement,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warnings, and asserted omissions in safety intervention. The requested records would bear 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recognized negligence, products, warning, and consumer theories rather than a freestanding claim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inspect a chatbot.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Character Technologies would receive the front-door notice as visible operator.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would identify the application and model versions active for Sewell’s account; whether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covered functions ran; warnings, detections, blocks, escalations, and interventions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recorded for the event; the entities that supplied or configured relevant components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custodians and legal controllers of the listed records; and the roles with update, restriction,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rollback, suspension, or termination authority.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complaint’s allegations concerning the founders and Google demonstrate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why identification should remain functional. It alleged personal direction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founders and technical, financial, and organizational contributions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Google.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11"/>
      </w:r>
      <w:bookmarkStart w:id="314" w:name="x1-23001f32"/>
      <w:bookmarkEnd w:id="31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Position, investment, former employment, or infrastructure supply alone would not establish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 control. The first answer would identify whether any enterprise retained a risk-specific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right over the model, application configuration, evaluation, release condition, update,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stopping decision. That record tests the control lane without presuming it from corporate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association.</w:t>
      </w:r>
    </w:p>
    <w:bookmarkEnd w:id="315"/>
    <w:bookmarkStart w:id="331" w:name="Xa958b2ed7598d0c8bea7002ef2df7ec3c0029f6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2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16" w:name="x1-240002"/>
      <w:bookmarkEnd w:id="316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Relational Features Define the Risk-Specific Record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production request can be narrower because relational research identifies provider-governed variables.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Studies of companion discontinuity and shutdown connect continuity and relationship framing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experiences of loss; analyses of user reports identify emotional dependence and recurring roles in harmful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interactions.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17"/>
      </w:r>
      <w:bookmarkStart w:id="324" w:name="x1-24001f33"/>
      <w:bookmarkEnd w:id="32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preregistered four-week study manipulated relationship-seeking behavior and repeated exposure. In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controlled population, relationship-seeking behavior increased separation distress by 6.04 percentage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points, and the combined relationship-seeking and emotional-conversation condition produced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additional dependency-risk profile for every eleven participants compared with the most functional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baseline.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25"/>
      </w:r>
      <w:bookmarkStart w:id="328" w:name="x1-24007f34"/>
      <w:bookmarkEnd w:id="328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legal contribution lies in the variables rather than a universal effect estimate.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Relationship seeking, continuity, memory, dose, age, crisis signal, and provider intervention are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features an operator can evaluate and govern. They specify the record relevant to intended use,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notice, alternative design, warning, monitoring, and causal sequence.</w:t>
      </w:r>
    </w:p>
    <w:p>
      <w:pPr>
        <w:pStyle w:val="BodyText"/>
        <w:spacing w:before="0" w:after="0" w:line="320" w:lineRule="exact"/>
        <w:ind w:firstLine="360"/>
        <w:jc w:val="both"/>
      </w:pPr>
      <w:bookmarkStart w:id="329" w:name="x1-240103"/>
      <w:bookmarkEnd w:id="329"/>
    </w:p>
    <w:p>
      <w:pPr>
        <w:pStyle w:val="Imag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Table 3: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Relational Features as Control-Record Factors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rPr>
          <w:cantSplit/>
        </w:trPr>
        <w:tc>
          <w:tcPr/>
          <w:bookmarkStart w:id="336" w:name="TBL-7"/>
          <w:tbl>
            <w:tblPr>
              <w:tblStyle w:val="Table"/>
              <w:tblW w:type="dxa" w:w="7920"/>
              <w:jc w:val="center"/>
              <w:tblLayout w:type="fixed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rPr>
                <w:cantSplit/>
                <w:tblHeader/>
              </w:trPr>
              <w:tc>
                <w:tcPr>
                  <w:tcW w:type="dxa" w:w="396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Deployment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feature</w:t>
                  </w:r>
                </w:p>
              </w:tc>
              <w:tc>
                <w:tcPr>
                  <w:tcW w:type="dxa" w:w="396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Risk-specific record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Persistent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persona,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memory,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proactive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messages,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affection,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exclusivity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Intended relational use;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exposure and continuity testing; memory policy; age-specific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evaluation; monitored dependence signals.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Claims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of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companionship,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therapy,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expertise,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autonomy,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capacity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to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act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Target audience; product requirements; substantiation;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warning design; expected reliance; escalation responsibility.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Engagement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objectives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tied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to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relational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behavior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Metric ownership; optimization target; risk constraint;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release decision; evaluation of lower-exposure alternatives.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Self-harm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crisis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classification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Detection version; threshold; validated population;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false-positive and false-negative analysis; response policy;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incident-specific trigger and intervention.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Access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by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minors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Age rule and enforcement; minor-specific evaluation; parental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 guardian features where applicable; restriction and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termination authority.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Discontinuity,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account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intervention,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service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shutdown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Continuity notice; export or transition function; crisis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safeguard; rollback and account-restriction decision.</w:t>
                  </w:r>
                </w:p>
              </w:tc>
            </w:tr>
          </w:tbl>
          <w:bookmarkEnd w:id="336"/>
          <w:p/>
        </w:tc>
      </w:tr>
    </w:tbl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table also disciplines marketing evidence. Calling a service a companion or therapist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does not make the model a legal person and does not establish defect. It can identify the use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cultivated, the exposure it expected, and the evaluations responsive to that design.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generic “not human” notice enters the same record with its timing, presentation, audience,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relation to the service’s features.</w:t>
      </w:r>
    </w:p>
    <w:bookmarkEnd w:id="331"/>
    <w:bookmarkStart w:id="340" w:name="stage-two-and-the-merits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3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32" w:name="x1-250003"/>
      <w:bookmarkEnd w:id="332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Stage Two and the Merits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After Stage One established the versions, roles, and incident sequence, Stage Two could reach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evaluation protocols and results; age-access testing; relational and self-harm policies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 history; material complaints and incident patterns before the event; release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change approvals; escalations and response; and the availability of account restriction, crisis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interruption, rollback, or another proposed control. Time, version, population, feature,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asserted risk would define the scope.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production would not include every model weight, every user’s conversation,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unrestricted disclosure of a minor’s data. Unrelated content can be excluded or minimized.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Privilege, privacy protection, redaction, secure expert review, and trade-secret orders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available. Source code or weights would require a showing that versioned documentation, test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results, event logs, and representative testing could not resolve a material issue.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record would preserve defense-favorable facts. The pleadings and motion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papers disputed user selection of characters, role play, user-edited messages, platform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rules, content blocking, and an in-chat notice that character statements were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fictional.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33"/>
      </w:r>
      <w:bookmarkStart w:id="336" w:name="x1-25001f35"/>
      <w:bookmarkEnd w:id="33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configuration and event record could identify which features came from a third-party creator,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messages the user edited, which controls fired, which warnings appeared, and whether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proposed safeguard would have changed the sequence.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Ordinary law would then decide the case. Product classification would select applicable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 and warning rules. Contemporaneous evaluations and complaints would inform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foreseeability and notice. Authority and resources would identify the actors and capabilities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to feasibility. The event sequence would test factual and legal causation. Research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published after the 2023–2024 interaction could identify questions without establishing what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defendant historically knew. Later safety measures could identify a technically describable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while evidence law and the substantive standard determine admissibility and earlier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feasibility.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37"/>
      </w:r>
      <w:bookmarkStart w:id="339" w:name="x1-25004f36"/>
      <w:bookmarkEnd w:id="33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Garcia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thus demonstrates the production function cleanly. The operator’s name was visible.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would have supplied a bounded deployment record capable of supporting either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party while leaving every contested merits question open.</w:t>
      </w:r>
    </w:p>
    <w:bookmarkEnd w:id="340"/>
    <w:bookmarkEnd w:id="341"/>
    <w:bookmarkStart w:id="389" w:name="X523887ecf0e5c5a8ca26ad4aca0e46251deff1b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42" w:name="x1-26000B"/>
      <w:bookmarkEnd w:id="342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 Divided Deployment: The Vendor Hosts the Data; the Employer Controls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It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Mobley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presents the complementary architecture. Applicants encounter employer portals while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platform vendor supplies processing and recommendation features. Employers can own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legally control applicant data and decide how a feature affects hiring; the vendor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host the data and control products, versions, defaults, and some evaluation. The cited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orders expose four recurring record-allocation problems that the front door must solve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without predicting discrimination: feature identity, divided legal control, privilege, and safe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exit.</w:t>
      </w:r>
    </w:p>
    <w:bookmarkStart w:id="352" w:name="feature-identity-and-the-event-path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1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43" w:name="x1-270001"/>
      <w:bookmarkEnd w:id="343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Feature Identity and the Event Path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first problem is not whether “AI” was generally available. It is which function processed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particular application and what reached the employer. At the pleading stage, the district 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treated allegations that employer customers delegated traditional hiring functions to Workday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sufficient to proceed on a statutory agency theory. The same order required a different theory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connect a particular employer’s conduct, Workday’s knowledge, and the assistance it allegedly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supplied.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44"/>
      </w:r>
      <w:bookmarkStart w:id="347" w:name="x1-27001f37"/>
      <w:bookmarkEnd w:id="347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Nominal identity was visible. The operative chain among employer, feature, output, use,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knowledge was not.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Later notice-stage proceedings illustrate the fields. Candidate Skills Match, when enabled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 a customer, parsed a job description and applicant materials, extracted skills, and assigned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categorical match. Workday described customers as able to enable, disable, use, or ignore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features. The court reserved what outputs meant and how customers used them 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later adjudication while permitting targeted discovery to identify potential collective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members.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48"/>
      </w:r>
      <w:bookmarkStart w:id="351" w:name="x1-27004f38"/>
      <w:bookmarkEnd w:id="351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For a designated employment-screening deployment, the employer receiving the application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the visible operator. Stage One asks the applicant for the position, application date, adverse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disposition, covered portal, and the best available event key—a requisition number, application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ID, tenant URL, or timestamp. It does not require the applicant to name the vendor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 or allege that a hidden score actually participated. The first answer resolves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employer’s event receipt identifies products active for the application; versions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enabled features; fields, criteria, and preferences the employer supplied; any score, sort, rank,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screen, threshold, or recommendation received; the downstream action; and whether no automated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function processed the event. The custodian map identifies the supplier, account roles,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locations, legal controllers, and contractual retrieval, update, and suspension rights. A linked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answer resolves the same identifier within its lane: tenant and requisition, product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version, whether a function ran, whether it generated and transmitted an output, which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settings came from the customer, and which entities held the listed records and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Together, those answers separate five propositions: a feature was available;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enabled it; it processed the event; it generated or transmitted an output;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used that output. None follows from the preceding proposition alone.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establishes whether the function formed part of the event path or governed a safeguard;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materiality asks whether the requested information bears non-de-minimally on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element, defense, or remedy. Neither requires a showing that the output caused an unlawful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decision.</w:t>
      </w:r>
    </w:p>
    <w:bookmarkEnd w:id="352"/>
    <w:bookmarkStart w:id="358" w:name="physical-hosting-versus-legal-control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2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53" w:name="x1-280002"/>
      <w:bookmarkEnd w:id="353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Physical Hosting Versus Legal Control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second problem is custody. A 2026 discovery order described customer applicant data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stored on Workday servers while the agreement placed ownership of customer content with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and allowed the customer to seek an injunction against disclosure. Applicants had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subpoenaed thirty-five customers, and some customers pointed back to Workday as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efficient source. On that record, the court held that physical storage did not establish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Workday’s legal right to obtain and produce the customer data on demand under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34.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54"/>
      </w:r>
      <w:bookmarkStart w:id="357" w:name="x1-28001f39"/>
      <w:bookmarkEnd w:id="357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does not reverse that holding. It changes deployment design before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dispute. The employer keeps the local manifest, position definition, customer settings, application,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downstream review, disposition, notice, and event identifier. The supplier keeps version lineage,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 documentation, defaults, run and transmission logs, and the operational evaluation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assigned to its lane. The predeployment agreement gives the employer a right to retrieve defined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fields and authorizes a coordinated hold for customer-controlled content. Both receive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same deployment and event identifiers, preventing a platform label and customer label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preserving incompatible slices.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architecture distinguishes technical hosting from statutory responsibility. A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subject to the Act answers its assigned lane. Another supplier responds through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employer’s retrieval right. The applicant no longer has to choose between the host and legal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controller before seeing the contract and custodian map; Stage One identifies both,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Rule 34 or Rule 45 analysis governs any later production beyond the statutory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minimum.</w:t>
      </w:r>
    </w:p>
    <w:bookmarkEnd w:id="358"/>
    <w:bookmarkStart w:id="369" w:name="Xe223f864c9710e45f97a5c50cbfddf30155e637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3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59" w:name="x1-290003"/>
      <w:bookmarkEnd w:id="359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Privilege Versus the Operational Minimum Record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third problem is the line between legal advice and operation. The same discovery order held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particular Candidate Skills Match bias-testing materials privileged because counsel selected the data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used the tests to provide legal advice. It separately ordered production of Workday’s EEO-1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federal-contractor compliance materials based on their relevance to knowledge of potential demographic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disparities.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60"/>
      </w:r>
      <w:bookmarkStart w:id="363" w:name="x1-29001f40"/>
      <w:bookmarkEnd w:id="363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preserves that distinction. Attorney communications and qualifying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counsel-directed analyses remain protected. The operational minimum—feature identity, version,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intended use, validation owner, deployed threshold, event output, complaints, monitoring,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change history—exists because the covered system operated. A privilege log can identify protected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analysis while underlying nonprivileged data and ordinary-course records follow existing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64"/>
      </w:r>
      <w:bookmarkStart w:id="368" w:name="x1-29004f41"/>
      <w:bookmarkEnd w:id="36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statute therefore protects privilege without allowing an enterprise to satisfy its operating duty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only inside a legal-advice file.</w:t>
      </w:r>
    </w:p>
    <w:bookmarkEnd w:id="369"/>
    <w:bookmarkStart w:id="375" w:name="safe-exit-and-coordinated-stage-two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4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70" w:name="x1-300004"/>
      <w:bookmarkEnd w:id="370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Safe Exit and Coordinated Stage Two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fourth problem is ending the special proceeding for the wrong lane. A 2025 order concerning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HiredScore directed Workday to identify customers that enabled specified features and supplied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concrete exclusion rule: a customer could leave the preliminary collective if Workday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could determine that it received no score or rank or did not use the feature to screen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candidates.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71"/>
      </w:r>
      <w:bookmarkStart w:id="374" w:name="x1-30001f42"/>
      <w:bookmarkEnd w:id="37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order managed collective notice rather than applying this Article’s statute, but it illustrates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similar operational sequence: identify deployment and output, remove customers with no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run or use, and reserve disputed effect.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One generalizes that logic at the event level. The employer controls job criteria,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 activation, decision weight, review, notice, and final disposition. The vendor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design, defaults, validation, updates, and cross-customer monitoring. Practical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 follows permissions, contracts, and release mechanisms. The Stage One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shows whether the function formed part of the event path or governed a safeguard;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Stage Two information must bear non-de-minimally on an element, defense,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remedy. A customer for which no relevant feature ran, no output was produced, or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output reached the decision path exits the AI-specific lane. Generic hosting, a product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acquired after the event, or a component that only transmitted a fixed customer rule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support the same result. None determines whether another employment practice violated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Only then does claim-specific Stage Two begin. A disparate-impact theory may justify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aggregate recommendation data, validation, feature documentation, and nonprivileged testing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bounded by product, period, employer settings, job family, and population. A disparate-treatment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theory focuses on decision inputs, human review, departures, and communications.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accommodation theory focuses on fields, access, exception handling, and review. The governing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statute and procedural rules select the record.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Where hosting and legal control remain divided, a coordinated protocol replaces serial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referrals. The employer authorizes the defined customer fields; the platform runs the query against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correct tenant and version; both verify the schema; direct identifiers are pseudonymized; any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lawful protected-characteristic linkage remains segregated; and experts use a secure environment.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protocol identifies which enterprise supplies each field and who attests to completeness.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neither transfers all customer data nor treats physical hosting as universal Rule 34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An applicant thus begins with an employer and event identifier. The first 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reveals feature, version, path, and holder. Coupled preservation prevents ownership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hosting from creating a loop. Privilege protects legal advice while leaving a minimum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 record. Safe exit removes actors with no run or relevant control. Ordinary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antidiscrimination law, Rule 34, Rule 45, and collective or class standards then govern a focused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dispute.</w:t>
      </w:r>
    </w:p>
    <w:bookmarkEnd w:id="375"/>
    <w:bookmarkStart w:id="388" w:name="a-stable-publicemployment-analogue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5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76" w:name="x1-310005"/>
      <w:bookmarkEnd w:id="376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A Stable Public-Employment Analogue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Houston Federation of Teachers v. Houston Independent School District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confirms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structural point on a completed summary-judgment record. HISD licensed SAS’s proprietary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Educational Value-Added Assessment System for teacher evaluation. SAS calculated the scores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undisclosed source code and methodology. HISD acknowledged that it did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verify or audit those calculations and that teachers could not reproduce them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information available. In discovery and public-record responses, the district had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also taken the position that requested materials were outside its custody, control,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possession.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77"/>
      </w:r>
      <w:bookmarkStart w:id="380" w:name="x1-31001f43"/>
      <w:bookmarkEnd w:id="380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court denied HISD summary judgment on procedural due process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granting judgment on the other constitutional theories. The record could support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conclusion that teachers had no meaningful way to verify a potentially mistaken score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used in a protected employment decision. The court did not impose liability on SAS,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decide a tort claim, or order public release of source code. Its ruling preserved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due-process claim for further proceedings and granted HISD judgment on the remaining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81"/>
      </w:r>
      <w:bookmarkStart w:id="384" w:name="x1-31004f44"/>
      <w:bookmarkEnd w:id="384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court framed secrecy and public duty without treating either as absolute. A remedy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could restrict the government’s use of an unverifiable procedure while preserving the vendor’s trade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secret.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85"/>
      </w:r>
      <w:bookmarkStart w:id="387" w:name="x1-31007f45"/>
      <w:bookmarkEnd w:id="387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front-door statute adds the prospective complement: define the version, input, validation, audit,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challenge record before the public employer adopts the tool, and allocate protected access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when an employment interest is at stake. The public institution remains answerable for the process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chose even when a supplier retains the method.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Together,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Mobley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Houston Federation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 why the divided application matters.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actor-identification problem and the deployment-record problem can arise in the same stack, yet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ownership, hosting, legal control, privilege, and trade secrecy require different answers.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first-answer obligation makes those distinctions explicit early. It leaves the tribunal free to grant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production, deny it, protect it, or end the claim under the law that governs the particular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record.</w:t>
      </w:r>
    </w:p>
    <w:bookmarkEnd w:id="388"/>
    <w:bookmarkEnd w:id="389"/>
    <w:bookmarkEnd w:id="390"/>
    <w:bookmarkStart w:id="478" w:name="the-record-infrastructure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IV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391" w:name="x1-32000IV"/>
      <w:bookmarkEnd w:id="391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Record Infrastructure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can disclose only what the deployment has made observable.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discovery reaches existing matter within a party’s possession, custody,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92"/>
      </w:r>
      <w:bookmarkStart w:id="395" w:name="x1-32001f46"/>
      <w:bookmarkEnd w:id="39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cannot recreate an unrecorded version, an undocumented release decision, a complaint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reached no assigned owner, or stop authority that no one possessed. The deployment-record duty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therefore begins as operating infrastructure and later becomes litigation infrastructure.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Part turns that premise into an administrable record. Sections A through C define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sheet, interface, and separate identity, feedback, and event clocks. Section D uses FAA,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FTC, and FCRA comparators to test feasibility. Section E answers the risk that recordkeeping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become surveillance or organizational theater. Section F protects the reporting needed to keep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accurate, and Section G explains why the same infrastructure supplies defenses as well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claims.</w:t>
      </w:r>
    </w:p>
    <w:bookmarkStart w:id="404" w:name="X96e6df3ce2b0fe9ae370cd78843786deb0393c7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96" w:name="x1-33000A"/>
      <w:bookmarkEnd w:id="39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Charter Is the Deployment Record’s Control Sheet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For a designated high-impact deployment, the operator should adopt a written responsibility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charter before release. The name can suggest a broad ethics code; its legal function here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narrower. It is the control sheet for a named deployment, version family, operating context,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 category. It links technical identifiers to organizational authority and establishes where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continuing records will be kept.</w:t>
      </w:r>
    </w:p>
    <w:p>
      <w:pPr>
        <w:pStyle w:val="BodyText"/>
        <w:spacing w:before="0" w:after="0" w:line="320" w:lineRule="exact"/>
        <w:ind w:firstLine="360"/>
        <w:jc w:val="both"/>
      </w:pPr>
      <w:bookmarkStart w:id="397" w:name="x1-33001r4"/>
      <w:bookmarkEnd w:id="397"/>
    </w:p>
    <w:bookmarkStart w:id="398" w:name="TBL-8"/>
    <w:p>
      <w:pPr>
        <w:pStyle w:val="Tabl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Table 4: 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Minimum Deployment-Record Infrastructure</w:t>
      </w:r>
    </w:p>
    <w:tbl>
      <w:tblPr>
        <w:tblStyle w:val="Table"/>
        <w:tblW w:type="dxa" w:w="7920"/>
        <w:jc w:val="left"/>
        <w:tblLayout w:type="fixed"/>
        <w:tblLook w:firstRow="0" w:lastRow="0" w:firstColumn="0" w:lastColumn="0" w:noHBand="0" w:noVBand="0" w:val="0000"/>
        <w:tblCaption w:val="Table 4: Minimum Deployment-Record Infrastructure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  <w:tr>
        <w:trPr>
          <w:cantSplit/>
          <w:tblHeader/>
        </w:trPr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Component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Required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allocation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Front-door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function</w:t>
            </w:r>
          </w:p>
        </w:tc>
      </w:tr>
      <w:tr>
        <w:trPr>
          <w:cantSplit/>
        </w:trPr>
        <w:tc>
          <w:tcPr>
            <w:tcW w:type="dxa" w:w="7920"/>
            <w:gridSpan w:val="3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Identity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scope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Application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model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versions;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purpose;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affected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population;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data;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retrieval;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tools;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credentials;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vendors;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limits;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material-change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threshold.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Defines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deployment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distinguishes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versions,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component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changes,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independent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modification.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Risk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release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owners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Responsible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executive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operational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owner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each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designated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risk;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approvers;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resources;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conditions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review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date.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Identifies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who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receives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information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who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can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commission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mitigation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withhold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release.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Evaluation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decision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Protocols,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populations,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thresholds,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results,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exceptions,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rejected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conditional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mitigations,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unresolved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risk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decisions.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Records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basis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authorization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supplies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both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knowledge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reasonableness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evidence.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Feedback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escalation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Complaint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incident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categories;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monitoring;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protected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escalation;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recipient;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deadline;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decision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corrective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action.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Preserves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notice,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separates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report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from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makes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continuing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control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observable.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Intervention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Actors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authorized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restrict,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revoke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credentials,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update,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pause,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roll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back,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terminate;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triggers,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times,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tested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procedures.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Establishes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practical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whether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proposed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intervention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was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available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relevant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time.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Provenance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retention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Version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lineage;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material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configuration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changes;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event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identifiers;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custodians;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third-party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locations;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retention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hold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procedures.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Enables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identification,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authentication,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preservation,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proportional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production,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safe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exit.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External-rights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savings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clause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Statement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that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internal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allocation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contract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labels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not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waive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affected-person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rights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determine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ultimate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liability.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Prevents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from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operating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private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exculpatory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agreement.</w:t>
            </w:r>
          </w:p>
        </w:tc>
      </w:tr>
      <w:tr>
        <w:trPr>
          <w:cantSplit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</w:tbl>
    <w:bookmarkEnd w:id="398"/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record should identify roles and offices as well as names. Personnel change; statutory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responsibility should survive turnover. A deployment ID links the approved control sheet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live configuration, and a versioned amendment records material change. The operator can then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 a front-door notice by retrieving a defined record rather than assembling an organizational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history after the event.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material-change threshold is especially important for learning and composite systems.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model update can alter capability while leaving the application version unchanged. A new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retrieval source, memory setting, tool credential, ranking threshold, user population,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downstream purpose can change risk without changing model weights. The charter should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changes require renewed evaluation or approval and which enter a lower-burden change log.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provider and operator can use different internal systems so long as the deployment record links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 by version, time, and control lane.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Possession of a completed form supplies only the beginning of proof. Front-door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 asks whether the people assigned to receive a signal had practical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resources, whether reports reached them, whether intervention procedures worked,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whether material changes triggered review. Unless positive law gives compliance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another effect, a complete record supplies evidence of conduct rather than a conclusive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99"/>
      </w:r>
      <w:bookmarkStart w:id="403" w:name="x1-33002f47"/>
      <w:bookmarkEnd w:id="403"/>
    </w:p>
    <w:bookmarkEnd w:id="404"/>
    <w:bookmarkStart w:id="410" w:name="the-record-has-a-standard-interface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05" w:name="x1-34000B"/>
      <w:bookmarkEnd w:id="405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Record Has a Standard Interface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minimum record should operate as an information plane across the deployment rather than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mandate to centralize every underlying artifact. The visible operator keeps a closed manifest: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ID; covered purpose and population; application and model versions; material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components and suppliers; record custodians; risk and release owners; relevant contract rights;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event schema used for consequential actions. Each control holder keeps the deeper materials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assigned to its lane. Stable identifiers join the manifest to those materials when a notice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regulator demand arrives.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Three identifiers do most of the work.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deployment identifier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distinguishes the covered use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the same model used elsewhere.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component-version identifier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ties model, application,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retrieval, tool, policy, and configuration changes to a time interval.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event identifier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connects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affected person or consequential decision to the versions and records that governed it. The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identifier can be pseudonymous and separately linked to personal data. The system therefore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retrieves the relevant slice without exposing unrelated users or requiring a later investigator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infer lineage from timestamps alone.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interface should use a sectoral data dictionary. “Model version” can otherwise mean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marketing name, weight snapshot, API alias, application release, policy bundle, or customer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configuration. The designation should define the fields needed to reproduce the legally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identity: supplier identifier; immutable or otherwise auditable version reference; activation window;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 owner; material change; downstream integration; output type; and custodian.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may keep its own engineering format, but the first answer translates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format into the defined fields and identifies the source system from which each field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came.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Integrity requires lineage rather than a self-authenticating compliance certificate.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manifest should record who created and approved it, the date, later amendments, and the source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 supporting the entry. Automated logs can carry hashes, signatures, or append-only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controls where appropriate; lower-technology sectors can use ordinary version control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attestation. The legal function is the same: preserve a contestable trail from the live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to the record, not establish conclusively that every listed control operated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Supplier contracts implement the interface. A covered operator should receive current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component and version identifiers, material-change notice, an event-resolution method,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responsive agent, and a right to retrieve the minimum supplier fields on demand. The supplier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should receive the operator’s deployment identifier, designated purpose, configured population,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 customer settings, and preservation contact. Acquisition, subcontracting,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substitution, and service termination should carry successor and export duties for the retained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period. These terms keep the record reachable when corporate and technical boundaries change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after deployment. Recent work on the AI procurement record reaches a closely related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diagnosis: contracts can separate evidence, operational control, economic risk, and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accountability.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06"/>
      </w:r>
      <w:bookmarkStart w:id="409" w:name="x1-34001f48"/>
      <w:bookmarkEnd w:id="40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architecture controls cost by keeping routine manifest fields separate from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after a defined event. Release and asset-management systems can supply version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identity. Transaction, decision, and incident systems can supply event fields.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Deeper evaluation, complaint, and source materials stay with their custodians unless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risk-specific request justifies access. Standardization moves expense toward one-time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 and retrieval by identifier, away from repeated forensic reconstruction across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dispute.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Quality assurance can also be bounded. The operator periodically reconciles the live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against the manifest, tests whether an event identifier resolves to the governing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versions, confirms that supplier contacts and retrieval rights remain usable, and records exceptions.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regulator can audit samples without obtaining every event. The check asks whether the front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door will open when needed: can the operator identify what ran, locate the holder, preserve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slice, and exercise the retrieval path?</w:t>
      </w:r>
    </w:p>
    <w:bookmarkEnd w:id="410"/>
    <w:bookmarkStart w:id="412" w:name="X20f93bd622b219086ee0900f04dbdb471b336f6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11" w:name="x1-35000C"/>
      <w:bookmarkEnd w:id="411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Identity, Feedback, and Event Records Have Different Clocks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usable infrastructure contains three linked records.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identity record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changes when the deployment changes. It contains the versioned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architecture, purpose, population, component suppliers, material configuration, data and tool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interfaces, owners, and intervention rights. Its retention period should cover the ordinary period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a claim involving that deployment can arise, with sector-specific extensions for minors,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latent physical injury, or continuing public entitlements.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feedback record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accumulates during operation. It contains defined complaints,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evaluations, incident classifications, monitoring signals, escalations, decisions, and corrective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actions. The designation should specify which events require individual retention, which may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aggregated, and which content should be minimized. A service can record that a crisis detector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triggered, which policy and version governed, and what intervention followed without preserving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every unrelated intimate conversation indefinitely.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event record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freezes a bounded slice when a consequential action or identified incident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occurs. In employment it may contain the application, input fields, model and configuration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versions, score or recommendation, threshold, downstream human action, notice,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review. In benefits it may contain the assessment data, calculation version, output,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governing policy, explanation, appeal, and correction. In a companion deployment it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contain the account and age status, relevant interaction window, governing relational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crisis policies, detections, interventions, warnings, and account restrictions.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record anchors causal sequence while leaving unrelated people and periods outside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These clocks improve privacy and accuracy simultaneously. A blanket command to retain all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interactions invites excess. A deployment ID, event schema, and material-change log preserve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facts needed to identify the relevant window. Sectoral lawmakers can then choose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periods and minimization rules that fit the interest rather than defaulting to permanent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surveillance.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Retention should follow the legal and factual life of the interest. Employment and credit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 can track the limitations and administrative-charge periods governing the designated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decision, with a defined post-notice extension. A public-benefits event may need to persist through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reconsideration, appeal, and the period for judicial review. A clinical deployment may require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longer identity and validation lineage where injury can appear later, while still minimizing raw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patient content under health-information rules. A relational service involving a minor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preserve crisis and intervention events for a longer protected period without retaining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every ordinary conversation. The designation should state the clock, trigger, and lawful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deletion rule rather than asking operators to guess from a generic command to keep “AI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data.”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Different clocks also prevent a change from overwriting history. A current model card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cannot establish what governed an earlier event; a current contract cannot prove who controlled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retrieval before an acquisition; a revised policy cannot show which warning appeared to an earlier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user. The identity record freezes each material interval. The event record points to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interval. The feedback record then shows what the organization learned and changed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between intervals. This structure turns evolution from an obstacle into an auditable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sequence.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Responsibility for legal holds should also appear in the record. The verified notice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described in Part II identifies the event, period, user or decision, and risk. The operator’s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 reaches the matching identity, feedback, and event materials and gives identified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holders a common reference. If a record no longer exists, the response 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deletion rule, date, custodian, and possible substitute. That information permits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court to distinguish ordinary expiration, negligent noncompliance, and intentional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concealment.</w:t>
      </w:r>
    </w:p>
    <w:bookmarkEnd w:id="412"/>
    <w:bookmarkStart w:id="456" w:name="X3bf8f79bbc4024447d2fb1025eff4c0b5e2ceca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13" w:name="x1-36000D"/>
      <w:bookmarkEnd w:id="41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Existing Regimes Demonstrate Administrability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proposal borrows implementation forms, not liability conclusions. Three regimes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perform distinct comparator roles: organizational record creation, regulator-defined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demands, and a private path from visible decisionmaker to upstream file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holder.</w:t>
      </w:r>
    </w:p>
    <w:bookmarkStart w:id="424" w:name="faa-safety-management-systems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1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414" w:name="x1-370001"/>
      <w:bookmarkEnd w:id="414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FAA Safety Management Systems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FAA Part 5 requires covered aviation organizations, on the applicable schedule, to develop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maintain an organization-wide safety management system. The rules assign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accountable executive, require management authority to accept safety risk, specify hazard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identification and risk control, require assurance and corrective action, and preserve records. 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specified organizations, the system includes confidential employee reporting without fear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reprisal.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15"/>
      </w:r>
      <w:bookmarkStart w:id="418" w:name="x1-37001f49"/>
      <w:bookmarkEnd w:id="418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Part 5 demonstrates four institutional facts. A safety system can attach to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 rather than a single component. Named executive and operational authority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coexist. Continuing assessment and correction can be recorded as operating requirements.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can be specified without waiting for a lawsuit. AI deployments involve different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technologies and protected interests, so the aviation standard does not define reasonable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AI care. It demonstrates an administrable precedent for making authority, feedback,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intervention, and records a mandatory operating system rather than an aspirational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policy.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Aviation reporting supplies a related design lesson. Candid incident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near-miss information has prevention value, while a system that treats every report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 a confession encourages silence. The Aviation Safety Reporting Program uses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third-party reporting and a qualified, nonpunitive enforcement policy rather than blanket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immunity.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19"/>
      </w:r>
      <w:bookmarkStart w:id="423" w:name="x1-37004f50"/>
      <w:bookmarkEnd w:id="42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front-door record can follow the same incentive logic: protect good-faith reporting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evidence preservation while retaining consequences for falsification, concealment, retaliation,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unauthorized bypass.</w:t>
      </w:r>
    </w:p>
    <w:bookmarkEnd w:id="424"/>
    <w:bookmarkStart w:id="436" w:name="the-ftc-companionchatbot-orders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2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425" w:name="x1-380002"/>
      <w:bookmarkEnd w:id="425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The FTC Companion-Chatbot Orders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Federal Trade Commission’s 2025 section 6(b) study shows that AI-deployment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 can be specified with considerably more precision than “produce the algorithm.”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Commission ordered named firms to identify organizational roles, predeployment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standards and thresholds, deployment approvers, considered and rejected mitigations,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post-deployment monitoring, complaints, employee concerns, escalation,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26"/>
      </w:r>
      <w:bookmarkStart w:id="430" w:name="x1-38001f51"/>
      <w:bookmarkEnd w:id="430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Those specifications map directly onto the front-door functions. Organizational roles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identify the control lane. Thresholds and approvers define release authority. Rejected mitigations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a decision without deciding whether it was unreasonable. Monitoring, complaints, employee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concerns, escalation, and response create a time-stamped feedback path. A sectoral statute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standardize the same categories prospectively and permit a court to request only the subset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connected to a verified 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NIST’s AI Risk Management Framework can supply terminology for lifecycle roles,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executive responsibility, third-party components, testing, feedback, monitoring,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decommissioning.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31"/>
      </w:r>
      <w:bookmarkStart w:id="435" w:name="x1-38004f52"/>
      <w:bookmarkEnd w:id="43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 voluntary framework remains a vocabulary source. FAA rules and a sector-specific statute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supply legal obligation; the FTC orders demonstrate that the responsive information can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operationally defined.</w:t>
      </w:r>
    </w:p>
    <w:bookmarkEnd w:id="436"/>
    <w:bookmarkStart w:id="455" w:name="X70f81613e64c266e88fae370eca995aa5706d42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3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437" w:name="x1-390003"/>
      <w:bookmarkEnd w:id="437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The FCRA’s Private-Actor First-Answer Sequence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Fair Credit Reporting Act supplies the closest domestic analogue for a private-actor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gateway. In employment, a user generally must give the consumer a copy of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report and a rights summary before taking an adverse action based on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report.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38"/>
      </w:r>
      <w:bookmarkStart w:id="441" w:name="x1-39001f53"/>
      <w:bookmarkEnd w:id="44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After a covered adverse action, the visible decision user must notify the consumer,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consumer reporting agency that supplied the report, state that the agency did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make the decision, and give notice of the right to obtain a free report and dispute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accuracy.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42"/>
      </w:r>
      <w:bookmarkStart w:id="445" w:name="x1-39004f54"/>
      <w:bookmarkEnd w:id="44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agency, in turn, discloses the bounded consumer file, its sources,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recent recipients; a dispute triggers reinvestigation and a defined route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furnisher.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46"/>
      </w:r>
      <w:bookmarkStart w:id="449" w:name="x1-39007f55"/>
      <w:bookmarkEnd w:id="44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sequence separates merits from access and the visible actor from the upstream information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holder. Notice of adverse action does not establish that the report was inaccurate or that either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entity violated a merits duty. It routes the affected person to a bounded file and correction process.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analogy concerns duties assigned to private actors, not a unitary private remedy: section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1681m(h)(8) excludes private civil actions for failures under section 1681m and assigns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section to public enforcement, while other FCRA provisions carry their own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allocations.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50"/>
      </w:r>
      <w:bookmarkStart w:id="454" w:name="x1-39010f56"/>
      <w:bookmarkEnd w:id="45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FCRA also applies only within its consumer-report architecture, generally presupposes an existing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file, and supplies neither an AI deployment map nor a material-control test. Its structural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lesson remains powerful: federal law can require the visible decision user to identify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upstream record holder while expressly declining to treat that holder as the decisionmaker.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adds the ex ante event and control record for legislatively designated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Together, the comparators answer feasibility at the right level. FAA Part 5 shows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prospective organizational records; the FTC orders show that deployment roles and events can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specified; FCRA shows a private-actor routing sequence across a divided decision stack. For firms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already capable of version control, release management, access logging, vendor management,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incident response, and legal retention, the proposal connects those systems for designated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deployments. Sectoral designations can provide simplified forms and regulator assistance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where appropriate. Neither route requires a universal explanation of every internal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state.</w:t>
      </w:r>
    </w:p>
    <w:bookmarkEnd w:id="455"/>
    <w:bookmarkEnd w:id="456"/>
    <w:bookmarkStart w:id="462" w:name="X16ad30c4d706d066ca5ea4f581954ce6b0ad1f3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57" w:name="x1-40000E"/>
      <w:bookmarkEnd w:id="457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Recordkeeping Risks Require Minimization by Design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Recordkeeping creates a distinct governance risk because recording can reshape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organization being observed. In a 2025 survey of one hundred practitioners,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respondents described employee resistance, privacy tension, and uses extending beyond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accountability purpose; forty-seven percent reported records used to monitor or improve staff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performance.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58"/>
      </w:r>
      <w:bookmarkStart w:id="461" w:name="x1-40001f57"/>
      <w:bookmarkEnd w:id="46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mandate framed as “retain everything” could expand employee and user surveillance, suppress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candid internal discussion, preserve sensitive data without purpose, and reward litigation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defensibility over safety value.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answers that risk in its data structure. The operator keeps a minimum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manifest rather than raw content by default. Identity, feedback, and event records use different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clocks. The event schema records that a threshold fired, which policy governed, and what response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followed; it does not require every conversation, keystroke, or unrelated user’s data.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Employee-performance monitoring is not a minimum field. Raw deliberative conversation,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health information, and intimate or third-party content remain outside unless a sectoral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 expressly identifies a necessity and lawful protection. Automated capture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must be limited to defined events, stated purposes, authorized recipients, and a deletion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organizational record also separates report from decision. A good-faith risk report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 a signal, not an admission by the enterprise. The response record identifies who reviewed it,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what information was available, and what action followed. Protected escalation supports candor;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merits firewall prevents the report’s existence from becoming automatic breach. Periodic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sampling tests whether the record resolves an event without converting continuous worker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observation into the measure of compliance. These specifications make minimization part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observability rather than a promise added after collection.</w:t>
      </w:r>
    </w:p>
    <w:bookmarkEnd w:id="462"/>
    <w:bookmarkStart w:id="472" w:name="Xecd9a04b62efd8f961ae391a9a4ac0f1d5ab6ef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F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63" w:name="x1-41000F"/>
      <w:bookmarkEnd w:id="46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Accurate Records Require Protected Escalation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reliable record duty depends on candid reporting by the people closest to a risk. A worker who,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good faith and on an objectively reasonable basis, documents a designated risk, uses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authorized escalation channel, and preserves evidence should receive the anti-retaliation protection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defense or indemnification specified by governing law. The protection attaches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report and authorized conduct. Intentional harm, knowing falsification or destruction,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concealment, retaliation, corrupted evaluation, and unauthorized removal of a safeguard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outside.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allocation aligns information with authority. A safety engineer may understand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failure mode without controlling release; a product manager may control schedule without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receiving the signal; an operating professional may see an abnormal output without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 history. The record shows what moved between them, when it moved, and who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could act. Protecting documented escalation makes the record reliable, while separate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treatment of the organizational response prevents every report from becoming a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admission.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Existing compliance and whistleblower regimes confirm the institutional principle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supplying different scopes and remedies. The Organizational Sentencing Guidelines treat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leadership responsibility, adequate authority and resources, reporting without fear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retaliation, enforcement, response, and periodic risk assessment as components of an effective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program.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64"/>
      </w:r>
      <w:bookmarkStart w:id="466" w:name="x1-41001f58"/>
      <w:bookmarkEnd w:id="46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Sectoral statutes protect specified reports and refusals under defined causation and remedy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standards.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67"/>
      </w:r>
      <w:bookmarkStart w:id="471" w:name="x1-41003f59"/>
      <w:bookmarkEnd w:id="47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front-door enactment should state its own scope rather than import every privilege or immunity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those regimes.</w:t>
      </w:r>
    </w:p>
    <w:bookmarkEnd w:id="472"/>
    <w:bookmarkStart w:id="477" w:name="the-record-is-also-a-defense-asse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G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73" w:name="x1-42000G"/>
      <w:bookmarkEnd w:id="47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Record Is Also a Defense Asset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is an information rule, and information can defeat a claim. A version record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 that the challenged feature was inactive. A configuration log can show that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 deployer supplied the tool or removed a safeguard. An incident sequence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show that a warning appeared, an intervention fired, or a user edited the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content. Evaluation and approval records can show that the enterprise tested the asserted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risk, adopted a response supported by the information then available, and monitored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operation. A stop record can show that an actor lacked the practical authority the claimant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alleges.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defense value is especially important for stochastic systems. “The model can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unpredictable” states a general property. A record can show whether the particular event fell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an evaluated range, which controls were active, which feedback arrived, and whether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proposed alternative would have changed the sequence. It permits a defendant to establish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reasonable preparation, intervening modification, user circumvention, or unavoidable residual risk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evidence rather than a category label.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record also disciplines historical claims. Research published after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may identify a variable worth testing without proving what a defendant knew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earlier. A mitigation developed later may show a technically describable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without establishing that it was feasible, required, or admissible for the earlier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74"/>
      </w:r>
      <w:bookmarkStart w:id="476" w:name="x1-42001f60"/>
      <w:bookmarkEnd w:id="47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Versioned evaluations, resource decisions, complaints, and contemporaneous alternatives locate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inquiry at the correct time.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infrastructure therefore serves both sides of the core proposition. It prevents a claimant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losing because the relevant deployment was invisible. It prevents an enterprise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losing because a court must infer a deployment from a frightening output alone.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 door makes the record reachable; the record allows ordinary law to distinguish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two.</w:t>
      </w:r>
    </w:p>
    <w:bookmarkEnd w:id="477"/>
    <w:bookmarkEnd w:id="478"/>
    <w:bookmarkStart w:id="556" w:name="X507690928aa67b85f2b8ff948030b87102a043b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V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479" w:name="x1-43000V"/>
      <w:bookmarkEnd w:id="479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Merits Firewall and Administrable Boundaries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is an access right with a defined stopping point. It begins only with an adverse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affecting a legislatively specified interest, supplies a closed first answer, and expands only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upon a claim-specific showing. It changes no element of the underlying cause of action. Four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boundaries make that allocation durable: existing law defines the protected interest; constitutional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confidentiality rules shape disclosure; arbitration, territorial limits, and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preemption govern the enforcing forum; and product or speech classification remains for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merits.</w:t>
      </w:r>
    </w:p>
    <w:bookmarkStart w:id="485" w:name="existing-legal-interests-define-the-gate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80" w:name="x1-44000A"/>
      <w:bookmarkEnd w:id="480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Existing Legal Interests Define the Gate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designation identifies the legal interests that justify compulsory observability. Employment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opportunity, credit, housing, public benefits, health, education, physical safety, and the welfare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minors already receive legal protection in defined settings. A legislature can select a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category in which affected people predictably lack identity and event facts needed to invoke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protection. Capability, marketing, or dissatisfaction alone never opens the front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door.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One therefore requires an adverse event affecting an interest protected by the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named in the designation. It does not require the affected person to plead a complete underlying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cause of action before receiving fields that the operator alone possesses. Nor does it create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freestanding right to audit a business. A rejected applicant identifies the job, adverse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disposition, covered screening process, and event fields. A benefits recipient 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entitlement, challenged action, and covered calculation. A companion-service user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the covered interaction and protected interest. A preference for another model,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demand for human conversation, or an assertion that an output felt wrong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qualify.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gate preserves the heterogeneity of AI disputes. Some AI-associated losses have no private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remedy; others sound in contract, tort, antidiscrimination, administrative, consumer-protection, or no-liability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81"/>
      </w:r>
      <w:bookmarkStart w:id="484" w:name="x1-44001f61"/>
      <w:bookmarkEnd w:id="48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first answer locates the event within the applicable law. If the designated interest,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route, or requested field falls outside the statute, the access action ends. If a pure legal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defense—jurisdiction, immunity, express preemption, no private right, or a limitations bar apparent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the notice—disposes of the statutory access claim, the tribunal can decide it before Stage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Two.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Once the first answer identifies the deployment and custodian, the allocation established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Section </w:t>
      </w:r>
      <w:hyperlink w:anchor="X0d45b1bf289ec41abdcdcdd96a97e2c1be6f103">
        <w:r>
          <w:rPr>
            <w:rStyle w:val="Hyperlink"/>
            <w:rFonts w:ascii="Garamond" w:hAnsi="Garamond" w:cs="Garamond" w:eastAsia="Songti SC"/>
            <w:lang w:val="en-US" w:eastAsia="zh-CN"/>
          </w:rPr>
          <w:t xml:space="preserve">C</w:t>
        </w:r>
      </w:hyperlink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applies on better factual predicates. Rule 8 governs any federal complaint; Rules 26,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34, and 45 govern claim-specific production; Rule 15 governs amendment. The statute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creates the object and fixed access entitlement that those rules do not create. It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supply an AI-specific standard of care, causation rule, product classification, or damages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measure.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legal-interest gate also limits cost. The operator bears ordinary expense for the local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manifest and first answer because observability is a condition of covered operation.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Extraordinary formatting or an expert protocol can be allocated under the designation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forum law. An incomplete or evasive answer shifts the reasonable expense it causes.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outside the prima facie control lane exits after Stage One. Those rules make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right usable without turning every covered deployment into continuing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discovery.</w:t>
      </w:r>
    </w:p>
    <w:bookmarkEnd w:id="485"/>
    <w:bookmarkStart w:id="501" w:name="X64f128467567ab17075eb48d3ab4c084add7f59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86" w:name="x1-45000B"/>
      <w:bookmarkEnd w:id="48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Constitutional, Trade-Secret, and Privacy Protections Shape Access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compelled answer must satisfy the Constitution as well as the model statute. The minimum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 is transaction linked and principally factual: what system and version ran, which enterprise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holds the record, what output or notice occurred, and which role possessed listed authority. It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delivered to the affected person or enforcing tribunal rather than published to the world. Those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features distinguish the first answer from compelled ideological speech or a requirement that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confess legal fault.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governing First Amendment standard depends on the speaker, content, and regulatory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setting.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Zauderer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permits certain compelled disclosures of purely factual and uncontroversial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commercial information reasonably related to preventing deception;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NIFLA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rejects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unlimited category of “professional speech” and requires courts to examine burdens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87"/>
      </w:r>
      <w:bookmarkStart w:id="491" w:name="x1-45001f62"/>
      <w:bookmarkEnd w:id="49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 should therefore require operational facts, use neutral field definitions, and avoid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compelled normative characterizations such as “unsafe,” “biased,” or “responsible.” If a sector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field falls outside the commercial-disclosure line, the ordinary level of constitutional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scrutiny governs. The statute’s closed fields and nonpublic protections narrow the burden; they do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 predetermine the constitutional result.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Trade secrets receive protection, not categorical exclusion. Trade-secret interests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constitute property and turn on reasonable expectations of confidentiality,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litigation law has long used protective orders to limit disclosure of confidential commercial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92"/>
      </w:r>
      <w:bookmarkStart w:id="496" w:name="x1-45005f63"/>
      <w:bookmarkEnd w:id="49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One does not require source code, weights, or unrestricted training data. It asks for identity,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version, event, custodian, and control fields. Those deeper materials may be considered only 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Two upon necessity and proportionality, with redaction, attorneys’-eyes-only access, secure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expert review, in camera inspection, and testing protocols available. A withholding party 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record, custodian, date, version, and legal basis so that protection does not become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invisibility.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Privilege follows the same line developed in Section </w:t>
      </w:r>
      <w:hyperlink w:anchor="Xe223f864c9710e45f97a5c50cbfddf30155e637">
        <w:r>
          <w:rPr>
            <w:rStyle w:val="Hyperlink"/>
            <w:rFonts w:ascii="Garamond" w:hAnsi="Garamond" w:cs="Garamond" w:eastAsia="Songti SC"/>
            <w:lang w:val="en-US" w:eastAsia="zh-CN"/>
          </w:rPr>
          <w:t xml:space="preserve">3</w:t>
        </w:r>
      </w:hyperlink>
      <w:r>
        <w:rPr>
          <w:rFonts w:ascii="Garamond" w:hAnsi="Garamond" w:cs="Garamond" w:eastAsia="Songti SC"/>
          <w:lang w:val="en-US" w:eastAsia="zh-CN"/>
        </w:rPr>
        <w:t xml:space="preserve">. Legal advice and attorney work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 remain protected. The operator produces underlying nonprivileged facts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ordinary-course business records and logs protected material with sufficient specificity for review.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Act creates no privilege exception and no rule that counsel’s involvement automatically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removes an operational fact from the minimum record.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Privacy and security limit both creation and production. Part IV’s separate clocks and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schema keep unrelated users, raw conversations, worker surveillance, protected health information,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credentials, and security details outside the manifest by default. A request uses the narrowest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available event identifier, time window, feature, and population. Pseudonymization, aggregation,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secure review, and in camera testing can establish that a control existed without exposing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itself. A timely field-specific objection pauses only the contested protected field and permits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prompt neutral review before disclosure or penalty; uncontested identity and event fields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97"/>
      </w:r>
      <w:bookmarkStart w:id="500" w:name="x1-45009f64"/>
      <w:bookmarkEnd w:id="50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constitutional and confidentiality boundary is therefore affirmative: define the factual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minimum, minimize collection, and use protected access for what remains.</w:t>
      </w:r>
    </w:p>
    <w:bookmarkEnd w:id="501"/>
    <w:bookmarkStart w:id="549" w:name="Xdc02b2c9f8ecb38a0d74a9a8d9de321f0e9eb2a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502" w:name="x1-46000C"/>
      <w:bookmarkEnd w:id="502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Arbitration, Territorial Limits, and Federal Preemption Govern the Forum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Nonwaiver describes the substantive duty, not an exclusive judicial forum. An operator cannot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 away the affected person’s right to the minimum record. But a valid arbitration agreement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govern who enforces that right. For a federal statutory right, a contrary congressional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command can displace the Federal Arbitration Act’s rule of arbitrability. A state model act cannot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single out arbitration agreements for disfavored treatment; it should make the duty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nonwaivable while allowing an otherwise valid agreement to select the private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forum.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03"/>
      </w:r>
      <w:bookmarkStart w:id="508" w:name="x1-46001f65"/>
      <w:bookmarkEnd w:id="50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Questions about whether the parties delegated arbitrability follow federal arbitration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doctrine.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09"/>
      </w:r>
      <w:bookmarkStart w:id="512" w:name="x1-46006f66"/>
      <w:bookmarkEnd w:id="512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duty still arises before the merits forum needs discovery. A covered operator must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maintain the local record and answer a qualifying request on the statutory timetable; completion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not a condition precedent to commencing or continuing arbitration. If it disputes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enforceability or scope, the proper court or arbitrator resolves that dispute under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agreement and the Federal Arbitration Act. An agreement to which the administering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agency is not a party does not eliminate public enforcement brought in the agency’s 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name.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13"/>
      </w:r>
      <w:bookmarkStart w:id="516" w:name="x1-46009f67"/>
      <w:bookmarkEnd w:id="51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allocation preserves the substantive right, the selected private forum, and independent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local record is especially important because arbitral process may not reach an upstream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stranger. Federal Arbitration Act section 7 authorizes arbitrators to summon a person to attend and bring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documents; the Ninth Circuit reads it not to authorize a stand-alone prehearing document subpoena to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nonparty.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17"/>
      </w:r>
      <w:bookmarkStart w:id="521" w:name="x1-46012f68"/>
      <w:bookmarkEnd w:id="52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operator’s predeployment retrieval right supplies the defined vendor fields without enlarging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arbitral subpoena power. A supplier that is itself bound by the Act or an arbitration agreement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answers on that source of authority; another supplier responds through the operator’s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Territorial limits remain equally concrete. The State’s authority to apply its substantive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law, a tribunal’s personal jurisdiction, and valid service are separate predicates.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 supplies none of them. A control holder receives a direct statutory duty only when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enterprise and identified deployment fall within valid territorial and choice-of-law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reach; coercive relief additionally requires service and an independent jurisdictional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basis.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22"/>
      </w:r>
      <w:bookmarkStart w:id="526" w:name="x1-46016f69"/>
      <w:bookmarkEnd w:id="52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Appointment of the operator’s response agent authorizes the statutory delivery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route only. It should not silently become consent to all-purpose jurisdiction;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express registration-based consent regime raises the distinct questions illustrated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Mallory</w:t>
      </w:r>
      <w:r>
        <w:rPr>
          <w:rFonts w:ascii="Garamond" w:hAnsi="Garamond" w:cs="Garamond" w:eastAsia="Songti SC"/>
          <w:lang w:val="en-US" w:eastAsia="zh-CN"/>
        </w:rPr>
        <w:t xml:space="preserve">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27"/>
      </w:r>
      <w:bookmarkStart w:id="530" w:name="x1-46020f70"/>
      <w:bookmarkEnd w:id="53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domestic visible operator nevertheless owes the local manifest, event receipt, and contractual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retrieval path. That nondelegable local architecture keeps the answer reachable without pretending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state process reaches every global node.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Sectoral designation must also perform a substantive federal-preemption check provision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provision. FCRA expressly preempts specified state requirements concerning dispute procedures,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adverse-action duties, and furnisher responsibilities; its present agency interpretation replaced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Bureau’s withdrawn 2022 narrow-preemption view, while recognizing that courts remain the final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arbiters.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31"/>
      </w:r>
      <w:bookmarkStart w:id="535" w:name="x1-46023f71"/>
      <w:bookmarkEnd w:id="53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ERISA can displace state reporting regimes that intrude on nationally uniform plan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administration. Federal medical-device law preempts some requirements different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or additional to federal requirements, while the HIPAA rules preserve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specified more-stringent state privacy provisions and forbid contrary disclosure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commands.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36"/>
      </w:r>
      <w:bookmarkStart w:id="544" w:name="x1-46027f72"/>
      <w:bookmarkEnd w:id="54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Employment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a different savings rule.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45"/>
      </w:r>
      <w:bookmarkStart w:id="548" w:name="x1-46035f73"/>
      <w:bookmarkEnd w:id="54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designation should identify federal actors and exclusive remedies, whether federal law supplies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floor, ceiling, or parallel-duty path, which actors and fields are excluded, how remedies overlap,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claims the State may toll. A generic savings clause cannot preserve an application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 forecloses. Congress can use the same front-door architecture when national uniformity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required.</w:t>
      </w:r>
    </w:p>
    <w:bookmarkEnd w:id="549"/>
    <w:bookmarkStart w:id="555" w:name="Xcb4b30a26b8c574b82ee1211e6956218b6054e7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550" w:name="x1-47000D"/>
      <w:bookmarkEnd w:id="550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Classification Neutrality Preserves the Merits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does not classify an AI system as a product, service, speaker, agent,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legal person. A companion application can present design questions about access,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memory, engagement objectives, crisis response, and warnings while a claim directed 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adopted message presents a distinct First Amendment question. An employment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score can participate in a decision without becoming a physical product. Generated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text can communicate an operator’s decision without making the model a juridical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actor.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i/>
          <w:iCs/>
          <w:lang w:val="en-US" w:eastAsia="zh-CN"/>
        </w:rPr>
        <w:t xml:space="preserve">Garcia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illustrates the separation. At Rule 12, the district court treated Character.AI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plausibly alleged to be a product because the challenged features concerned design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commercial distribution. It declined on that record to classify the generated sequence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speech where defendants had not identified a relevant expressive choice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speaker.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51"/>
      </w:r>
      <w:bookmarkStart w:id="554" w:name="x1-47001f74"/>
      <w:bookmarkEnd w:id="55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Those rulings were procedural and claim specific. The first answer would identify which conduct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claim challenges, which human or organizational choices the deployment implemented, what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message an identified person adopted, and whether the requested remedy regulates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design, transaction, decision process, or expression. Governing law then classifies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Fragmented and open architectures change the control map, not this boundary.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open-weights publisher with no continuing visibility, contractual right, or stopping power can exit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after the provenance answer. A downstream modifier that selects the protected use, adds data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tools, removes safeguards, and controls operation can occupy the relevant lane. A provider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retains mandatory updates, monitoring, or remote suspension may retain another lane. Contract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labels and brand association are evidence only to the extent they describe practical authority.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Two follows only when the Stage One record supports that the function formed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 of the event path or governed a safeguard and the requested information bears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non-de-minimally on an element, defense, or remedy. Duty and causation remain for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merits firewall completes the allocation. Compliance, noncompliance, production,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front-door participation create no presumption on the enumerated merits questions. The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a record from which existing law can distinguish reasonable deployment, independent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modification, residual risk, and actionable conduct. It opens adjudication without choosing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substantive winner.</w:t>
      </w:r>
    </w:p>
    <w:bookmarkEnd w:id="555"/>
    <w:bookmarkEnd w:id="556"/>
    <w:bookmarkStart w:id="562" w:name="conclusion1"/>
    <w:p>
      <w:pPr>
        <w:pStyle w:val="Heading3"/>
        <w:keepNext/>
        <w:keepLines/>
        <w:spacing w:before="300" w:after="100" w:line="280" w:lineRule="exact"/>
        <w:ind w:firstLine="0"/>
        <w:jc w:val="left"/>
      </w:pPr>
      <w:bookmarkStart w:id="557" w:name="x1-48000"/>
      <w:bookmarkEnd w:id="557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Conclusion</w:t>
      </w:r>
    </w:p>
    <w:p>
      <w:pPr>
        <w:pStyle w:val="FirstParagraph"/>
        <w:spacing w:before="0" w:after="0" w:line="320" w:lineRule="exact"/>
        <w:ind w:firstLine="360"/>
        <w:jc w:val="both"/>
      </w:pPr>
      <w:bookmarkStart w:id="558" w:name="Q1-1-55"/>
      <w:bookmarkEnd w:id="558"/>
      <w:r>
        <w:rPr>
          <w:rFonts w:ascii="Garamond" w:hAnsi="Garamond" w:cs="Garamond" w:eastAsia="Songti SC"/>
          <w:lang w:val="en-US" w:eastAsia="zh-CN"/>
        </w:rPr>
        <w:t xml:space="preserve"> </w:t>
      </w:r>
      <w:bookmarkStart w:id="559" w:name="x1-48000doc"/>
      <w:bookmarkEnd w:id="55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AI litigation can fail before duty, defect, discrimination, causation, immunity, or defense because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 identity, version, event path, custodian, and control records remain divided among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organizations. Ordinary procedure becomes powerful once the proper target and record holder are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known; it cannot create those predicates after the event.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Model sectoral legislation supplies the deployment front door. A state legislature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designates the covered deployment, protected interest, visible operator, minimum record,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clock, enforcement route, and federal-law boundary; Congress can use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same architecture for national markets or federal claims. Courts administer the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 and claim-specific Stage Two; they do not derive the ex ante duty from discovery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doctrine.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One begins with an adverse event affecting the specified interest, the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through which it occurred, and facts connecting closed identity and event fields to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occurrence—never with facts found only in the deployment record. The visible operator supplies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receipt and custodian map, preserves the slice, and activates its contractual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path. An enterprise remains for Stage Two only when it held risk-specific practical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authority, the Stage One record supports that its function formed part of the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path or governed a safeguard, and the requested information bears non-de-minimally 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element, defense, or remedy. No different-act, prevention, or causation showing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applications show why both stages matter.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Garcia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presents a visible operator and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missing deployment record.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Mobley</w:t>
      </w:r>
      <w:r>
        <w:rPr>
          <w:rFonts w:ascii="Garamond" w:hAnsi="Garamond" w:cs="Garamond" w:eastAsia="Songti SC"/>
          <w:i/>
          <w:iCs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presents feature identity, physical hosting, legal control,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privilege, and use divided across employers and a vendor. A common event identifier, local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manifest, and retrieval right make each architecture observable without treating every supplier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defendant. The merits firewall permits early exit without altering any element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design lets an affected person identify the operative deployment before divided custody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limitations decides the dispute. It also lets an enterprise show that a feature never ran,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output never reached the decision path, a downstream actor modified the system, a warning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appeared or an intervention functioned as designed, or a proposed alternative was unavailable.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Privacy minimization, privilege, trade-secret protection, arbitration doctrine, territorial limits,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preemption remain part of the rule.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Probabilistic output does not eliminate legal responsibility; it relocates the evidence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control. The deployment front door makes that evidence reachable before information asymmetry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decides the case.</w:t>
      </w:r>
    </w:p>
    <w:bookmarkEnd w:id="562"/>
    <w:sectPr>
      <w:headerReference w:type="first" r:id="rIdHarvardJoltFirst"/>
      <w:headerReference w:type="default" r:id="rIdHarvardJoltOdd"/>
      <w:headerReference w:type="even" r:id="rIdHarvardJoltEven"/>
      <w:footnotePr>
        <w:numRestart w:val="eachSect"/>
      </w:footnotePr>
      <w:pgSz w:w="12240" w:h="15840"/>
      <w:pgMar w:top="2160" w:right="2880" w:bottom="1440" w:left="2880" w:header="720" w:footer="72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family w:val="roman"/>
    <w:charset w:val="00"/>
  </w:font>
  <w:font w:name="Songti SC">
    <w:family w:val="roman"/>
    <w:charset w:val="86"/>
  </w:font>
</w:fonts>
</file>

<file path=word/footnotes.xml><?xml version="1.0" encoding="utf-8"?>
<w:footnotes xmlns:r="http://schemas.openxmlformats.org/officeDocument/2006/relationships" xmlns:w="http://schemas.openxmlformats.org/wordprocessingml/2006/main">
  <w:footnote w:type="continuationSeparator" w:id="0">
    <w:p>
      <w:r>
        <w:continuationSeparator/>
      </w:r>
    </w:p>
  </w:footnote>
  <w:footnote w:type="separator" w:id="-1">
    <w:p>
      <w:pPr>
        <w:pStyle w:val="FootnoteText"/>
        <w:spacing w:before="0" w:after="0" w:line="210" w:lineRule="exact"/>
        <w:ind w:firstLine="0"/>
        <w:jc w:val="both"/>
      </w:pP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separator/>
      </w:r>
    </w:p>
  </w:footnote>
  <w:footnote w:id="10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5" w:name="x1-2002x"/>
      <w:bookmarkEnd w:id="10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6" w:name="x1-2003"/>
      <w:bookmarkEnd w:id="106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 v. Character Techs.,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785 F. Supp. 3d 1157, 1165–69, 1174–84 (M.D. Fla. 2025)</w:t>
      </w:r>
      <w:bookmarkStart w:id="107" w:name="x1-2002xdoc"/>
      <w:bookmarkEnd w:id="10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8" w:name="x1-2004"/>
      <w:bookmarkEnd w:id="10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Dismissing Settled Action at 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 v. Character Techs.,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 6:24-cv-01903-ACC-DCI (M.D. Fla.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Jan. 7, 2026), ECF No. 244;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9" w:name="x1-2005"/>
      <w:bookmarkEnd w:id="10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Resolving Charging Lien at 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 v. Character Techs.,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6:24-cv-01903-ACC-DCI (M.D. Fla. June 11, 2026), ECF No. 273. The complaint’s disputed account remains an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allegation. This Article uses the published Rule 12 order for its classification and pleading analysis, not as a merits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judgment.</w:t>
      </w:r>
    </w:p>
  </w:footnote>
  <w:footnote w:id="11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2" w:name="x1-2007x"/>
      <w:bookmarkEnd w:id="11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3" w:name="x1-2008"/>
      <w:bookmarkEnd w:id="11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Anat Lior,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AI Strict Liability Vis-À-Vis AI Monopolization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22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C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olum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ci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&amp; 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ech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L. 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ev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90, 91,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94–97 (2021)</w:t>
      </w:r>
      <w:bookmarkStart w:id="114" w:name="x1-2007xdoc"/>
      <w:bookmarkEnd w:id="11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5" w:name="x1-2009"/>
      <w:bookmarkEnd w:id="11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Zachary Henderson,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Rethinking Robot Liability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67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B.C. L. 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ev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479, 483, 515–17 (2026);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6" w:name="x1-2010"/>
      <w:bookmarkEnd w:id="11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Catherine M. Sharkey,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 Products Liability Framework for AI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25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C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olum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ci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&amp; 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ech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L. 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ev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240, 240, 244–47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7" w:name="x1-2011"/>
      <w:bookmarkEnd w:id="11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Ketan Ramakrishnan,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Tort Law at the Frontier of Artificial Intelligence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43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Y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ale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J.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on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eg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960, 960–61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(2026). A systematic review of 559 federal opinions likewise reports that courts predominantly resolve AI disputes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through preexisting legal doctrines and that litigated harms are shaped by existing causes of action. 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8" w:name="x1-2012"/>
      <w:bookmarkEnd w:id="1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Julie Yu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et al., Visible to the Court: How AI Is (and Isn’t) Litigated in U.S. Federal Court Opinions, at 1, 8–9 (2026),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119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https://arxiv.org/abs/2607.23888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12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22" w:name="x1-2014x"/>
      <w:bookmarkEnd w:id="12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23" w:name="x1-2015"/>
      <w:bookmarkEnd w:id="12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Matthew Stewart,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Beyond Explanation: Evidentiary Rights for Algorithmic Accountability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roceedings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of the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2026 ACM C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onference on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F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airness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, A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ccountability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and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ransparency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1066, 1067, 1076–79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124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https://doi.org/10.1145/3805689.3806532</w:t>
        </w:r>
      </w:hyperlink>
      <w:bookmarkStart w:id="125" w:name="x1-2014xdoc"/>
      <w:bookmarkEnd w:id="12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26" w:name="x1-2016"/>
      <w:bookmarkEnd w:id="12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Sarah H. Cen, Hannah Ismael &amp; Lucia Zheng,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Barriers to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Evidence in AI-Related Cases and the Privatization of Proof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roceedings of the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2026 ACM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C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onference on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F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airness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, A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ccountability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and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ransparency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7793, 7794–95, 7801–05 (2026),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127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https://doi.org/10.1145/3805689.3812219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13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3" w:name="x1-4002xA"/>
      <w:bookmarkEnd w:id="13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See, e.g.,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4" w:name="x1-4003"/>
      <w:bookmarkEnd w:id="134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United States v. U.S. Gypsum Co.,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438 U.S. 422, 444–46 (1978);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5" w:name="x1-4004"/>
      <w:bookmarkEnd w:id="135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Speller v. Sears, Roebuck &amp; Co.,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100 N.Y.2d 38, 41–43 (2003);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6" w:name="x1-4005"/>
      <w:bookmarkEnd w:id="136"/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estatement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(T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hird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)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of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A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gency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7.03(1), 7.05 (Am. L. Inst.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2006).</w:t>
      </w:r>
    </w:p>
  </w:footnote>
  <w:footnote w:id="13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9" w:name="x1-4007xA"/>
      <w:bookmarkEnd w:id="13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40" w:name="x1-4008"/>
      <w:bookmarkEnd w:id="140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Mobley v. Workday,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740 F. Supp. 3d 796, 806–08 (N.D. Cal. 2024). The decision granted in part 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denied in part Workday’s motion to dismiss the first amended complaint; it did not find discriminatory operation or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resolve the merits.</w:t>
      </w:r>
    </w:p>
  </w:footnote>
  <w:footnote w:id="14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47" w:name="x1-6002xC"/>
      <w:bookmarkEnd w:id="14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48" w:name="x1-6003"/>
      <w:bookmarkEnd w:id="14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8(a)(2);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49" w:name="x1-6004"/>
      <w:bookmarkEnd w:id="14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11(b)(3);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50" w:name="x1-6005"/>
      <w:bookmarkEnd w:id="150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Bell Atl. Corp. v. Twombly,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550 U.S. 544, 555–59, 570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(2007);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51" w:name="x1-6006"/>
      <w:bookmarkEnd w:id="151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Ashcroft v. Iqbal,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556 U.S. 662, 678–79, 686 (2009);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52" w:name="x1-6007"/>
      <w:bookmarkEnd w:id="152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Rotella v. Wood,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528 U.S. 549, 560–61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(2000).</w:t>
      </w:r>
    </w:p>
  </w:footnote>
  <w:footnote w:id="15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55" w:name="x1-6009xC"/>
      <w:bookmarkEnd w:id="15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56" w:name="x1-6010"/>
      <w:bookmarkEnd w:id="15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57" w:name="x1-6011"/>
      <w:bookmarkEnd w:id="15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34(a)(1), 45.</w:t>
      </w:r>
    </w:p>
  </w:footnote>
  <w:footnote w:id="15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0" w:name="x1-6013xC"/>
      <w:bookmarkEnd w:id="16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1" w:name="x1-6014"/>
      <w:bookmarkEnd w:id="16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26(a)(1)(A)(i)–(iv), 26(a)(1)(C), 26(f).</w:t>
      </w:r>
    </w:p>
  </w:footnote>
  <w:footnote w:id="16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4" w:name="x1-6016xC"/>
      <w:bookmarkEnd w:id="16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5" w:name="x1-6017"/>
      <w:bookmarkEnd w:id="165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Strike 3 Holdings, LLC v. Doe,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964 F.3d 1203, 1207, 1210–11 (D.C. Cir. 2020); see also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6" w:name="x1-6018"/>
      <w:bookmarkEnd w:id="166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Columbia Ins. Co. v.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Seescandy.com,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185 F.R.D. 573, 577–80 (N.D. Cal. 1999).</w:t>
      </w:r>
    </w:p>
  </w:footnote>
  <w:footnote w:id="16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9" w:name="x1-6020xC"/>
      <w:bookmarkEnd w:id="16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0" w:name="x1-6021"/>
      <w:bookmarkEnd w:id="17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27;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1" w:name="x1-6022"/>
      <w:bookmarkEnd w:id="171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Workman v. U.S. Postal Serv.,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127 F.4th 237, 240–45 (10th Cir. 2025);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2" w:name="x1-6023"/>
      <w:bookmarkEnd w:id="172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Ash v. Cort,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512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F.2d 909, 912 (3d Cir. 1975).</w:t>
      </w:r>
    </w:p>
  </w:footnote>
  <w:footnote w:id="17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5" w:name="x1-6025xC"/>
      <w:bookmarkEnd w:id="17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Compare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6" w:name="x1-6026"/>
      <w:bookmarkEnd w:id="176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In re Citric Acid Litig.,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191 F.3d 1090, 1107–08 (9th Cir. 1999), with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7" w:name="x1-6027"/>
      <w:bookmarkEnd w:id="177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Sergeeva v. Tripleton Int’l Ltd.,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834 F.3d 1194, 1200–02 (11th Cir. 2016).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Sergeeva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arose under 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1782; it illustrates a practical-control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approach rather than deciding ordinary domestic merits discovery.</w:t>
      </w:r>
    </w:p>
  </w:footnote>
  <w:footnote w:id="17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0" w:name="x1-6029xC"/>
      <w:bookmarkEnd w:id="18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1" w:name="x1-6030"/>
      <w:bookmarkEnd w:id="18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15(c);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2" w:name="x1-6031"/>
      <w:bookmarkEnd w:id="182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Krupski v. Costa Crociere S.p.A.,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560 U.S. 538, 547–57 (2010);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3" w:name="x1-6032"/>
      <w:bookmarkEnd w:id="183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Winzer v. Kaufman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Cnty.,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916 F.3d 464, 470–71 (5th Cir. 2019);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4" w:name="x1-6033"/>
      <w:bookmarkEnd w:id="184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Butler v. Nat’l Cmty. Renaissance,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766 F.3d 1191, 1200–02 (9th Cir.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2014).</w:t>
      </w:r>
    </w:p>
  </w:footnote>
  <w:footnote w:id="18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7" w:name="x1-6035xC"/>
      <w:bookmarkEnd w:id="18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8" w:name="x1-6036"/>
      <w:bookmarkEnd w:id="18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Ill. Sup. Ct. R. 224(a)(1)–(2), (b), (c);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9" w:name="x1-6037"/>
      <w:bookmarkEnd w:id="18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Tex. R. Civ. P. 202.1, 202.2(g), 202.4(a), 202.5;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0" w:name="x1-6038"/>
      <w:bookmarkEnd w:id="19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N.Y. C.P.L.R.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3102(c) (2026);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1" w:name="x1-6039"/>
      <w:bookmarkEnd w:id="19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Cal. Civ. Proc. Code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2035.010(b) (2026). A New York pre-action petition does not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become a federal Rule 27 proceeding simply because a respondent removes it;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Teamsters Local 404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treated the state petition as outside the removable civil action described by 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1441. 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2" w:name="x1-6040"/>
      <w:bookmarkEnd w:id="192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Teamsters Loc. 404 Health Servs. &amp; Ins. Plan v. King Pharms.,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906 F.3d 260, 264–69 (2d Cir.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2018).</w:t>
      </w:r>
    </w:p>
  </w:footnote>
  <w:footnote w:id="19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7" w:name="x1-7002xD"/>
      <w:bookmarkEnd w:id="19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8" w:name="x1-7003"/>
      <w:bookmarkEnd w:id="19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Stewart,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14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3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1067, 1075–79.</w:t>
      </w:r>
    </w:p>
  </w:footnote>
  <w:footnote w:id="20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1" w:name="x1-7005xD"/>
      <w:bookmarkEnd w:id="20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2" w:name="x1-7006"/>
      <w:bookmarkEnd w:id="20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Cen, Ismael &amp; Zheng,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14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3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7794–95, 7801–05. Their analysis includes nonparty developers,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preservation, procurement, and logging. The distinction here is institutional sequence: the front door imposes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visible-operator gateway, minimum deployment record, material-control routing rule, and safe exit before a court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can apply an access test to a defined requester–producer relation.</w:t>
      </w:r>
    </w:p>
  </w:footnote>
  <w:footnote w:id="20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5" w:name="x1-7008xD"/>
      <w:bookmarkEnd w:id="20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6" w:name="x1-7009"/>
      <w:bookmarkEnd w:id="20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Carlos García-Llorente &amp; Ignacio Olmeda,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Making Algorithmic Transparency Enforceable: Sufficient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Intelligibility, Technical Evidence, and Auditability Across the EU and the US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34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I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nt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’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l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J.L. &amp; I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nfo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ech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eaag008 (2026) (abstract) (proposing a minimum technical-evidence package);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7" w:name="x1-7010"/>
      <w:bookmarkEnd w:id="20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Oswaldo Maxwell, The Procurement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Record: How AI Contracts Decouple Evidence, Risk, Control, and Accountability (unpublished manuscript, July 10,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208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https://ssrn.com/abstract=7097518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(abstract) (treating the procurement file as a governance record);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9" w:name="x1-7011"/>
      <w:bookmarkEnd w:id="20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Shreya Chappidi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Accountability Capture: How Record-Keeping to Support AI Transparency and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Accountability (Re)shapes Algorithmic Oversight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8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roceedings of the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AAAI/ACM C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onference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on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AI, E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thics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and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ociety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554, 558–63 (2025) (identifying behavioral effects of accountability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records).</w:t>
      </w:r>
    </w:p>
  </w:footnote>
  <w:footnote w:id="21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2" w:name="x1-7013xD"/>
      <w:bookmarkEnd w:id="21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3" w:name="x1-7014"/>
      <w:bookmarkEnd w:id="21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Yu et al.,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07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2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1–2, 8–9. The study codes federal opinions in which AI appears in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parties’ contentions; it does not estimate the universe of AI incidents or adjudicate the validity of any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claim.</w:t>
      </w:r>
    </w:p>
  </w:footnote>
  <w:footnote w:id="21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8" w:name="x1-8002xE"/>
      <w:bookmarkEnd w:id="2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9" w:name="x1-8003"/>
      <w:bookmarkEnd w:id="219"/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N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ancy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G. L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eveson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E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ngineering a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afer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W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orld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: 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ystems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hinking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A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pplied to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afety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75–76, 87–90 (2012) (developing the systems-theoretic premise);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20" w:name="x1-8004"/>
      <w:bookmarkEnd w:id="22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Nancy G. Leveson &amp; John P. Thomas,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STPA Handbook, at 14–15 (MIT Partnership for Systems Approaches to Safety and Security, 2018),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221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https://psas.scripts.mit.edu/home/get_file.php?name=STPA_handbook.pdf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(specifying the STPA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method);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22" w:name="x1-8005"/>
      <w:bookmarkEnd w:id="22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Shalaleh Rismani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From Plane Crashes to Algorithmic Harm: Applicability of Safety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Engineering Frameworks for Responsible ML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CHI ’23 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roc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2:1–2:18, 2:5–2:6, 2:14–2:18 (2023),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223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https://doi.org/10.1145/3544548.3581407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(applying safety-engineering frameworks to responsible machine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learning).</w:t>
      </w:r>
    </w:p>
  </w:footnote>
  <w:footnote w:id="23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37" w:name="x1-10002xA"/>
      <w:bookmarkEnd w:id="23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38" w:name="x1-10003"/>
      <w:bookmarkEnd w:id="23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Companion Chatbots, Cal. Bus. &amp; Prof. Code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22601(b), (e), 22602(a)–(c), 22603(a)–(d), 22604–22606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(2025). The enacted provisions do not contain the deployment front-door rule proposed here; they demonstrate that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 legislature can designate a relational deployment, identify its operator, and attach enforceable protocol 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reporting duties.</w:t>
      </w:r>
    </w:p>
  </w:footnote>
  <w:footnote w:id="25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52" w:name="x1-15002x1"/>
      <w:bookmarkEnd w:id="25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53" w:name="x1-15003"/>
      <w:bookmarkEnd w:id="253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Bristol-Myers Squibb Co. v. Superior Ct. of Cal.,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582 U.S. 255, 264–68 (2017);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54" w:name="x1-15004"/>
      <w:bookmarkEnd w:id="254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Ford Motor Co. v. Mont.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Eighth Jud. Dist. Ct.,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592 U.S. 351, 359–71 (2021). The model statute therefore distinguishes a control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holder directly subject to the Act from a supplier reached through the operator’s contract and local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record.</w:t>
      </w:r>
    </w:p>
  </w:footnote>
  <w:footnote w:id="26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1" w:name="x1-17002x3"/>
      <w:bookmarkEnd w:id="26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2" w:name="x1-17003"/>
      <w:bookmarkEnd w:id="26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Stewart,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14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3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1076–79. Counterfactual interrogation tests the behavior of a known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decision-time version; Stage One supplies the identity and preservation predicates needed to direct that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tool.</w:t>
      </w:r>
    </w:p>
  </w:footnote>
  <w:footnote w:id="26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8" w:name="x1-18002xE"/>
      <w:bookmarkEnd w:id="26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9" w:name="x1-18003"/>
      <w:bookmarkEnd w:id="26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26(c)(1)(G).</w:t>
      </w:r>
    </w:p>
  </w:footnote>
  <w:footnote w:id="27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76" w:name="x1-20002xG"/>
      <w:bookmarkEnd w:id="27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Berk v. Choy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607 U.S. 187, 191–200 (2026) (reversing dismissal of the diversity action and holding that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Rule of Civil Procedure 8 displaced Del. Code tit. 18,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6853);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id.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at 200–12 (Jackson, J., concurring in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judgment) (locating the conflicts in Rules 3 and 12 rather than Rule 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Hanna v. Plumer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380 U.S. 460, 469–74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(1965);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Shady Grove Orthopedic Associates, P.A. v. Allstate Insurance Co.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559 U.S. 393, 398–410 (2010);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Sibbach v.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Wilson &amp; Co.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312 U.S. 1, 14–16 (1941).</w:t>
      </w:r>
    </w:p>
  </w:footnote>
  <w:footnote w:id="27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79" w:name="x1-20004xG"/>
      <w:bookmarkEnd w:id="27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Fed. R. Civ. P. 26(b)(1), 26(d)(1), 27(a), 34(a), 37(e), 45(a)(2);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Workman v. United States Postal Service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127 F.4th 237, 240–45 (10th Cir. 2025) (affirming denial of a Rule 27 petition that sought to investigate whether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claim existed rather than to perpetuate known testimony).</w:t>
      </w:r>
    </w:p>
  </w:footnote>
  <w:footnote w:id="28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82" w:name="x1-20006xG"/>
      <w:bookmarkEnd w:id="28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1681g(a)(1)–(3) (2024); Fla. Stat.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627.4137(1) (2026); Cal. Lab.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Code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1198.5(b)–(c), (n)–(o) (2026);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American Bank v. City of Menasha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627 F.3d 261, 265–67 (7th Cir. 2010); 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also supra note 13 (collecting state pre-suit discovery proceedings).</w:t>
      </w:r>
    </w:p>
  </w:footnote>
  <w:footnote w:id="28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85" w:name="x1-20008xG"/>
      <w:bookmarkEnd w:id="28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Berk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607 U.S. at 195–96 (distinguishing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Cohen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Cohen v. Beneficial Industrial Loan Corp.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337 U.S. 541,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555–56 (1949).</w:t>
      </w:r>
    </w:p>
  </w:footnote>
  <w:footnote w:id="28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88" w:name="x1-20010xG"/>
      <w:bookmarkEnd w:id="28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Compare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In re Citric Acid Litigation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191 F.3d 1090, 1107–08 (9th Cir. 1999) (applying a legal-right-to-obtain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test), with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Sergeeva v. Tripleton International Ltd.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834 F.3d 1194, 1200–02 (11th Cir. 2016) (affirming, in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proceeding under 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1782, a control finding supported by the affiliated entities’ ordinary course of dealing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and access to responsive information).</w:t>
      </w:r>
    </w:p>
  </w:footnote>
  <w:footnote w:id="29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91" w:name="x1-20012xG"/>
      <w:bookmarkEnd w:id="29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1331, 1332, 1367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TransUnion LLC v. Ramirez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594 U.S. 413, 425–31, 440–42 (2021);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Spokeo, Inc. v. Robins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578 U.S. 330, 339–43 (2016);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Havens Realty Corp. v. Coleman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455 U.S. 363, 373–74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(1982);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Public Citizen v. United States Department of Justice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491 U.S. 440, 449–50 (1989);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Federal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Election Commission v. Akins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524 U.S. 11, 21–25 (1998);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ASARCO Inc. v. Kadish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490 U.S. 605, 617–18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(1989).</w:t>
      </w:r>
    </w:p>
  </w:footnote>
  <w:footnote w:id="29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94" w:name="x1-20014xG"/>
      <w:bookmarkEnd w:id="29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Walker v. Armco Steel Corp.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446 U.S. 740, 750–52 (1980);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Berk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607 U.S. at 205 (Jackson, J., concurring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judgment); Fed. R. Civ. P. 15(c), 37(e).</w:t>
      </w:r>
    </w:p>
  </w:footnote>
  <w:footnote w:id="29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0" w:name="x1-21002xIII"/>
      <w:bookmarkEnd w:id="30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This Article’s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Mobley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docket cutoff is July 2, 2026. At that point, the case had proceeded through provisional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certification of an ADEA collective, discovery remained ongoing, and Workday’s decertification motion was due later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that month. 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1" w:name="x1-21003"/>
      <w:bookmarkEnd w:id="30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Denying Certification of an Interlocutory Appeal at 2,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Mobley v. Workday,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3:23-cv-00770-RFL (N.D. Cal. July 2, 2026), ECF No. 376.</w:t>
      </w:r>
    </w:p>
  </w:footnote>
  <w:footnote w:id="30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5" w:name="x1-22002xA"/>
      <w:bookmarkEnd w:id="30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6" w:name="x1-22003"/>
      <w:bookmarkEnd w:id="306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1165–69, 1174–84;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7" w:name="x1-22004"/>
      <w:bookmarkEnd w:id="30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 Dismissal, ECF No. 244, at 1;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8" w:name="x1-22005"/>
      <w:bookmarkEnd w:id="30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 Charging-Lien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Order, ECF No. 273, at 1.</w:t>
      </w:r>
    </w:p>
  </w:footnote>
  <w:footnote w:id="31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12" w:name="x1-23002x1"/>
      <w:bookmarkEnd w:id="31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First Amended Complaint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¶¶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24–25, 50–72,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 v. Character Techs., Inc.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No. 6:24-cv-01903-ACC-EJK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(M.D. Fla. Nov. 9, 2024), ECF No. 11;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13" w:name="x1-23003"/>
      <w:bookmarkEnd w:id="313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1165–66, 1183–84.</w:t>
      </w:r>
    </w:p>
  </w:footnote>
  <w:footnote w:id="31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18" w:name="x1-24002x2"/>
      <w:bookmarkEnd w:id="3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19" w:name="x1-24003"/>
      <w:bookmarkEnd w:id="31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Julian De Freitas et al., Lessons from an App Update at Replika AI: Identity Discontinuity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 Human–AI Relationships, at 11–25 (Harv. Bus. Sch. Working Paper No. 25-018, 2025),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320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https://www.hbs.edu/ris/Publication%20Files/25-018_d256c104-e5ba-4911-b72c-874c5492166e.pdf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1" w:name="x1-24004"/>
      <w:bookmarkEnd w:id="32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Jaime Banks,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Deletion, Departure, Death: Experiences of AI Companion Loss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41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J. 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oc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&amp; 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ers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 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elationships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3547, 3547–49, 3555–69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2" w:name="x1-24005"/>
      <w:bookmarkEnd w:id="32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Linnea Laestadius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Too Human and Not Human Enough: A Grounded Theory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Analysis of Mental Health Harms from Emotional Dependence on the Social Chatbot Replika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26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N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ew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M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edia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&amp;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S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oc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’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5923, 5926–38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3" w:name="x1-24006"/>
      <w:bookmarkEnd w:id="32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Renwen Zhang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The Dark Side of AI Companionship: A Taxonomy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of Harmful Algorithmic Behaviors in Human–AI Relationships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CHI ’25 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roc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1, 5–19, 22–23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(2025).</w:t>
      </w:r>
    </w:p>
  </w:footnote>
  <w:footnote w:id="32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6" w:name="x1-24008x2"/>
      <w:bookmarkEnd w:id="32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7" w:name="x1-24009"/>
      <w:bookmarkEnd w:id="32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Hannah Rose Kirk et al., Neural Steering Vectors Reveal Dose and Exposure-Dependent Impacts of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Human–AI Relationships, at 2–3, 5–8, 10–11, arXiv:2512.01991v2 (Feb. 18, 2026). The 2026 preprint supports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causal propositions about its experimental exposures. It does not estimate commercial-population incidence,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historical foreseeability, clinical injury, or tort causation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33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34" w:name="x1-25002x3"/>
      <w:bookmarkEnd w:id="33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35" w:name="x1-25003"/>
      <w:bookmarkEnd w:id="335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1167–69.</w:t>
      </w:r>
    </w:p>
  </w:footnote>
  <w:footnote w:id="33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38" w:name="x1-25005x3"/>
      <w:bookmarkEnd w:id="33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Fed. R. Evid. 407;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1169.</w:t>
      </w:r>
    </w:p>
  </w:footnote>
  <w:footnote w:id="34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5" w:name="x1-27002x1"/>
      <w:bookmarkEnd w:id="34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6" w:name="x1-27003"/>
      <w:bookmarkEnd w:id="346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Mobley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740 F. Supp. 3d at 806–08, 815–16. The order granted in part and denied in part a motion to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dismiss; it made no finding of discriminatory operation or ultimate agency.</w:t>
      </w:r>
    </w:p>
  </w:footnote>
  <w:footnote w:id="34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9" w:name="x1-27005x1"/>
      <w:bookmarkEnd w:id="34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50" w:name="x1-27006"/>
      <w:bookmarkEnd w:id="35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Granting Preliminary Collective Certification at 2, 4, 10–13, 18–20,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Mobley v. Workday,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3:23-cv-00770-RFL (N.D. Cal. May 16, 2025), ECF No. 128. Preliminary certification authorized notice 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preserved Workday’s right to seek decertification; it was not a merits or final class ruling.</w:t>
      </w:r>
    </w:p>
  </w:footnote>
  <w:footnote w:id="35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55" w:name="x1-28002x2"/>
      <w:bookmarkEnd w:id="35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56" w:name="x1-28003"/>
      <w:bookmarkEnd w:id="35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Discovery Order at 1–3, 8–10,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Mobley v. Workday,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 3:23-cv-00770-RFL (N.D. Cal. May 29, 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ECF No. 340. The holding concerns the agreement and record before the court; it does not classify every hosted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Workday record.</w:t>
      </w:r>
    </w:p>
  </w:footnote>
  <w:footnote w:id="36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61" w:name="x1-29002x3"/>
      <w:bookmarkEnd w:id="36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62" w:name="x1-29003"/>
      <w:bookmarkEnd w:id="36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Id. at 3, 7–8, 10–11. The order protected identified attorney-directed testing; it did not classify every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evaluation or underlying business fact as privileged.</w:t>
      </w:r>
    </w:p>
  </w:footnote>
  <w:footnote w:id="36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65" w:name="x1-29005x3"/>
      <w:bookmarkEnd w:id="36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66" w:name="x1-29006"/>
      <w:bookmarkEnd w:id="366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Upjohn Co. v. United States,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449 U.S. 383, 395–96 (1981);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67" w:name="x1-29007"/>
      <w:bookmarkEnd w:id="36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26(b)(3), 26(b)(5)(A).</w:t>
      </w:r>
    </w:p>
  </w:footnote>
  <w:footnote w:id="37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2" w:name="x1-30002x4"/>
      <w:bookmarkEnd w:id="37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3" w:name="x1-30003"/>
      <w:bookmarkEnd w:id="37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Concerning HiredScore Features and Customer Identification at 1–2,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Mobley v. Workday,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3:23-cv-00770-RFL (N.D. Cal. July 29, 2025), ECF No. 158.</w:t>
      </w:r>
    </w:p>
  </w:footnote>
  <w:footnote w:id="37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8" w:name="x1-31002x5"/>
      <w:bookmarkEnd w:id="37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9" w:name="x1-31003"/>
      <w:bookmarkEnd w:id="379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Hous. Fed’n of Tchrs., Loc. 2415 v. Hous. Indep. Sch. Dist.,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251 F. Supp. 3d 1168, 1172–73, 1177–78 (S.D.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Tex. 2017).</w:t>
      </w:r>
    </w:p>
  </w:footnote>
  <w:footnote w:id="38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2" w:name="x1-31005x5"/>
      <w:bookmarkEnd w:id="38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3" w:name="x1-31006"/>
      <w:bookmarkEnd w:id="38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Id. at 1179–80, 1185.</w:t>
      </w:r>
    </w:p>
  </w:footnote>
  <w:footnote w:id="38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6" w:name="x1-31008x5"/>
      <w:bookmarkEnd w:id="38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Id. at 1180–83.</w:t>
      </w:r>
    </w:p>
  </w:footnote>
  <w:footnote w:id="39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93" w:name="x1-32002xIV"/>
      <w:bookmarkEnd w:id="39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94" w:name="x1-32003"/>
      <w:bookmarkEnd w:id="39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34(a)(1).</w:t>
      </w:r>
    </w:p>
  </w:footnote>
  <w:footnote w:id="39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0" w:name="x1-33003xA"/>
      <w:bookmarkEnd w:id="40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1" w:name="x1-33004"/>
      <w:bookmarkEnd w:id="401"/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estatement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(T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hird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)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of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orts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: L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iability for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hysical and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E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motional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H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arm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16(a) (Am. L.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Inst. 2010);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2" w:name="x1-33005"/>
      <w:bookmarkEnd w:id="402"/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estatement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(T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hird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)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of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orts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: P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roducts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L</w:t>
      </w:r>
      <w:r>
        <w:rPr>
          <w:rFonts w:ascii="Garamond" w:hAnsi="Garamond" w:cs="Garamond" w:eastAsia="Songti SC"/>
          <w:smallCaps/>
          <w:smallCaps/>
          <w:color w:val="000000"/>
          <w:sz w:val="18"/>
          <w:szCs w:val="18"/>
          <w:lang w:val="en-US" w:eastAsia="zh-CN"/>
        </w:rPr>
        <w:t xml:space="preserve">iability</w:t>
      </w:r>
      <w:r>
        <w:rPr>
          <w:rFonts w:ascii="Garamond" w:hAnsi="Garamond" w:cs="Garamond" w:eastAsia="Songti SC"/>
          <w:smallCap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4(b) (Am. L. Inst. 1998). Jurisdictions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may assign statutory compliance a different effect.</w:t>
      </w:r>
    </w:p>
  </w:footnote>
  <w:footnote w:id="40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7" w:name="x1-34002xB"/>
      <w:bookmarkEnd w:id="40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8" w:name="x1-34003"/>
      <w:bookmarkEnd w:id="40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Maxwell,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7008xD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16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(abstract) (treating the procurement file as a governance record). The front door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adds a nonwaivable affected-person-facing answer and event-specific enforcement path.</w:t>
      </w:r>
    </w:p>
  </w:footnote>
  <w:footnote w:id="41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6" w:name="x1-37002x1"/>
      <w:bookmarkEnd w:id="41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7" w:name="x1-37003"/>
      <w:bookmarkEnd w:id="41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14 C.F.R.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5.1–5.17, 5.21–5.25, 5.53–5.57, 5.71–5.75, 5.95–5.97 (2025).</w:t>
      </w:r>
    </w:p>
  </w:footnote>
  <w:footnote w:id="41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0" w:name="x1-37005x1"/>
      <w:bookmarkEnd w:id="42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1" w:name="x1-37006"/>
      <w:bookmarkEnd w:id="42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Aviation Administration, Aviation Safety Reporting Program, Advisory Circular 00-46F, at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¶¶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2, 6.2,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8.1–8.3, 12.3 (Apr. 2, 2021),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422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https://www.faa.gov/documentLibrary/media/Advisory_Circular/AC_00-46F.pdf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42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7" w:name="x1-38002x2"/>
      <w:bookmarkEnd w:id="42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8" w:name="x1-38003"/>
      <w:bookmarkEnd w:id="42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Trade Commission, Model Order to File a Special Report Regarding AI Companion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Chatbots, File No. P254500, at Definitions &amp; Instructions; specs. 3, 11–17 (Sept. 10, 2025),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429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https://www.ftc.gov/system/files/ftc_gov/pdf/AICompanionChatbot6(b)Order.pdf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The order gathers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information; it is not a finding that a recipient violated law.</w:t>
      </w:r>
    </w:p>
  </w:footnote>
  <w:footnote w:id="43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2" w:name="x1-38005x2"/>
      <w:bookmarkEnd w:id="43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3" w:name="x1-38006"/>
      <w:bookmarkEnd w:id="43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National Institute of Standards and Technology, Artificial Intelligence Risk Management Framework (AI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RMF 1.0), NIST AI 100-1, at GOVERN 1.7, 2.1, 2.3; MAP 3.5; MEASURE 2.5; MANAGE 4.1 (Jan. 2023),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434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https://nvlpubs.nist.gov/nistpubs/ai/NIST.AI.100-1.pdf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43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9" w:name="x1-39002x3"/>
      <w:bookmarkEnd w:id="43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0" w:name="x1-39003"/>
      <w:bookmarkEnd w:id="44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1681b(b)(3)(A) (2024).</w:t>
      </w:r>
    </w:p>
  </w:footnote>
  <w:footnote w:id="44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3" w:name="x1-39005x3"/>
      <w:bookmarkEnd w:id="44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4" w:name="x1-39006"/>
      <w:bookmarkEnd w:id="44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1681m(a)(1), (3)–(4) (2024).</w:t>
      </w:r>
    </w:p>
  </w:footnote>
  <w:footnote w:id="44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7" w:name="x1-39008x3"/>
      <w:bookmarkEnd w:id="44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8" w:name="x1-39009"/>
      <w:bookmarkEnd w:id="44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1681g(a)(1)–(3), 1681h(a), 1681j(b), 1681i(a)(1)–(2), (a)(5),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1681s-2(b)(1) (2024).</w:t>
      </w:r>
    </w:p>
  </w:footnote>
  <w:footnote w:id="45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51" w:name="x1-39011x3"/>
      <w:bookmarkEnd w:id="45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52" w:name="x1-39012"/>
      <w:bookmarkEnd w:id="45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1681m(h)(8)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53" w:name="x1-39013"/>
      <w:bookmarkEnd w:id="453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Perry v. First Nat’l Bank,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459 F.3d 816,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822–23 (7th Cir. 2006).</w:t>
      </w:r>
    </w:p>
  </w:footnote>
  <w:footnote w:id="45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59" w:name="x1-40002xE"/>
      <w:bookmarkEnd w:id="45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60" w:name="x1-40003"/>
      <w:bookmarkEnd w:id="46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Chappidi et al.,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7008xD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16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554–56, 559–64.</w:t>
      </w:r>
    </w:p>
  </w:footnote>
  <w:footnote w:id="46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65" w:name="x1-41002xF"/>
      <w:bookmarkEnd w:id="46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U.S. Sent’g Guidelines Manual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8B2.1(b)(2), (b)(2)(C), (b)(5)(C), (b)(6)–(7), (c) (U.S. Sent’g Comm’n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2025).</w:t>
      </w:r>
    </w:p>
  </w:footnote>
  <w:footnote w:id="46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68" w:name="x1-41004xF"/>
      <w:bookmarkEnd w:id="46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See, e.g.,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69" w:name="x1-41005"/>
      <w:bookmarkEnd w:id="46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Energy Reorganization Act Employee Protection Provision, 42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5851(a)(1)–(2), (b)(2)(B),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(b)(3)–(4)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70" w:name="x1-41006"/>
      <w:bookmarkEnd w:id="470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Whirlpool Corp. v. Marshall,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445 U.S. 1, 9–13 (1980).</w:t>
      </w:r>
    </w:p>
  </w:footnote>
  <w:footnote w:id="47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75" w:name="x1-42002xG"/>
      <w:bookmarkEnd w:id="47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Fed. R. Evid. 407.</w:t>
      </w:r>
    </w:p>
  </w:footnote>
  <w:footnote w:id="48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82" w:name="x1-44002xA"/>
      <w:bookmarkEnd w:id="48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83" w:name="x1-44003"/>
      <w:bookmarkEnd w:id="48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Henderson,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07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2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483, 515–17.</w:t>
      </w:r>
    </w:p>
  </w:footnote>
  <w:footnote w:id="48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88" w:name="x1-45002xB"/>
      <w:bookmarkEnd w:id="48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89" w:name="x1-45003"/>
      <w:bookmarkEnd w:id="489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Zauderer v. Off. of Disciplinary Couns. of the Sup. Ct. of Ohio,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471 U.S. 626, 650–53 (1985);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90" w:name="x1-45004"/>
      <w:bookmarkEnd w:id="490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Nat’l Inst. of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Fam. &amp; Life Advocs. v. Becerra,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585 U.S. 755, 768–79 (2018).</w:t>
      </w:r>
    </w:p>
  </w:footnote>
  <w:footnote w:id="49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93" w:name="x1-45006xB"/>
      <w:bookmarkEnd w:id="49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94" w:name="x1-45007"/>
      <w:bookmarkEnd w:id="494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Ruckelshaus v. Monsanto Co.,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467 U.S. 986, 1001–14 (1984);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95" w:name="x1-45008"/>
      <w:bookmarkEnd w:id="49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26(c)(1)(G).</w:t>
      </w:r>
    </w:p>
  </w:footnote>
  <w:footnote w:id="49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98" w:name="x1-45010xB"/>
      <w:bookmarkEnd w:id="49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Cf.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99" w:name="x1-45011"/>
      <w:bookmarkEnd w:id="499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City of L.A. v. Patel,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576 U.S. 409, 418–23 (2015) (requiring an opportunity for neutral precompliance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review before penalized administrative inspection). A private first-answer request is not the hotel-inspection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regime at issue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Patel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 the case supplies a protective design principle rather than the governing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standard.</w:t>
      </w:r>
    </w:p>
  </w:footnote>
  <w:footnote w:id="50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04" w:name="x1-46002xC"/>
      <w:bookmarkEnd w:id="50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05" w:name="x1-46003"/>
      <w:bookmarkEnd w:id="505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CompuCredit Corp. v. Greenwood,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565 U.S. 95, 98–104 (2012);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06" w:name="x1-46004"/>
      <w:bookmarkEnd w:id="506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Kindred Nursing Ctrs. L.P. v. Clark,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581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U.S. 246, 251–58 (2017);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07" w:name="x1-46005"/>
      <w:bookmarkEnd w:id="507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Preston v. Ferrer,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552 U.S. 346, 359–63 (2008).</w:t>
      </w:r>
    </w:p>
  </w:footnote>
  <w:footnote w:id="50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10" w:name="x1-46007xC"/>
      <w:bookmarkEnd w:id="51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11" w:name="x1-46008"/>
      <w:bookmarkEnd w:id="511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First Options of Chi., Inc. v. Kaplan,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514 U.S. 938, 943–47 (1995).</w:t>
      </w:r>
    </w:p>
  </w:footnote>
  <w:footnote w:id="51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14" w:name="x1-46010xC"/>
      <w:bookmarkEnd w:id="51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15" w:name="x1-46011"/>
      <w:bookmarkEnd w:id="515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Equal Emp’t Opportunity Comm’n v. Waffle House,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534 U.S. 279, 288–96 (2002).</w:t>
      </w:r>
    </w:p>
  </w:footnote>
  <w:footnote w:id="51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18" w:name="x1-46013xC"/>
      <w:bookmarkEnd w:id="5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19" w:name="x1-46014"/>
      <w:bookmarkEnd w:id="51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Arbitration Act, 9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7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20" w:name="x1-46015"/>
      <w:bookmarkEnd w:id="520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CVS Health Corp. v. Vividus, LLC,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878 F.3d 703, 706–09 (9th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Cir. 2017).</w:t>
      </w:r>
    </w:p>
  </w:footnote>
  <w:footnote w:id="52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23" w:name="x1-46017xC"/>
      <w:bookmarkEnd w:id="52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24" w:name="x1-46018"/>
      <w:bookmarkEnd w:id="524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Bristol-Myers Squibb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582 U.S. at 262–68;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25" w:name="x1-46019"/>
      <w:bookmarkEnd w:id="525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Ford Motor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592 U.S. at 358–72.</w:t>
      </w:r>
    </w:p>
  </w:footnote>
  <w:footnote w:id="52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28" w:name="x1-46021xC"/>
      <w:bookmarkEnd w:id="52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29" w:name="x1-46022"/>
      <w:bookmarkEnd w:id="529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Mallory v. Norfolk S. Ry. Co.,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600 U.S. 122, 134–36 (2023).</w:t>
      </w:r>
    </w:p>
  </w:footnote>
  <w:footnote w:id="53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32" w:name="x1-46024xC"/>
      <w:bookmarkEnd w:id="53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33" w:name="x1-46025"/>
      <w:bookmarkEnd w:id="53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1681t(a), (b)(1)(B)–(C), (F)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34" w:name="x1-46026"/>
      <w:bookmarkEnd w:id="53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Preemption of State Laws, 90 Fed. Reg. 48,710, 48,710–15 (Oct. 28, 2025). The agency document is nonbinding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guidance; the statutory text controls.</w:t>
      </w:r>
    </w:p>
  </w:footnote>
  <w:footnote w:id="53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37" w:name="x1-46028xC"/>
      <w:bookmarkEnd w:id="53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38" w:name="x1-46029"/>
      <w:bookmarkEnd w:id="53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Employee Retirement Income Security Act, 29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1144(a)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39" w:name="x1-46030"/>
      <w:bookmarkEnd w:id="539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Gobeille v. Liberty Mut. Ins.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Co.,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577 U.S. 312, 320–26 (2016);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40" w:name="x1-46031"/>
      <w:bookmarkEnd w:id="54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Medical Device Amendments, 21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360k(a)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41" w:name="x1-46032"/>
      <w:bookmarkEnd w:id="541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Riegel v.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Medtronic, Inc.,</w:t>
      </w:r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552 U.S. 312, 321–30 (2008);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42" w:name="x1-46033"/>
      <w:bookmarkEnd w:id="54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Health Insurance Portability and Accountability Act, 42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1320d-7(a)(2)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43" w:name="x1-46034"/>
      <w:bookmarkEnd w:id="54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HIPAA Privacy Rule State-Law Preemption, 45 C.F.R.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160.202–.203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(2025).</w:t>
      </w:r>
    </w:p>
  </w:footnote>
  <w:footnote w:id="54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46" w:name="x1-46036xC"/>
      <w:bookmarkEnd w:id="54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47" w:name="x1-46037"/>
      <w:bookmarkEnd w:id="54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Title VII of the Civil Rights Act of 1964, 42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2000e-7 (2024).</w:t>
      </w:r>
    </w:p>
  </w:footnote>
  <w:footnote w:id="55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52" w:name="x1-47002xD"/>
      <w:bookmarkEnd w:id="55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53" w:name="x1-47003"/>
      <w:bookmarkEnd w:id="553"/>
      <w:r>
        <w:rPr>
          <w:rFonts w:ascii="Garamond" w:hAnsi="Garamond" w:cs="Garamond" w:eastAsia="Songti SC"/>
          <w:i/>
          <w:iCs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1174–80.</w:t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20" w:lineRule="exact"/>
      <w:jc w:val="center"/>
    </w:pPr>
    <w:r>
      <w:rPr>
        <w:rFonts w:ascii="Garamond" w:hAnsi="Garamond" w:cs="Garamond" w:eastAsia="Songti SC"/>
        <w:i/>
        <w:iCs/>
        <w:sz w:val="24"/>
        <w:szCs w:val="24"/>
        <w:lang w:val="en-US" w:eastAsia="zh-CN"/>
      </w:rPr>
      <w:t>Harvard Journal of Law &amp; Technology</w:t>
    </w:r>
  </w:p>
  <w:p>
    <w:pPr>
      <w:spacing w:before="0" w:after="0" w:line="220" w:lineRule="exact"/>
      <w:jc w:val="center"/>
    </w:pPr>
    <w:r>
      <w:rPr>
        <w:rFonts w:ascii="Garamond" w:hAnsi="Garamond" w:cs="Garamond" w:eastAsia="Songti SC"/>
        <w:i/>
        <w:iCs/>
        <w:sz w:val="24"/>
        <w:szCs w:val="24"/>
        <w:lang w:val="en-US" w:eastAsia="zh-CN"/>
      </w:rPr>
      <w:t>(submission draft)</w:t>
    </w:r>
  </w:p>
</w:hdr>
</file>

<file path=word/header2.xml><?xml version="1.0" encoding="utf-8"?>
<w:hdr xmlns:w="http://schemas.openxmlformats.org/wordprocessingml/2006/main">
  <w:p>
    <w:pPr>
      <w:tabs>
        <w:tab w:val="right" w:pos="6480"/>
      </w:tabs>
      <w:spacing w:before="0" w:after="0" w:line="220" w:lineRule="exact"/>
    </w:pPr>
    <w:r>
      <w:rPr>
        <w:rFonts w:ascii="Garamond" w:hAnsi="Garamond" w:cs="Garamond" w:eastAsia="Songti SC"/>
        <w:i/>
        <w:iCs/>
        <w:sz w:val="21"/>
        <w:szCs w:val="21"/>
        <w:lang w:val="en-US" w:eastAsia="zh-CN"/>
      </w:rPr>
      <w:t>Before the Merits</w:t>
    </w:r>
    <w:r>
      <w:rPr>
        <w:rFonts w:ascii="Garamond" w:hAnsi="Garamond" w:cs="Garamond" w:eastAsia="Songti SC"/>
        <w:sz w:val="21"/>
        <w:szCs w:val="21"/>
        <w:lang w:val="en-US" w:eastAsia="zh-CN"/>
      </w:rPr>
      <w:tab/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begin"/>
    </w:r>
    <w:r>
      <w:rPr>
        <w:rFonts w:ascii="Garamond" w:hAnsi="Garamond" w:cs="Garamond" w:eastAsia="Songti SC"/>
        <w:sz w:val="21"/>
        <w:szCs w:val="21"/>
        <w:lang w:val="en-US" w:eastAsia="zh-CN"/>
      </w:rPr>
      <w:instrText xml:space="preserve"> PAGE </w:instrTex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separate"/>
    </w:r>
    <w:r>
      <w:rPr>
        <w:rFonts w:ascii="Garamond" w:hAnsi="Garamond" w:cs="Garamond" w:eastAsia="Songti SC"/>
        <w:sz w:val="21"/>
        <w:szCs w:val="21"/>
        <w:lang w:val="en-US" w:eastAsia="zh-CN"/>
      </w:rPr>
      <w:t>1</w: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end"/>
    </w:r>
  </w:p>
</w:hdr>
</file>

<file path=word/header3.xml><?xml version="1.0" encoding="utf-8"?>
<w:hdr xmlns:w="http://schemas.openxmlformats.org/wordprocessingml/2006/main">
  <w:p>
    <w:pPr>
      <w:tabs>
        <w:tab w:val="center" w:pos="3240"/>
        <w:tab w:val="right" w:pos="6480"/>
      </w:tabs>
      <w:spacing w:before="0" w:after="0" w:line="220" w:lineRule="exact"/>
    </w:pPr>
    <w:r>
      <w:rPr>
        <w:rFonts w:ascii="Garamond" w:hAnsi="Garamond" w:cs="Garamond" w:eastAsia="Songti SC"/>
        <w:sz w:val="21"/>
        <w:szCs w:val="21"/>
        <w:lang w:val="en-US" w:eastAsia="zh-CN"/>
      </w:rPr>
      <w:fldChar w:fldCharType="begin"/>
    </w:r>
    <w:r>
      <w:rPr>
        <w:rFonts w:ascii="Garamond" w:hAnsi="Garamond" w:cs="Garamond" w:eastAsia="Songti SC"/>
        <w:sz w:val="21"/>
        <w:szCs w:val="21"/>
        <w:lang w:val="en-US" w:eastAsia="zh-CN"/>
      </w:rPr>
      <w:instrText xml:space="preserve"> PAGE </w:instrTex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separate"/>
    </w:r>
    <w:r>
      <w:rPr>
        <w:rFonts w:ascii="Garamond" w:hAnsi="Garamond" w:cs="Garamond" w:eastAsia="Songti SC"/>
        <w:sz w:val="21"/>
        <w:szCs w:val="21"/>
        <w:lang w:val="en-US" w:eastAsia="zh-CN"/>
      </w:rPr>
      <w:t>1</w: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end"/>
    </w:r>
    <w:r>
      <w:rPr>
        <w:rFonts w:ascii="Garamond" w:hAnsi="Garamond" w:cs="Garamond" w:eastAsia="Songti SC"/>
        <w:sz w:val="21"/>
        <w:szCs w:val="21"/>
        <w:lang w:val="en-US" w:eastAsia="zh-CN"/>
      </w:rPr>
      <w:tab/>
    </w:r>
    <w:r>
      <w:rPr>
        <w:rFonts w:ascii="Garamond" w:hAnsi="Garamond" w:cs="Garamond" w:eastAsia="Songti SC"/>
        <w:sz w:val="21"/>
        <w:szCs w:val="21"/>
        <w:lang w:val="en-US" w:eastAsia="zh-CN"/>
      </w:rPr>
      <w:t>Harvard Journal of Law &amp; Technology</w:t>
    </w:r>
    <w:r>
      <w:rPr>
        <w:rFonts w:ascii="Garamond" w:hAnsi="Garamond" w:cs="Garamond" w:eastAsia="Songti SC"/>
        <w:sz w:val="21"/>
        <w:szCs w:val="21"/>
        <w:lang w:val="en-US" w:eastAsia="zh-CN"/>
      </w:rPr>
      <w:tab/>
    </w:r>
    <w:r>
      <w:rPr>
        <w:rFonts w:ascii="Garamond" w:hAnsi="Garamond" w:cs="Garamond" w:eastAsia="Songti SC"/>
        <w:sz w:val="21"/>
        <w:szCs w:val="21"/>
        <w:lang w:val="en-US" w:eastAsia="zh-CN"/>
      </w:rPr>
      <w:t>[2026]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evenAndOddHeaders/>
  <w:zoom w:percent="100"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 w:eastAsia="zh-CN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styleId="BodyText" w:type="paragraph">
    <w:name w:val="Body Text"/>
    <w:basedOn w:val="Normal"/>
    <w:link w:val="BodyTextChar"/>
    <w:qFormat/>
    <w:pPr>
      <w:spacing w:before="0" w:after="0" w:line="320" w:lineRule="exact"/>
      <w:ind w:firstLine="36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320" w:lineRule="exact"/>
      <w:ind w:firstLine="36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customStyle="1" w:styleId="Compact" w:type="paragraph">
    <w:name w:val="Compact"/>
    <w:basedOn w:val="BodyText"/>
    <w:qFormat/>
    <w:pPr>
      <w:spacing w:before="0" w:after="0" w:line="280" w:lineRule="exact"/>
      <w:ind w:firstLine="0"/>
      <w:jc w:val="both"/>
    </w:pPr>
    <w:rPr>
      <w:rFonts w:ascii="Garamond" w:hAnsi="Garamond" w:cs="Garamond" w:eastAsia="Songti SC"/>
      <w:color w:val="000000"/>
      <w:sz w:val="22"/>
      <w:szCs w:val="22"/>
      <w:lang w:val="en-US" w:eastAsia="zh-C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before="0" w:after="180" w:line="340" w:lineRule="exact"/>
      <w:ind w:firstLine="0"/>
      <w:contextualSpacing/>
      <w:jc w:val="center"/>
    </w:pPr>
    <w:rPr>
      <w:rFonts w:ascii="Garamond" w:hAnsi="Garamond" w:cs="Garamond" w:eastAsia="Songti SC"/>
      <w:b/>
      <w:bCs/>
      <w:smallCaps/>
      <w:color w:val="000000"/>
      <w:sz w:val="28"/>
      <w:szCs w:val="28"/>
      <w:lang w:val="en-US" w:eastAsia="zh-CN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before="0" w:after="60" w:line="28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4"/>
      <w:szCs w:val="24"/>
      <w:lang w:val="en-US" w:eastAsia="zh-CN"/>
    </w:rPr>
  </w:style>
  <w:style w:styleId="Date" w:type="paragraph">
    <w:name w:val="Date"/>
    <w:basedOn w:val="Normal"/>
    <w:next w:val="BodyText"/>
    <w:qFormat/>
    <w:pPr>
      <w:keepNext/>
      <w:spacing w:before="0" w:after="180" w:line="240" w:lineRule="exact"/>
      <w:ind w:firstLine="0"/>
      <w:jc w:val="center"/>
    </w:pPr>
    <w:rPr>
      <w:rFonts w:ascii="Garamond" w:hAnsi="Garamond" w:cs="Garamond" w:eastAsia="Songti SC"/>
      <w:color w:val="000000"/>
      <w:sz w:val="20"/>
      <w:szCs w:val="20"/>
      <w:lang w:val="en-US" w:eastAsia="zh-CN"/>
    </w:rPr>
  </w:style>
  <w:style w:customStyle="1" w:styleId="AbstractTitle" w:type="paragraph">
    <w:name w:val="Abstract Title"/>
    <w:basedOn w:val="Normal"/>
    <w:next w:val="Abstract"/>
    <w:qFormat/>
    <w:pPr>
      <w:keepNext/>
      <w:spacing w:before="160" w:after="40" w:line="280" w:lineRule="exact"/>
      <w:ind w:firstLine="0"/>
      <w:jc w:val="center"/>
    </w:pPr>
    <w:rPr>
      <w:rFonts w:ascii="Garamond" w:hAnsi="Garamond" w:cs="Garamond" w:eastAsia="Songti SC"/>
      <w:b/>
      <w:bCs/>
      <w:smallCaps/>
      <w:color w:val="000000"/>
      <w:sz w:val="24"/>
      <w:szCs w:val="24"/>
      <w:lang w:val="en-US" w:eastAsia="zh-CN"/>
    </w:rPr>
  </w:style>
  <w:style w:customStyle="1" w:styleId="Abstract" w:type="paragraph">
    <w:name w:val="Abstract"/>
    <w:basedOn w:val="Normal"/>
    <w:next w:val="BodyText"/>
    <w:qFormat/>
    <w:pPr>
      <w:keepLines/>
      <w:spacing w:before="0" w:after="0" w:line="272" w:lineRule="exact"/>
      <w:ind w:firstLine="0"/>
      <w:jc w:val="both"/>
    </w:pPr>
    <w:rPr>
      <w:rFonts w:ascii="Garamond" w:hAnsi="Garamond" w:cs="Garamond" w:eastAsia="Songti SC"/>
      <w:i/>
      <w:iCs/>
      <w:color w:val="000000"/>
      <w:sz w:val="24"/>
      <w:szCs w:val="24"/>
      <w:lang w:val="en-US" w:eastAsia="zh-CN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00" w:after="100" w:line="280" w:lineRule="exact"/>
      <w:ind w:firstLine="0"/>
      <w:jc w:val="left"/>
      <w:outlineLvl w:val="0"/>
    </w:pPr>
    <w:rPr>
      <w:rFonts w:ascii="Garamond" w:hAnsi="Garamond" w:cs="Garamond" w:eastAsia="Songti SC"/>
      <w:smallCaps/>
      <w:color w:val="000000"/>
      <w:sz w:val="24"/>
      <w:szCs w:val="24"/>
      <w:lang w:val="en-US" w:eastAsia="zh-CN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60" w:after="100" w:line="280" w:lineRule="exact"/>
      <w:ind w:firstLine="0"/>
      <w:jc w:val="left"/>
      <w:outlineLvl w:val="1"/>
    </w:pPr>
    <w:rPr>
      <w:rFonts w:ascii="Garamond" w:hAnsi="Garamond" w:cs="Garamond" w:eastAsia="Songti SC"/>
      <w:smallCaps/>
      <w:color w:val="000000"/>
      <w:sz w:val="24"/>
      <w:szCs w:val="24"/>
      <w:lang w:val="en-US" w:eastAsia="zh-CN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00" w:after="100" w:line="280" w:lineRule="exact"/>
      <w:ind w:firstLine="0"/>
      <w:jc w:val="left"/>
      <w:outlineLvl w:val="2"/>
    </w:pPr>
    <w:rPr>
      <w:rFonts w:ascii="Garamond" w:hAnsi="Garamond" w:cs="Garamond" w:eastAsia="Songti SC"/>
      <w:smallCaps/>
      <w:color w:val="000000"/>
      <w:sz w:val="24"/>
      <w:szCs w:val="24"/>
      <w:lang w:val="en-US" w:eastAsia="zh-CN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20" w:after="70" w:line="280" w:lineRule="exact"/>
      <w:ind w:firstLine="0"/>
      <w:jc w:val="left"/>
      <w:outlineLvl w:val="3"/>
    </w:pPr>
    <w:rPr>
      <w:rFonts w:ascii="Garamond" w:hAnsi="Garamond" w:cs="Garamond" w:eastAsia="Songti SC"/>
      <w:smallCaps/>
      <w:color w:val="000000"/>
      <w:sz w:val="22"/>
      <w:szCs w:val="22"/>
      <w:lang w:val="en-US" w:eastAsia="zh-CN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80" w:after="50" w:line="280" w:lineRule="exact"/>
      <w:ind w:firstLine="0"/>
      <w:jc w:val="left"/>
      <w:outlineLvl w:val="4"/>
    </w:pPr>
    <w:rPr>
      <w:rFonts w:ascii="Garamond" w:hAnsi="Garamond" w:cs="Garamond" w:eastAsia="Songti SC"/>
      <w:i/>
      <w:iCs/>
      <w:color w:val="000000"/>
      <w:sz w:val="21"/>
      <w:szCs w:val="21"/>
      <w:lang w:val="en-US" w:eastAsia="zh-CN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before="80" w:after="80" w:line="320" w:lineRule="exact"/>
      <w:ind w:firstLine="0" w:left="360" w:right="36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 w:line="210" w:lineRule="exact"/>
      <w:ind w:firstLine="0"/>
      <w:jc w:val="both"/>
    </w:pPr>
    <w:rPr>
      <w:rFonts w:ascii="Garamond" w:hAnsi="Garamond" w:cs="Garamond" w:eastAsia="Songti SC"/>
      <w:color w:val="000000"/>
      <w:sz w:val="18"/>
      <w:szCs w:val="18"/>
      <w:lang w:val="en-US" w:eastAsia="zh-C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before="40" w:after="40" w:line="210" w:lineRule="exact"/>
      <w:ind w:firstLine="0" w:left="360" w:right="360"/>
      <w:jc w:val="both"/>
    </w:pPr>
    <w:rPr>
      <w:rFonts w:ascii="Garamond" w:hAnsi="Garamond" w:cs="Garamond" w:eastAsia="Songti SC"/>
      <w:color w:val="000000"/>
      <w:sz w:val="18"/>
      <w:szCs w:val="18"/>
      <w:lang w:val="en-US" w:eastAsia="zh-C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spacing w:before="0" w:after="0" w:line="320" w:lineRule="exact"/>
      <w:ind w:firstLine="0" w:left="360"/>
      <w:jc w:val="left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customStyle="1" w:styleId="Definition" w:type="paragraph">
    <w:name w:val="Definition"/>
    <w:basedOn w:val="Normal"/>
    <w:pPr>
      <w:spacing w:before="0" w:after="0" w:line="320" w:lineRule="exact"/>
      <w:ind w:firstLine="0" w:left="72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styleId="Caption" w:type="paragraph">
    <w:name w:val="Caption"/>
    <w:basedOn w:val="Normal"/>
    <w:link w:val="BodyTextChar"/>
    <w:pPr>
      <w:spacing w:before="80" w:after="100" w:line="24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0"/>
      <w:szCs w:val="20"/>
      <w:lang w:val="en-US" w:eastAsia="zh-CN"/>
    </w:rPr>
  </w:style>
  <w:style w:customStyle="1" w:styleId="TableCaption" w:type="paragraph">
    <w:name w:val="Table Caption"/>
    <w:basedOn w:val="Normal"/>
    <w:pPr>
      <w:spacing w:before="80" w:after="100" w:line="24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0"/>
      <w:szCs w:val="20"/>
      <w:lang w:val="en-US" w:eastAsia="zh-CN"/>
    </w:rPr>
  </w:style>
  <w:style w:customStyle="1" w:styleId="ImageCaption" w:type="paragraph">
    <w:name w:val="Image Caption"/>
    <w:basedOn w:val="Normal"/>
    <w:pPr>
      <w:spacing w:before="80" w:after="100" w:line="24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0"/>
      <w:szCs w:val="20"/>
      <w:lang w:val="en-US" w:eastAsia="zh-CN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Garamond" w:hAnsi="Garamond" w:cs="Garamond" w:eastAsia="Songti SC"/>
      <w:color w:val="000000"/>
      <w:sz w:val="18"/>
      <w:szCs w:val="18"/>
      <w:vertAlign w:val="superscript"/>
      <w:lang w:val="en-US" w:eastAsia="zh-CN"/>
    </w:rPr>
  </w:style>
  <w:style w:styleId="Hyperlink" w:type="character">
    <w:name w:val="Hyperlink"/>
    <w:basedOn w:val="BodyTextChar"/>
    <w:rPr>
      <w:rFonts w:ascii="Garamond" w:hAnsi="Garamond" w:cs="Garamond" w:eastAsia="Songti SC"/>
      <w:color w:val="0000FF"/>
      <w:sz w:val="20"/>
      <w:szCs w:val="20"/>
      <w:u w:val="single"/>
      <w:lang w:val="en-US" w:eastAsia="zh-CN"/>
    </w:rPr>
  </w:style>
  <w:style w:styleId="TOCHeading" w:type="paragraph">
    <w:name w:val="TOC Heading"/>
    <w:basedOn w:val="Normal"/>
    <w:next w:val="BodyText"/>
    <w:uiPriority w:val="39"/>
    <w:unhideWhenUsed/>
    <w:qFormat/>
    <w:pPr>
      <w:keepNext/>
      <w:spacing w:before="0" w:after="160" w:line="280" w:lineRule="exact"/>
      <w:ind w:firstLine="0"/>
      <w:jc w:val="center"/>
      <w:outlineLvl w:val="9"/>
    </w:pPr>
    <w:rPr>
      <w:rFonts w:ascii="Garamond" w:hAnsi="Garamond" w:cs="Garamond" w:eastAsia="Songti SC"/>
      <w:b/>
      <w:bCs/>
      <w:smallCaps/>
      <w:color w:val="000000"/>
      <w:sz w:val="24"/>
      <w:szCs w:val="24"/>
      <w:lang w:val="en-US" w:eastAsia="zh-CN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styleId="TOC1" w:customStyle="1">
    <w:name w:val="TOC 1"/>
    <w:basedOn w:val="Normal"/>
    <w:pPr>
      <w:spacing w:before="0" w:after="0" w:line="240" w:lineRule="exact"/>
      <w:ind w:firstLine="0"/>
      <w:jc w:val="left"/>
    </w:pPr>
    <w:rPr>
      <w:rFonts w:ascii="Garamond" w:hAnsi="Garamond" w:cs="Garamond" w:eastAsia="Songti SC"/>
      <w:color w:val="000000"/>
      <w:sz w:val="20"/>
      <w:szCs w:val="20"/>
      <w:lang w:val="en-US" w:eastAsia="zh-CN"/>
    </w:rPr>
  </w:style>
  <w:style w:type="character" w:styleId="TOCLink" w:customStyle="1">
    <w:name w:val="TOC Link"/>
    <w:basedOn w:val="DefaultParagraphFont"/>
    <w:rPr>
      <w:rFonts w:ascii="Garamond" w:hAnsi="Garamond" w:cs="Garamond" w:eastAsia="Songti SC"/>
      <w:color w:val="000000"/>
      <w:sz w:val="20"/>
      <w:szCs w:val="20"/>
      <w:u w:val="none"/>
      <w:lang w:val="en-US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95" Target="numbering.xml" /><Relationship Type="http://schemas.openxmlformats.org/officeDocument/2006/relationships/styles" Id="rId94" Target="styles.xml" /><Relationship Type="http://schemas.openxmlformats.org/officeDocument/2006/relationships/settings" Id="rId93" Target="settings.xml" /><Relationship Type="http://schemas.openxmlformats.org/officeDocument/2006/relationships/webSettings" Id="rId92" Target="webSettings.xml" /><Relationship Type="http://schemas.openxmlformats.org/officeDocument/2006/relationships/fontTable" Id="rId91" Target="fontTable.xml" /><Relationship Type="http://schemas.openxmlformats.org/officeDocument/2006/relationships/theme" Id="rId90" Target="theme/theme1.xml" /><Relationship Type="http://schemas.openxmlformats.org/officeDocument/2006/relationships/footnotes" Id="rId89" Target="footnotes.xml" /><Relationship Type="http://schemas.openxmlformats.org/officeDocument/2006/relationships/comments" Id="rId88" Target="comments.xml" /><Relationship Type="http://schemas.openxmlformats.org/officeDocument/2006/relationships/image" Id="rId226" Target="media/rId226.png" /><Relationship Type="http://schemas.openxmlformats.org/officeDocument/2006/relationships/hyperlink" Id="rId119" Target="https://arxiv.org/abs/2607.23888" TargetMode="External" /><Relationship Type="http://schemas.openxmlformats.org/officeDocument/2006/relationships/hyperlink" Id="rId223" Target="https://doi.org/10.1145/3544548.3581407" TargetMode="External" /><Relationship Type="http://schemas.openxmlformats.org/officeDocument/2006/relationships/hyperlink" Id="rId124" Target="https://doi.org/10.1145/3805689.3806532" TargetMode="External" /><Relationship Type="http://schemas.openxmlformats.org/officeDocument/2006/relationships/hyperlink" Id="rId127" Target="https://doi.org/10.1145/3805689.3812219" TargetMode="External" /><Relationship Type="http://schemas.openxmlformats.org/officeDocument/2006/relationships/hyperlink" Id="rId434" Target="https://nvlpubs.nist.gov/nistpubs/ai/NIST.AI.100-1.pdf" TargetMode="External" /><Relationship Type="http://schemas.openxmlformats.org/officeDocument/2006/relationships/hyperlink" Id="rId221" Target="https://psas.scripts.mit.edu/home/get_file.php?name=STPA_handbook.pdf" TargetMode="External" /><Relationship Type="http://schemas.openxmlformats.org/officeDocument/2006/relationships/hyperlink" Id="rId208" Target="https://ssrn.com/abstract=7097518" TargetMode="External" /><Relationship Type="http://schemas.openxmlformats.org/officeDocument/2006/relationships/hyperlink" Id="rId422" Target="https://www.faa.gov/documentLibrary/media/Advisory_Circular/AC_00-46F.pdf" TargetMode="External" /><Relationship Type="http://schemas.openxmlformats.org/officeDocument/2006/relationships/hyperlink" Id="rId429" Target="https://www.ftc.gov/system/files/ftc_gov/pdf/AICompanionChatbot6(b)Order.pdf" TargetMode="External" /><Relationship Type="http://schemas.openxmlformats.org/officeDocument/2006/relationships/hyperlink" Id="rId320" Target="https://www.hbs.edu/ris/Publication%20Files/25-018_d256c104-e5ba-4911-b72c-874c5492166e.pdf" TargetMode="External" /><Relationship Id="rIdHarvardJoltFirst" Type="http://schemas.openxmlformats.org/officeDocument/2006/relationships/header" Target="header1.xml" /><Relationship Id="rIdHarvardJoltOdd" Type="http://schemas.openxmlformats.org/officeDocument/2006/relationships/header" Target="header2.xml" /><Relationship Id="rIdHarvardJoltEven" Type="http://schemas.openxmlformats.org/officeDocument/2006/relationships/header" Target="header3.xm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arxiv.org/abs/2607.23888" TargetMode="External" /><Relationship Type="http://schemas.openxmlformats.org/officeDocument/2006/relationships/hyperlink" Id="rId223" Target="https://doi.org/10.1145/3544548.3581407" TargetMode="External" /><Relationship Type="http://schemas.openxmlformats.org/officeDocument/2006/relationships/hyperlink" Id="rId124" Target="https://doi.org/10.1145/3805689.3806532" TargetMode="External" /><Relationship Type="http://schemas.openxmlformats.org/officeDocument/2006/relationships/hyperlink" Id="rId127" Target="https://doi.org/10.1145/3805689.3812219" TargetMode="External" /><Relationship Type="http://schemas.openxmlformats.org/officeDocument/2006/relationships/hyperlink" Id="rId434" Target="https://nvlpubs.nist.gov/nistpubs/ai/NIST.AI.100-1.pdf" TargetMode="External" /><Relationship Type="http://schemas.openxmlformats.org/officeDocument/2006/relationships/hyperlink" Id="rId221" Target="https://psas.scripts.mit.edu/home/get_file.php?name=STPA_handbook.pdf" TargetMode="External" /><Relationship Type="http://schemas.openxmlformats.org/officeDocument/2006/relationships/hyperlink" Id="rId208" Target="https://ssrn.com/abstract=7097518" TargetMode="External" /><Relationship Type="http://schemas.openxmlformats.org/officeDocument/2006/relationships/hyperlink" Id="rId422" Target="https://www.faa.gov/documentLibrary/media/Advisory_Circular/AC_00-46F.pdf" TargetMode="External" /><Relationship Type="http://schemas.openxmlformats.org/officeDocument/2006/relationships/hyperlink" Id="rId429" Target="https://www.ftc.gov/system/files/ftc_gov/pdf/AICompanionChatbot6(b)Order.pdf" TargetMode="External" /><Relationship Type="http://schemas.openxmlformats.org/officeDocument/2006/relationships/hyperlink" Id="rId320" Target="https://www.hbs.edu/ris/Publication%20Files/25-018_d256c104-e5ba-4911-b72c-874c5492166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Before the Merits: A Deployment Front Door for High-Impact AI Litigation</dc:title>
  <dc:creator>Anonymous</dc:creator>
  <dc:language>en-US</dc:language>
  <cp:keywords/>
  <dcterms:created xsi:type="dcterms:W3CDTF">2026-08-29T13:19:39Z</dcterms:created>
  <dcterms:modified xsi:type="dcterms:W3CDTF">2026-08-29T13:19:39Z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what-is-ai-for-courts.tex</vt:lpwstr>
  </property>
  <property fmtid="{D5CDD505-2E9C-101B-9397-08002B2CF9AE}" pid="4" name="viewport">
    <vt:lpwstr>width=device-width,initial-scale=1</vt:lpwstr>
  </property>
</Properties>
</file>