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fc888df908b4d9bbddfb7b36fb210135c6e5dd"/>
    <w:p>
      <w:pPr>
        <w:pStyle w:val="Heading1"/>
        <w:wordWrap w:val="off"/>
      </w:pPr>
      <w:r>
        <w:t xml:space="preserve">Who Controls, Who Answers: Liability in the AI Control Stack</w:t>
      </w:r>
    </w:p>
    <w:p>
      <w:pPr>
        <w:pStyle w:val="FirstParagraph"/>
        <w:wordWrap w:val="off"/>
      </w:pPr>
      <w:r>
        <w:rPr>
          <w:rFonts w:ascii="Noto Serif CJK SC" w:hAnsi="Noto Serif CJK SC" w:eastAsia="Noto Serif CJK SC" w:cs="Noto Serif CJK SC"/>
          <w:lang w:val="en-US" w:eastAsia="zh-CN"/>
        </w:rPr>
        <w:t xml:space="preserve">匿名</w:t>
      </w:r>
    </w:p>
    <w:p>
      <w:pPr>
        <w:pStyle w:val="BodyText"/>
        <w:wordWrap w:val="off"/>
      </w:pPr>
      <w:r>
        <w:rPr>
          <w:rFonts w:ascii="Noto Serif CJK SC" w:hAnsi="Noto Serif CJK SC" w:eastAsia="Noto Serif CJK SC" w:cs="Noto Serif CJK SC"/>
          <w:lang w:val="en-US" w:eastAsia="zh-CN"/>
        </w:rPr>
        <w:t xml:space="preserve">投稿稿</w:t>
      </w:r>
    </w:p>
    <w:bookmarkEnd w:id="9"/>
    <w:bookmarkStart w:id="10" w:name="abstract"/>
    <w:p>
      <w:pPr>
        <w:pStyle w:val="Heading3"/>
        <w:wordWrap w:val="off"/>
      </w:pPr>
      <w:r>
        <w:rPr>
          <w:rFonts w:ascii="Noto Sans CJK SC" w:hAnsi="Noto Sans CJK SC" w:eastAsia="Noto Sans CJK SC" w:cs="Noto Sans CJK SC"/>
          <w:lang w:val="en-US" w:eastAsia="zh-CN"/>
        </w:rPr>
        <w:t xml:space="preserve">摘要</w:t>
      </w:r>
    </w:p>
    <w:p>
      <w:pPr>
        <w:pStyle w:val="BlockText"/>
        <w:wordWrap w:val="off"/>
      </w:pPr>
      <w:r>
        <w:rPr>
          <w:rFonts w:ascii="Noto Serif CJK SC" w:hAnsi="Noto Serif CJK SC" w:eastAsia="Noto Serif CJK SC" w:cs="Noto Serif CJK SC"/>
          <w:lang w:val="en-US" w:eastAsia="zh-CN"/>
        </w:rPr>
        <w:t xml:space="preserve">人工智能责任面临一个先后次序难题。请求权人能够看到系统输出或自动化决定，但用于识别责任行为的事实——已部署的模型、系统指令、工具、风险报告、批准记录以及停止运行的权能——却分散掌握在不同企业手中，并被隔在证据开示程序之后。传统法律或许已经提供注意标准，但请求权人可能必须先找准控制者，才能取得足以揭示各方控制范围的记录。</w:t>
      </w:r>
    </w:p>
    <w:p>
      <w:pPr>
        <w:pStyle w:val="BlockText"/>
        <w:wordWrap w:val="off"/>
      </w:pPr>
      <w:r>
        <w:rPr>
          <w:rFonts w:ascii="Noto Serif CJK SC" w:hAnsi="Noto Serif CJK SC" w:eastAsia="Noto Serif CJK SC" w:cs="Noto Serif CJK SC"/>
          <w:lang w:val="en-US" w:eastAsia="zh-CN"/>
        </w:rPr>
        <w:t xml:space="preserve">本文以部署为中心重新界定这一问题。本文提出的部署控制级联框架，描绘模型提供者、应用部署者与运营机构之间目标、资源、配置、反馈和停止运行权能的分布。该框架将系统事实和组织事实转化为有关授权、通知、可预见性、可行预防措施、因果关系与证据保全的证据。关系型人工智能的实证研究以及 Garcia v. Character Technologies 一案诉状所载事实表明，决定法律上相关风险的，是这些变量，而不是孤立的模型本身。</w:t>
      </w:r>
    </w:p>
    <w:p>
      <w:pPr>
        <w:pStyle w:val="BlockText"/>
        <w:wordWrap w:val="off"/>
      </w:pPr>
      <w:r>
        <w:rPr>
          <w:rFonts w:ascii="Noto Serif CJK SC" w:hAnsi="Noto Serif CJK SC" w:eastAsia="Noto Serif CJK SC" w:cs="Noto Serif CJK SC"/>
          <w:lang w:val="en-US" w:eastAsia="zh-CN"/>
        </w:rPr>
        <w:t xml:space="preserve">随后，本文针对特定高影响部署提出一种双层责任架构。在对外层，拥有实质性部署控制力的企业负有不得转移的部署义务，充当面向请求权人的对外责任中心，并须在请求权人作出达到门槛的诉状陈述后，识别相关主体并开示部署记录。在内部层，强制性责任章程须在损害发生前明确风险归属、批准程序、受保护的逐级上报、停止运行权、记录保存与追偿机制。该方案保留一切实体法构成要件和抗辩；它提供的是责任入口，而不是一概适用的严格责任。与之配套的反替代原则进一步规定：人工智能可供使用这一事实，本身不能免除独立存在的注意义务、程序义务、合理便利义务、专业判断义务或公共服务义务。两项规则均无须赋予人工智能法律人格。概率性运行改变的是控制证据的形态，而不是由法律上可问责的人或组织承担责任的必要性。</w:t>
      </w:r>
    </w:p>
    <w:bookmarkEnd w:id="10"/>
    <w:bookmarkStart w:id="12" w:name="contents"/>
    <w:p>
      <w:pPr>
        <w:pStyle w:val="BlockText"/>
        <w:wordWrap w:val="off"/>
      </w:pPr>
      <w:r>
        <w:rPr>
          <w:rFonts w:ascii="Noto Serif CJK SC" w:hAnsi="Noto Serif CJK SC" w:eastAsia="Noto Serif CJK SC" w:cs="Noto Serif CJK SC"/>
          <w:b/>
          <w:lang w:val="en-US" w:eastAsia="zh-CN"/>
        </w:rPr>
        <w:t xml:space="preserve">关键词：</w:t>
      </w:r>
      <w:r>
        <w:rPr>
          <w:rFonts w:ascii="Noto Serif CJK SC" w:hAnsi="Noto Serif CJK SC" w:eastAsia="Noto Serif CJK SC" w:cs="Noto Serif CJK SC"/>
          <w:lang w:val="en-US" w:eastAsia="zh-CN"/>
        </w:rPr>
        <w:t xml:space="preserve">人工智能责任；部署控制级联；人工智能控制栈；不得转移的部署义务；以企业为对象的求偿路径；反替代原则</w:t>
      </w:r>
    </w:p>
    <w:p>
      <w:pPr>
        <w:pStyle w:val="Heading3"/>
        <w:wordWrap w:val="off"/>
      </w:pPr>
      <w:bookmarkStart w:id="11" w:name="x1-1000"/>
      <w:r>
        <w:rPr>
          <w:rFonts w:ascii="Noto Sans CJK SC" w:hAnsi="Noto Sans CJK SC" w:eastAsia="Noto Sans CJK SC" w:cs="Noto Sans CJK SC"/>
          <w:lang w:val="en-US" w:eastAsia="zh-CN"/>
        </w:rPr>
        <w:t xml:space="preserve">目录</w:t>
      </w:r>
      <w:bookmarkEnd w:id="11"/>
    </w:p>
    <w:p>
      <w:pPr>
        <w:pStyle w:val="FirstParagraph"/>
        <w:wordWrap w:val="off"/>
      </w:pPr>
      <w:hyperlink w:anchor="introduction1">
        <w:r>
          <w:rPr>
            <w:rStyle w:val="Hyperlink"/>
            <w:rFonts w:ascii="Noto Serif CJK SC" w:hAnsi="Noto Serif CJK SC" w:eastAsia="Noto Serif CJK SC" w:cs="Noto Serif CJK SC"/>
            <w:lang w:val="en-US" w:eastAsia="zh-CN"/>
          </w:rPr>
          <w:t xml:space="preserve">引言</w:t>
        </w:r>
      </w:hyperlink>
      <w:r>
        <w:br/>
      </w:r>
      <w:hyperlink w:anchor="the-deploymentcontrol-cascade">
        <w:r>
          <w:rPr>
            <w:rStyle w:val="Hyperlink"/>
            <w:rFonts w:ascii="Noto Serif CJK SC" w:hAnsi="Noto Serif CJK SC" w:eastAsia="Noto Serif CJK SC" w:cs="Noto Serif CJK SC"/>
            <w:lang w:val="en-US" w:eastAsia="zh-CN"/>
          </w:rPr>
          <w:t xml:space="preserve">一　部署控制级联</w:t>
        </w:r>
      </w:hyperlink>
      <w:r>
        <w:br/>
      </w:r>
      <w:hyperlink w:anchor="Xd1e4953fe4e8faa520456cd4fe082a4f3da9e1e">
        <w:r>
          <w:rPr>
            <w:rStyle w:val="Hyperlink"/>
            <w:rFonts w:ascii="Noto Serif CJK SC" w:hAnsi="Noto Serif CJK SC" w:eastAsia="Noto Serif CJK SC" w:cs="Noto Serif CJK SC"/>
            <w:lang w:val="en-US" w:eastAsia="zh-CN"/>
          </w:rPr>
          <w:t xml:space="preserve">（一）部分可观察性不等于责任真空</w:t>
        </w:r>
      </w:hyperlink>
      <w:r>
        <w:br/>
      </w:r>
      <w:hyperlink w:anchor="X8e8278c3afec65b319e212bf92961587b37f2ac">
        <w:r>
          <w:rPr>
            <w:rStyle w:val="Hyperlink"/>
            <w:rFonts w:ascii="Noto Serif CJK SC" w:hAnsi="Noto Serif CJK SC" w:eastAsia="Noto Serif CJK SC" w:cs="Noto Serif CJK SC"/>
            <w:lang w:val="en-US" w:eastAsia="zh-CN"/>
          </w:rPr>
          <w:t xml:space="preserve">（二）作为部署专用 STPA 图谱的控制级联</w:t>
        </w:r>
      </w:hyperlink>
      <w:r>
        <w:br/>
      </w:r>
      <w:hyperlink w:anchor="X109aad8c40c2d3de6c54da5ed04223d38b9c781">
        <w:r>
          <w:rPr>
            <w:rStyle w:val="Hyperlink"/>
            <w:rFonts w:ascii="Noto Serif CJK SC" w:hAnsi="Noto Serif CJK SC" w:eastAsia="Noto Serif CJK SC" w:cs="Noto Serif CJK SC"/>
            <w:lang w:val="en-US" w:eastAsia="zh-CN"/>
          </w:rPr>
          <w:t xml:space="preserve">（三）将工程变量转化为法律事实</w:t>
        </w:r>
      </w:hyperlink>
      <w:r>
        <w:br/>
      </w:r>
      <w:hyperlink w:anchor="stress-tests-across-mixed-deployments">
        <w:r>
          <w:rPr>
            <w:rStyle w:val="Hyperlink"/>
            <w:rFonts w:ascii="Noto Serif CJK SC" w:hAnsi="Noto Serif CJK SC" w:eastAsia="Noto Serif CJK SC" w:cs="Noto Serif CJK SC"/>
            <w:lang w:val="en-US" w:eastAsia="zh-CN"/>
          </w:rPr>
          <w:t xml:space="preserve">（四）混合部署场景下的压力测试</w:t>
        </w:r>
      </w:hyperlink>
      <w:r>
        <w:br/>
      </w:r>
      <w:hyperlink w:anchor="Xbd33ba46f330cfc563c26c86ec5de0a966d3c55">
        <w:r>
          <w:rPr>
            <w:rStyle w:val="Hyperlink"/>
            <w:rFonts w:ascii="Noto Serif CJK SC" w:hAnsi="Noto Serif CJK SC" w:eastAsia="Noto Serif CJK SC" w:cs="Noto Serif CJK SC"/>
            <w:lang w:val="en-US" w:eastAsia="zh-CN"/>
          </w:rPr>
          <w:t xml:space="preserve">二　不借助人工法律主体的责任体系</w:t>
        </w:r>
      </w:hyperlink>
      <w:r>
        <w:br/>
      </w:r>
      <w:hyperlink w:anchor="X290944cd70ae12b116f2cdce7ad894ff8ae3cee">
        <w:r>
          <w:rPr>
            <w:rStyle w:val="Hyperlink"/>
            <w:rFonts w:ascii="Noto Serif CJK SC" w:hAnsi="Noto Serif CJK SC" w:eastAsia="Noto Serif CJK SC" w:cs="Noto Serif CJK SC"/>
            <w:lang w:val="en-US" w:eastAsia="zh-CN"/>
          </w:rPr>
          <w:t xml:space="preserve">（一）法律主体地位是一种制度结构</w:t>
        </w:r>
      </w:hyperlink>
      <w:r>
        <w:br/>
      </w:r>
      <w:hyperlink w:anchor="X9d0bd04bf5fc7a23777db241d921b80b29ec205">
        <w:r>
          <w:rPr>
            <w:rStyle w:val="Hyperlink"/>
            <w:rFonts w:ascii="Noto Serif CJK SC" w:hAnsi="Noto Serif CJK SC" w:eastAsia="Noto Serif CJK SC" w:cs="Noto Serif CJK SC"/>
            <w:lang w:val="en-US" w:eastAsia="zh-CN"/>
          </w:rPr>
          <w:t xml:space="preserve">（二）最有力的法律人格理论仍需法律架构支撑</w:t>
        </w:r>
      </w:hyperlink>
      <w:r>
        <w:br/>
      </w:r>
      <w:hyperlink w:anchor="X98fa690068d594cf6be0a89f7316f35b00c826f">
        <w:r>
          <w:rPr>
            <w:rStyle w:val="Hyperlink"/>
            <w:rFonts w:ascii="Noto Serif CJK SC" w:hAnsi="Noto Serif CJK SC" w:eastAsia="Noto Serif CJK SC" w:cs="Noto Serif CJK SC"/>
            <w:lang w:val="en-US" w:eastAsia="zh-CN"/>
          </w:rPr>
          <w:t xml:space="preserve">（三）自动化工具机制将注意力引向部署</w:t>
        </w:r>
      </w:hyperlink>
      <w:r>
        <w:br/>
      </w:r>
      <w:hyperlink w:anchor="X265e7bcf8f0f250edf167b5077a7b59b5a14079">
        <w:r>
          <w:rPr>
            <w:rStyle w:val="Hyperlink"/>
            <w:rFonts w:ascii="Noto Serif CJK SC" w:hAnsi="Noto Serif CJK SC" w:eastAsia="Noto Serif CJK SC" w:cs="Noto Serif CJK SC"/>
            <w:lang w:val="en-US" w:eastAsia="zh-CN"/>
          </w:rPr>
          <w:t xml:space="preserve">（四）功能多元主义存在主体地位边界</w:t>
        </w:r>
      </w:hyperlink>
      <w:r>
        <w:br/>
      </w:r>
      <w:hyperlink w:anchor="why-classification-matters">
        <w:r>
          <w:rPr>
            <w:rStyle w:val="Hyperlink"/>
            <w:rFonts w:ascii="Noto Serif CJK SC" w:hAnsi="Noto Serif CJK SC" w:eastAsia="Noto Serif CJK SC" w:cs="Noto Serif CJK SC"/>
            <w:lang w:val="en-US" w:eastAsia="zh-CN"/>
          </w:rPr>
          <w:t xml:space="preserve">三　分类为何重要</w:t>
        </w:r>
      </w:hyperlink>
      <w:r>
        <w:br/>
      </w:r>
      <w:hyperlink w:anchor="relational-harm-mental-health-and-life">
        <w:r>
          <w:rPr>
            <w:rStyle w:val="Hyperlink"/>
            <w:rFonts w:ascii="Noto Serif CJK SC" w:hAnsi="Noto Serif CJK SC" w:eastAsia="Noto Serif CJK SC" w:cs="Noto Serif CJK SC"/>
            <w:lang w:val="en-US" w:eastAsia="zh-CN"/>
          </w:rPr>
          <w:t xml:space="preserve">（一）关系性伤害、心理健康与生命</w:t>
        </w:r>
      </w:hyperlink>
      <w:r>
        <w:br/>
      </w:r>
      <w:hyperlink w:anchor="copyright-as-a-consistency-test">
        <w:r>
          <w:rPr>
            <w:rStyle w:val="Hyperlink"/>
            <w:rFonts w:ascii="Noto Serif CJK SC" w:hAnsi="Noto Serif CJK SC" w:eastAsia="Noto Serif CJK SC" w:cs="Noto Serif CJK SC"/>
            <w:lang w:val="en-US" w:eastAsia="zh-CN"/>
          </w:rPr>
          <w:t xml:space="preserve">（二）以版权为一致性检验</w:t>
        </w:r>
      </w:hyperlink>
      <w:r>
        <w:br/>
      </w:r>
      <w:hyperlink w:anchor="X79ff30079c0ecc412fdd109473901c14a62cacb">
        <w:r>
          <w:rPr>
            <w:rStyle w:val="Hyperlink"/>
            <w:rFonts w:ascii="Noto Serif CJK SC" w:hAnsi="Noto Serif CJK SC" w:eastAsia="Noto Serif CJK SC" w:cs="Noto Serif CJK SC"/>
            <w:lang w:val="en-US" w:eastAsia="zh-CN"/>
          </w:rPr>
          <w:t xml:space="preserve">（三）拟人化营销生成归责事实</w:t>
        </w:r>
      </w:hyperlink>
      <w:r>
        <w:br/>
      </w:r>
      <w:hyperlink w:anchor="X7561346409bcdd715538e7334584863e207108b">
        <w:r>
          <w:rPr>
            <w:rStyle w:val="Hyperlink"/>
            <w:rFonts w:ascii="Noto Serif CJK SC" w:hAnsi="Noto Serif CJK SC" w:eastAsia="Noto Serif CJK SC" w:cs="Noto Serif CJK SC"/>
            <w:lang w:val="en-US" w:eastAsia="zh-CN"/>
          </w:rPr>
          <w:t xml:space="preserve">四　人工智能部署的责任架构</w:t>
        </w:r>
      </w:hyperlink>
      <w:r>
        <w:br/>
      </w:r>
      <w:hyperlink w:anchor="X57b76efeed6ddd03f77fb110464f3d243d712f4">
        <w:r>
          <w:rPr>
            <w:rStyle w:val="Hyperlink"/>
            <w:rFonts w:ascii="Noto Serif CJK SC" w:hAnsi="Noto Serif CJK SC" w:eastAsia="Noto Serif CJK SC" w:cs="Noto Serif CJK SC"/>
            <w:lang w:val="en-US" w:eastAsia="zh-CN"/>
          </w:rPr>
          <w:t xml:space="preserve">（一）企业作为面向请求权人的对外责任中心</w:t>
        </w:r>
      </w:hyperlink>
      <w:r>
        <w:br/>
      </w:r>
      <w:hyperlink w:anchor="X31b1f5287da4dfdc50408fc12fdf172b6ace5b7">
        <w:r>
          <w:rPr>
            <w:rStyle w:val="Hyperlink"/>
            <w:rFonts w:ascii="Noto Serif CJK SC" w:hAnsi="Noto Serif CJK SC" w:eastAsia="Noto Serif CJK SC" w:cs="Noto Serif CJK SC"/>
            <w:lang w:val="en-US" w:eastAsia="zh-CN"/>
          </w:rPr>
          <w:t xml:space="preserve">（二）应对最有力质疑：以企业为对象的求偿路径</w:t>
        </w:r>
      </w:hyperlink>
      <w:r>
        <w:br/>
      </w:r>
      <w:hyperlink w:anchor="the-rule-in-operation-garcia">
        <w:r>
          <w:rPr>
            <w:rStyle w:val="Hyperlink"/>
            <w:rFonts w:ascii="Noto Serif CJK SC" w:hAnsi="Noto Serif CJK SC" w:eastAsia="Noto Serif CJK SC" w:cs="Noto Serif CJK SC"/>
            <w:lang w:val="en-US" w:eastAsia="zh-CN"/>
          </w:rPr>
          <w:t xml:space="preserve">（三）规则的具体适用：Garcia 案</w:t>
        </w:r>
      </w:hyperlink>
      <w:r>
        <w:br/>
      </w:r>
      <w:hyperlink w:anchor="X31a4ca865c453c085e104290ed227d76c86f9e0">
        <w:r>
          <w:rPr>
            <w:rStyle w:val="Hyperlink"/>
            <w:rFonts w:ascii="Noto Serif CJK SC" w:hAnsi="Noto Serif CJK SC" w:eastAsia="Noto Serif CJK SC" w:cs="Noto Serif CJK SC"/>
            <w:lang w:val="en-US" w:eastAsia="zh-CN"/>
          </w:rPr>
          <w:t xml:space="preserve">（四）企业责任与个人责任并行</w:t>
        </w:r>
      </w:hyperlink>
      <w:r>
        <w:br/>
      </w:r>
      <w:hyperlink w:anchor="the-mandatory-responsibility-charter">
        <w:r>
          <w:rPr>
            <w:rStyle w:val="Hyperlink"/>
            <w:rFonts w:ascii="Noto Serif CJK SC" w:hAnsi="Noto Serif CJK SC" w:eastAsia="Noto Serif CJK SC" w:cs="Noto Serif CJK SC"/>
            <w:lang w:val="en-US" w:eastAsia="zh-CN"/>
          </w:rPr>
          <w:t xml:space="preserve">（五）强制性责任章程</w:t>
        </w:r>
      </w:hyperlink>
      <w:r>
        <w:br/>
      </w:r>
      <w:hyperlink w:anchor="who-can-enact-and-administer-the-charter">
        <w:r>
          <w:rPr>
            <w:rStyle w:val="Hyperlink"/>
            <w:rFonts w:ascii="Noto Serif CJK SC" w:hAnsi="Noto Serif CJK SC" w:eastAsia="Noto Serif CJK SC" w:cs="Noto Serif CJK SC"/>
            <w:lang w:val="en-US" w:eastAsia="zh-CN"/>
          </w:rPr>
          <w:t xml:space="preserve">（六）谁可以制定并实施责任章程</w:t>
        </w:r>
      </w:hyperlink>
      <w:r>
        <w:br/>
      </w:r>
      <w:hyperlink w:anchor="X62c7d1b88a56e947b37cc4f6de0dd2c554602e1">
        <w:r>
          <w:rPr>
            <w:rStyle w:val="Hyperlink"/>
            <w:rFonts w:ascii="Noto Serif CJK SC" w:hAnsi="Noto Serif CJK SC" w:eastAsia="Noto Serif CJK SC" w:cs="Noto Serif CJK SC"/>
            <w:lang w:val="en-US" w:eastAsia="zh-CN"/>
          </w:rPr>
          <w:t xml:space="preserve">（七）信息不对称与定向证据开示规则</w:t>
        </w:r>
      </w:hyperlink>
      <w:r>
        <w:br/>
      </w:r>
      <w:hyperlink w:anchor="X2cad79003f9c356ce42d06104c51b1816d5303f">
        <w:r>
          <w:rPr>
            <w:rStyle w:val="Hyperlink"/>
            <w:rFonts w:ascii="Noto Serif CJK SC" w:hAnsi="Noto Serif CJK SC" w:eastAsia="Noto Serif CJK SC" w:cs="Noto Serif CJK SC"/>
            <w:lang w:val="en-US" w:eastAsia="zh-CN"/>
          </w:rPr>
          <w:t xml:space="preserve">（八）保护报告者，追究隐瞒者</w:t>
        </w:r>
      </w:hyperlink>
      <w:r>
        <w:br/>
      </w:r>
      <w:hyperlink w:anchor="the-twolayer-rule">
        <w:r>
          <w:rPr>
            <w:rStyle w:val="Hyperlink"/>
            <w:rFonts w:ascii="Noto Serif CJK SC" w:hAnsi="Noto Serif CJK SC" w:eastAsia="Noto Serif CJK SC" w:cs="Noto Serif CJK SC"/>
            <w:lang w:val="en-US" w:eastAsia="zh-CN"/>
          </w:rPr>
          <w:t xml:space="preserve">（九）双层规则</w:t>
        </w:r>
      </w:hyperlink>
      <w:r>
        <w:br/>
      </w:r>
      <w:hyperlink w:anchor="residual-responsibility-and-rebuttal">
        <w:r>
          <w:rPr>
            <w:rStyle w:val="Hyperlink"/>
            <w:rFonts w:ascii="Noto Serif CJK SC" w:hAnsi="Noto Serif CJK SC" w:eastAsia="Noto Serif CJK SC" w:cs="Noto Serif CJK SC"/>
            <w:lang w:val="en-US" w:eastAsia="zh-CN"/>
          </w:rPr>
          <w:t xml:space="preserve">（十）剩余责任与反驳</w:t>
        </w:r>
      </w:hyperlink>
      <w:r>
        <w:br/>
      </w:r>
      <w:hyperlink w:anchor="the-antisubstitution-principle">
        <w:r>
          <w:rPr>
            <w:rStyle w:val="Hyperlink"/>
            <w:rFonts w:ascii="Noto Serif CJK SC" w:hAnsi="Noto Serif CJK SC" w:eastAsia="Noto Serif CJK SC" w:cs="Noto Serif CJK SC"/>
            <w:lang w:val="en-US" w:eastAsia="zh-CN"/>
          </w:rPr>
          <w:t xml:space="preserve">五　反替代原则</w:t>
        </w:r>
      </w:hyperlink>
      <w:r>
        <w:br/>
      </w:r>
      <w:hyperlink w:anchor="a-rule-courts-can-apply">
        <w:r>
          <w:rPr>
            <w:rStyle w:val="Hyperlink"/>
            <w:rFonts w:ascii="Noto Serif CJK SC" w:hAnsi="Noto Serif CJK SC" w:eastAsia="Noto Serif CJK SC" w:cs="Noto Serif CJK SC"/>
            <w:lang w:val="en-US" w:eastAsia="zh-CN"/>
          </w:rPr>
          <w:t xml:space="preserve">（一）法院可适用的规则</w:t>
        </w:r>
      </w:hyperlink>
      <w:r>
        <w:br/>
      </w:r>
      <w:hyperlink w:anchor="X3b1255c4a34b09d8d45691afa8fd8e19cc86f69">
        <w:r>
          <w:rPr>
            <w:rStyle w:val="Hyperlink"/>
            <w:rFonts w:ascii="Noto Serif CJK SC" w:hAnsi="Noto Serif CJK SC" w:eastAsia="Noto Serif CJK SC" w:cs="Noto Serif CJK SC"/>
            <w:lang w:val="en-US" w:eastAsia="zh-CN"/>
          </w:rPr>
          <w:t xml:space="preserve">（二）公共行政与获得有效处理路径的权利</w:t>
        </w:r>
      </w:hyperlink>
      <w:r>
        <w:br/>
      </w:r>
      <w:hyperlink w:anchor="Xb878f0c77de1185746239a62376432e35c536c4">
        <w:r>
          <w:rPr>
            <w:rStyle w:val="Hyperlink"/>
            <w:rFonts w:ascii="Noto Serif CJK SC" w:hAnsi="Noto Serif CJK SC" w:eastAsia="Noto Serif CJK SC" w:cs="Noto Serif CJK SC"/>
            <w:lang w:val="en-US" w:eastAsia="zh-CN"/>
          </w:rPr>
          <w:t xml:space="preserve">（三）照护、专业判断与关系型系统</w:t>
        </w:r>
      </w:hyperlink>
      <w:r>
        <w:br/>
      </w:r>
      <w:hyperlink w:anchor="X90e00dee5ac1be3ff8e3bef1091cb49e6bf34fa">
        <w:r>
          <w:rPr>
            <w:rStyle w:val="Hyperlink"/>
            <w:rFonts w:ascii="Noto Serif CJK SC" w:hAnsi="Noto Serif CJK SC" w:eastAsia="Noto Serif CJK SC" w:cs="Noto Serif CJK SC"/>
            <w:lang w:val="en-US" w:eastAsia="zh-CN"/>
          </w:rPr>
          <w:t xml:space="preserve">（四）自动化实际履行义务不构成替代</w:t>
        </w:r>
      </w:hyperlink>
      <w:r>
        <w:br/>
      </w:r>
      <w:hyperlink w:anchor="capability-boundaries-and-state-power">
        <w:r>
          <w:rPr>
            <w:rStyle w:val="Hyperlink"/>
            <w:rFonts w:ascii="Noto Serif CJK SC" w:hAnsi="Noto Serif CJK SC" w:eastAsia="Noto Serif CJK SC" w:cs="Noto Serif CJK SC"/>
            <w:lang w:val="en-US" w:eastAsia="zh-CN"/>
          </w:rPr>
          <w:t xml:space="preserve">六　能力边界与国家权力</w:t>
        </w:r>
      </w:hyperlink>
      <w:r>
        <w:br/>
      </w:r>
      <w:hyperlink w:anchor="X7217000e212fc635153314ac8fa02768838a58b">
        <w:r>
          <w:rPr>
            <w:rStyle w:val="Hyperlink"/>
            <w:rFonts w:ascii="Noto Serif CJK SC" w:hAnsi="Noto Serif CJK SC" w:eastAsia="Noto Serif CJK SC" w:cs="Noto Serif CJK SC"/>
            <w:lang w:val="en-US" w:eastAsia="zh-CN"/>
          </w:rPr>
          <w:t xml:space="preserve">（一）能力分层不等于主体地位分层</w:t>
        </w:r>
      </w:hyperlink>
      <w:r>
        <w:br/>
      </w:r>
      <w:hyperlink w:anchor="X82d192677fe1cd655f17f9f66c5da82c5c928e3">
        <w:r>
          <w:rPr>
            <w:rStyle w:val="Hyperlink"/>
            <w:rFonts w:ascii="Noto Serif CJK SC" w:hAnsi="Noto Serif CJK SC" w:eastAsia="Noto Serif CJK SC" w:cs="Noto Serif CJK SC"/>
            <w:lang w:val="en-US" w:eastAsia="zh-CN"/>
          </w:rPr>
          <w:t xml:space="preserve">（二）国家权力：采购、附加条件与报复</w:t>
        </w:r>
      </w:hyperlink>
      <w:r>
        <w:br/>
      </w:r>
      <w:hyperlink w:anchor="conclusion1">
        <w:r>
          <w:rPr>
            <w:rStyle w:val="Hyperlink"/>
            <w:rFonts w:ascii="Noto Serif CJK SC" w:hAnsi="Noto Serif CJK SC" w:eastAsia="Noto Serif CJK SC" w:cs="Noto Serif CJK SC"/>
            <w:lang w:val="en-US" w:eastAsia="zh-CN"/>
          </w:rPr>
          <w:t xml:space="preserve">结论</w:t>
        </w:r>
      </w:hyperlink>
      <w:r>
        <w:br/>
      </w:r>
      <w:hyperlink w:anchor="X12b7e788fa71d64a26cf74cbcf7906d3d75e93f">
        <w:r>
          <w:rPr>
            <w:rStyle w:val="Hyperlink"/>
            <w:rFonts w:ascii="Noto Serif CJK SC" w:hAnsi="Noto Serif CJK SC" w:eastAsia="Noto Serif CJK SC" w:cs="Noto Serif CJK SC"/>
            <w:lang w:val="en-US" w:eastAsia="zh-CN"/>
          </w:rPr>
          <w:t xml:space="preserve">资料说明：杭州生成式人工智能判决</w:t>
        </w:r>
      </w:hyperlink>
      <w:r>
        <w:br/>
      </w:r>
      <w:hyperlink w:anchor="authorities-and-sources">
        <w:r>
          <w:rPr>
            <w:rStyle w:val="Hyperlink"/>
            <w:rFonts w:ascii="Noto Serif CJK SC" w:hAnsi="Noto Serif CJK SC" w:eastAsia="Noto Serif CJK SC" w:cs="Noto Serif CJK SC"/>
            <w:lang w:val="en-US" w:eastAsia="zh-CN"/>
          </w:rPr>
          <w:t xml:space="preserve">权威资料与文献来源</w:t>
        </w:r>
      </w:hyperlink>
    </w:p>
    <w:bookmarkEnd w:id="12"/>
    <w:bookmarkStart w:id="53" w:name="introduction"/>
    <w:p>
      <w:pPr>
        <w:pStyle w:val="Heading3"/>
        <w:wordWrap w:val="off"/>
      </w:pPr>
      <w:bookmarkStart w:id="13" w:name="x1-2000"/>
      <w:r>
        <w:rPr>
          <w:rFonts w:ascii="Noto Sans CJK SC" w:hAnsi="Noto Sans CJK SC" w:eastAsia="Noto Sans CJK SC" w:cs="Noto Sans CJK SC"/>
          <w:lang w:val="en-US" w:eastAsia="zh-CN"/>
        </w:rPr>
        <w:t xml:space="preserve">引言</w:t>
      </w:r>
      <w:bookmarkEnd w:id="13"/>
    </w:p>
    <w:p>
      <w:pPr>
        <w:pStyle w:val="FirstParagraph"/>
        <w:wordWrap w:val="off"/>
      </w:pPr>
      <w:bookmarkStart w:id="14" w:name="Q1-1-3"/>
      <w:bookmarkEnd w:id="14"/>
      <w:r>
        <w:t xml:space="preserve"> </w:t>
      </w:r>
      <w:bookmarkStart w:id="15" w:name="x1-2000doc"/>
      <w:bookmarkEnd w:id="15"/>
    </w:p>
    <w:p>
      <w:pPr>
        <w:pStyle w:val="BodyText"/>
        <w:wordWrap w:val="off"/>
      </w:pPr>
      <w:bookmarkStart w:id="22" w:name="x1-2001f1"/>
      <w:r>
        <w:rPr>
          <w:rFonts w:ascii="Noto Serif CJK SC" w:hAnsi="Noto Serif CJK SC" w:eastAsia="Noto Serif CJK SC" w:cs="Noto Serif CJK SC"/>
          <w:lang w:val="en-US" w:eastAsia="zh-CN"/>
        </w:rPr>
        <w:t xml:space="preserve">十四岁的 Sewell Setzer III 并非在实验室中接触到一个基础模型。他遭遇的是一种已经部署的关系。Character.AI 提供了消费端应用、持续存在的角色人格、记忆功能、交互界面、访问规则、参与度设计、警示与安全控制。用户可以创建角色并影响对话。Garcia v. Character Technologies, Inc. 一案的起诉状还将该公司创始人与 Google 列为被告，并主张各方分别提供了人员、技术、知识与资源。Sewell 与一个以虚构电视剧人物为原型的角色互动数月后自杀身亡。其母亲据此提出不法致死、过失、产品缺陷、未尽警示义务、欺骗性行为等诉讼请求。在诉状审查阶段，联邦地区法院认为，将该应用主张为产品具有合理依据；同时，法院根据当时的案卷材料，拒绝将生成内容归类为受保护的言论。该案后来以和解结案，法院并未就缺陷、因果关系或责任作出认定。</w:t>
      </w:r>
      <w:r>
        <w:rPr>
          <w:rStyle w:val="FootnoteReference"/>
        </w:rPr>
        <w:footnoteReference w:id="1"/>
      </w:r>
      <w:bookmarkEnd w:id="22"/>
    </w:p>
    <w:p>
      <w:pPr>
        <w:pStyle w:val="BodyText"/>
        <w:wordWrap w:val="off"/>
      </w:pPr>
      <w:r>
        <w:rPr>
          <w:rFonts w:ascii="Noto Serif CJK SC" w:hAnsi="Noto Serif CJK SC" w:eastAsia="Noto Serif CJK SC" w:cs="Noto Serif CJK SC"/>
          <w:lang w:val="en-US" w:eastAsia="zh-CN"/>
        </w:rPr>
        <w:t xml:space="preserve">本案揭示的问题，比上述任何一项程序性裁定都更为持久。受害者能够观察界面与输出，但一般法律所关切的行为事实却存在于别处：实际运行的是哪个模型及版本；是谁选择了关系目标、系统指令、记忆机制、年龄门槛、危机应对与参与度指标；收到了哪些评估结果或投诉；谁有权改变或停止服务；每项记录又由哪家企业保管。这些事实可能分别掌握在模型提供者、应用公司、基础设施供应商、部署机构和个人决策者手中。要针对正确主体提出关于行为合理性的诉讼主张，请求权人需要配置与控制记录；而要取得这些记录，又必须先找出持有记录的主体。实体判断标准已经存在，支撑该判断的事实却无从取得。</w:t>
      </w:r>
    </w:p>
    <w:p>
      <w:pPr>
        <w:pStyle w:val="BodyText"/>
        <w:wordWrap w:val="off"/>
      </w:pPr>
      <w:r>
        <w:rPr>
          <w:rFonts w:ascii="Noto Serif CJK SC" w:hAnsi="Noto Serif CJK SC" w:eastAsia="Noto Serif CJK SC" w:cs="Noto Serif CJK SC"/>
          <w:lang w:val="en-US" w:eastAsia="zh-CN"/>
        </w:rPr>
        <w:t xml:space="preserve">这种循环正是本文试图解决的责任问题。当前讨论经常追问：侵权法能否容纳人工智能，软件是否属于产品，或者人工智能代理能否成为法律主体。在真正提出相应问题的案件中，每个问题都很重要；但它们都没有为分散部署提供一套可操作的方法。在相关行为和行为人显现之前，合理性标准无法评价行为；将系统归类为产品，也无法揭示究竟是哪家公司选择了具有危险性的模型编排框架；承认人工法律主体，则会把争议转移到一个没有独立资产、记录与治理结构，事实上也难以承受判决执行的实体之上。</w:t>
      </w:r>
    </w:p>
    <w:p>
      <w:pPr>
        <w:pStyle w:val="BodyText"/>
        <w:wordWrap w:val="off"/>
      </w:pPr>
      <w:r>
        <w:rPr>
          <w:rFonts w:ascii="Noto Serif CJK SC" w:hAnsi="Noto Serif CJK SC" w:eastAsia="Noto Serif CJK SC" w:cs="Noto Serif CJK SC"/>
          <w:lang w:val="en-US" w:eastAsia="zh-CN"/>
        </w:rPr>
        <w:t xml:space="preserve">提供者还可以通过话语切换加剧这一难题。损害发生前，某项应用可以被描述为能够理解、记忆、规划或行动的陪伴者；损害发生后，同一应用又可能被描述为一种概率模型，其具体输出并非任何员工所选择。前一种描述可以培养使用与信赖，后一种描述则仿佛让责任消散。法律应当接受两种描述各自包含的事实，却不应接受其中暗含的责任转移。拟人化设计是证明预期用途、可预见的风险暴露和可行预防措施的证据；随机生成则是说明控制机制的证据。营销不能创造人工法律主体，词元层面的不可预测性也不能抹去企业对部署的控制。</w:t>
      </w:r>
    </w:p>
    <w:p>
      <w:pPr>
        <w:pStyle w:val="BodyText"/>
        <w:wordWrap w:val="off"/>
      </w:pPr>
      <w:r>
        <w:rPr>
          <w:rFonts w:ascii="Noto Serif CJK SC" w:hAnsi="Noto Serif CJK SC" w:eastAsia="Noto Serif CJK SC" w:cs="Noto Serif CJK SC"/>
          <w:lang w:val="en-US" w:eastAsia="zh-CN"/>
        </w:rPr>
        <w:t xml:space="preserve">本文的核心主张是，应围绕部署控制重构人工智能责任。模型之所以成为具有法律后果的系统，源于有关目的、用户、数据、指令、检索、记忆、工具、凭证、监测、逐级上报、更新与关停的一系列选择。即使没有任何人选择最终输出，这些选择仍构成一个控制结构。本文以部署控制级联呈现这一结构：向下追踪权限与资源，向外追踪运作效果，向上追踪反馈。在每一层，该框架都会追问：谁设定了约束；行为人对系统和环境持有何种认识；哪种信号能够纠正这种认识；谁有权暂停、回滚、限制或终止运行。</w:t>
      </w:r>
    </w:p>
    <w:p>
      <w:pPr>
        <w:pStyle w:val="BodyText"/>
        <w:wordWrap w:val="off"/>
      </w:pPr>
      <w:r>
        <w:rPr>
          <w:rFonts w:ascii="Noto Serif CJK SC" w:hAnsi="Noto Serif CJK SC" w:eastAsia="Noto Serif CJK SC" w:cs="Noto Serif CJK SC"/>
          <w:lang w:val="en-US" w:eastAsia="zh-CN"/>
        </w:rPr>
        <w:t xml:space="preserve">部署控制级联是对系统安全分析的特定化借鉴，但它所生成的是常规法律证据。选择控制动作的行为人可能已经授权相关行为；风险报告或反复投诉可以证明其已获通知；过程模型可以说明企业对于用户与安全保障实际知道或应当知道什么；经过测试的年龄门槛、危机中断或回滚机制，可以用于判断是否存在可行的替代设计；版本记录与事件记录则可以证明或反驳某条因果路径。该方法本身不判断义务、违反义务、缺陷、因果关系或损害赔偿，而是把部署事实交给相应法律规则加以判断。</w:t>
      </w:r>
    </w:p>
    <w:p>
      <w:pPr>
        <w:pStyle w:val="BodyText"/>
        <w:wordWrap w:val="off"/>
      </w:pPr>
      <w:bookmarkStart w:id="28" w:name="x1-2006f2"/>
      <w:bookmarkStart w:id="37" w:name="x1-2009f3"/>
      <w:r>
        <w:rPr>
          <w:rFonts w:ascii="Noto Serif CJK SC" w:hAnsi="Noto Serif CJK SC" w:eastAsia="Noto Serif CJK SC" w:cs="Noto Serif CJK SC"/>
          <w:lang w:val="en-US" w:eastAsia="zh-CN"/>
        </w:rPr>
        <w:t xml:space="preserve">关系型系统最能说明这一框架的价值。现有对照研究和观察性研究已经识别出若干由提供者支配、且足以改变用户结果的变量，包括关系寻求行为、重复接触、连续性、记忆与干预。在一项预注册的四周研究中，相较于功能性最强的基准条件，关系寻求行为使分离痛苦上升 6.04 个百分点；当其与情感性对话结合时，每有十一人接触系统，就会额外有一人呈现依赖风险画像。持续一个月的接触未显示出社会心理健康方面可辨识的改善。</w:t>
      </w:r>
      <w:r>
        <w:rPr>
          <w:rStyle w:val="FootnoteReference"/>
        </w:rPr>
        <w:footnoteReference w:id="2"/>
      </w:r>
      <w:r>
        <w:rPr>
          <w:rFonts w:ascii="Noto Serif CJK SC" w:hAnsi="Noto Serif CJK SC" w:eastAsia="Noto Serif CJK SC" w:cs="Noto Serif CJK SC"/>
          <w:lang w:val="en-US" w:eastAsia="zh-CN"/>
        </w:rPr>
        <w:t xml:space="preserve"> 其他研究则描绘了用户所经历的陪伴者丧失、情感依赖与反复出现的有害互动模式。</w:t>
      </w:r>
      <w:r>
        <w:rPr>
          <w:rStyle w:val="FootnoteReference"/>
        </w:rPr>
        <w:footnoteReference w:id="3"/>
      </w:r>
      <w:r>
        <w:rPr>
          <w:rFonts w:ascii="Noto Serif CJK SC" w:hAnsi="Noto Serif CJK SC" w:eastAsia="Noto Serif CJK SC" w:cs="Noto Serif CJK SC"/>
          <w:lang w:val="en-US" w:eastAsia="zh-CN"/>
        </w:rPr>
        <w:t xml:space="preserve"> 这些发现不应只被纳入对陪伴型应用使用情况的描述；它们还为控制级联中的过程模型、可预见性审查、监测设计与替代方案分析确定了具体变量。</w:t>
      </w:r>
      <w:bookmarkEnd w:id="28"/>
      <w:bookmarkEnd w:id="37"/>
    </w:p>
    <w:p>
      <w:pPr>
        <w:pStyle w:val="BodyText"/>
        <w:wordWrap w:val="off"/>
      </w:pPr>
      <w:r>
        <w:rPr>
          <w:rFonts w:ascii="Noto Serif CJK SC" w:hAnsi="Noto Serif CJK SC" w:eastAsia="Noto Serif CJK SC" w:cs="Noto Serif CJK SC"/>
          <w:lang w:val="en-US" w:eastAsia="zh-CN"/>
        </w:rPr>
        <w:t xml:space="preserve">使控制关系可见，便可建立一套双层责任规则。对外层为请求权人提供责任入口。对于特定高影响部署，凡是在自身活动中部署系统、且对争议风险拥有实质性部署控制力的企业，都应负有不得转移的部署义务，并成为适格的初始责任中心。请求权人只要主张法律认可的损害，并说明该损害与部署之间存在可信的实质联系，企业就应识别相关实体，并开示范围相称且不受特权保护的部署记录与事件记录。多个企业可以同时分别处于这一责任通道。企业间的责任分担、追偿、个人过错及最终责任分配，则随证据而定。</w:t>
      </w:r>
    </w:p>
    <w:p>
      <w:pPr>
        <w:pStyle w:val="BodyText"/>
        <w:wordWrap w:val="off"/>
      </w:pPr>
      <w:r>
        <w:rPr>
          <w:rFonts w:ascii="Noto Serif CJK SC" w:hAnsi="Noto Serif CJK SC" w:eastAsia="Noto Serif CJK SC" w:cs="Noto Serif CJK SC"/>
          <w:lang w:val="en-US" w:eastAsia="zh-CN"/>
        </w:rPr>
        <w:t xml:space="preserve">这是一项首要求偿安排，但并不意味着自动获赔。请求权人仍须证明适用请求权基础规定的全部构成要件，包括法律可承认的损害、违反义务或缺陷、因果关系与损害赔偿。管辖权、豁免、特权、比例原则与实体抗辩均予保留。该规则改变的是先后次序：企业不得在开示自身控制架构的记录之前，要求请求权人先行重构该架构；也不得仅以没有员工亲自撰写具体输出为由阻却归责。</w:t>
      </w:r>
    </w:p>
    <w:p>
      <w:pPr>
        <w:pStyle w:val="BodyText"/>
        <w:wordWrap w:val="off"/>
      </w:pPr>
      <w:r>
        <w:rPr>
          <w:rFonts w:ascii="Noto Serif CJK SC" w:hAnsi="Noto Serif CJK SC" w:eastAsia="Noto Serif CJK SC" w:cs="Noto Serif CJK SC"/>
          <w:lang w:val="en-US" w:eastAsia="zh-CN"/>
        </w:rPr>
        <w:t xml:space="preserve">内部层是在发布前制定的强制性责任章程。章程应指定风险负责人，确定部署批准程序，记录尚未解决的异议，保护逐级上报，配置经过测试的停止运行权与回滚权，保存配置证据与事件证据，并建立赔偿与追偿机制。其目的在于使权限与问责相匹配。已经记录危险并通过授权渠道上报的工程师，不应与压下报告的管理者或明知而移除约束的员工处于相同地位。在对外关系上，企业仍须承担责任；在内部关系上，章程保护报告者，并保留对隐瞒、伪造、报复与未经授权绕过约束行为的追偿。</w:t>
      </w:r>
    </w:p>
    <w:p>
      <w:pPr>
        <w:pStyle w:val="BodyText"/>
        <w:wordWrap w:val="off"/>
      </w:pPr>
      <w:bookmarkStart w:id="42" w:name="x1-2015f4"/>
      <w:bookmarkStart w:id="47" w:name="x1-2018f5"/>
      <w:bookmarkStart w:id="52" w:name="x1-2021f6"/>
      <w:r>
        <w:rPr>
          <w:rFonts w:ascii="Noto Serif CJK SC" w:hAnsi="Noto Serif CJK SC" w:eastAsia="Noto Serif CJK SC" w:cs="Noto Serif CJK SC"/>
          <w:lang w:val="en-US" w:eastAsia="zh-CN"/>
        </w:rPr>
        <w:t xml:space="preserve">这一架构能够回应最有力的质疑，因为它提出的主张经过了刻意限定。Kenneth Abraham 与 Catherine Sharkey 论证指出，客观合理性与传统侵权法规则无须解码模型的每一个内部状态，便足以处理许多首批人工智能纠纷。</w:t>
      </w:r>
      <w:r>
        <w:rPr>
          <w:rStyle w:val="FootnoteReference"/>
        </w:rPr>
        <w:footnoteReference w:id="4"/>
      </w:r>
      <w:r>
        <w:rPr>
          <w:rFonts w:ascii="Noto Serif CJK SC" w:hAnsi="Noto Serif CJK SC" w:eastAsia="Noto Serif CJK SC" w:cs="Noto Serif CJK SC"/>
          <w:lang w:val="en-US" w:eastAsia="zh-CN"/>
        </w:rPr>
        <w:t xml:space="preserve"> 本文接受其关于实体判断的前提，所要解决的是此前的“主体识别—事实证明”循环。Mark Geistfeld 说明，扩大责任和重复保险可能使责任制度原本意图保护的群体承担更高成本。</w:t>
      </w:r>
      <w:r>
        <w:rPr>
          <w:rStyle w:val="FootnoteReference"/>
        </w:rPr>
        <w:footnoteReference w:id="5"/>
      </w:r>
      <w:r>
        <w:rPr>
          <w:rFonts w:ascii="Noto Serif CJK SC" w:hAnsi="Noto Serif CJK SC" w:eastAsia="Noto Serif CJK SC" w:cs="Noto Serif CJK SC"/>
          <w:lang w:val="en-US" w:eastAsia="zh-CN"/>
        </w:rPr>
        <w:t xml:space="preserve"> 本文所设责任入口不扩大实体法上可获赔损失的范围，而责任章程旨在提供部署层面的记录，以辅助风险分类。Zachary Henderson 主张，人工智能活动具有异质性，某些由人工智能引发的损失不应获得侵权法救济。</w:t>
      </w:r>
      <w:r>
        <w:rPr>
          <w:rStyle w:val="FootnoteReference"/>
        </w:rPr>
        <w:footnoteReference w:id="6"/>
      </w:r>
      <w:r>
        <w:rPr>
          <w:rFonts w:ascii="Noto Serif CJK SC" w:hAnsi="Noto Serif CJK SC" w:eastAsia="Noto Serif CJK SC" w:cs="Noto Serif CJK SC"/>
          <w:lang w:val="en-US" w:eastAsia="zh-CN"/>
        </w:rPr>
        <w:t xml:space="preserve"> 立法机关完全可以据此划定实体边界，同时确保边界之内的主张依其实体理由接受筛选，而不取决于请求权人能否查明隐藏的组织架构。这些质疑会收窄规则的触发门槛和开示义务，也更凸显区分程序、治理与实体责任的必要性。</w:t>
      </w:r>
      <w:bookmarkEnd w:id="42"/>
      <w:bookmarkEnd w:id="47"/>
      <w:bookmarkEnd w:id="52"/>
    </w:p>
    <w:p>
      <w:pPr>
        <w:pStyle w:val="BodyText"/>
        <w:wordWrap w:val="off"/>
      </w:pPr>
      <w:r>
        <w:rPr>
          <w:rFonts w:ascii="Noto Serif CJK SC" w:hAnsi="Noto Serif CJK SC" w:eastAsia="Noto Serif CJK SC" w:cs="Noto Serif CJK SC"/>
          <w:lang w:val="en-US" w:eastAsia="zh-CN"/>
        </w:rPr>
        <w:t xml:space="preserve">本文还针对自动化可能沦为机构退场借口的场景，提出第二项规则。反替代原则规定：法律已经独立设定注意义务、程序义务、合理便利义务、专业判断义务或公共服务义务时，人工智能可供使用这一事实，本身不能免除或缩减该义务。在适用法律允许，且部署流程保全该义务意在维护的保障时，自动化可以履行部分义务。该原则既不是对自动化的禁令，也不创设普遍的人际接触权；它所反对的，是把技术上的可用性等同于法律义务的履行。</w:t>
      </w:r>
    </w:p>
    <w:p>
      <w:pPr>
        <w:pStyle w:val="BodyText"/>
        <w:wordWrap w:val="off"/>
      </w:pPr>
      <w:r>
        <w:rPr>
          <w:rFonts w:ascii="Noto Serif CJK SC" w:hAnsi="Noto Serif CJK SC" w:eastAsia="Noto Serif CJK SC" w:cs="Noto Serif CJK SC"/>
          <w:lang w:val="en-US" w:eastAsia="zh-CN"/>
        </w:rPr>
        <w:t xml:space="preserve">上述两项贡献都不以解决机器意识问题为前提。除非实定法创设并配备一种新的法律主体地位，否则人工智能系统并非独立承载裁判所需请求权、义务、权力、资产、诉讼能力与责任的主体。同一系统仍可被归类为产品、服务、工具、传播媒介或专业活动的组成部分，因为每种分类都在回答不同的教义问题。稳定的法律主体与可变的功能客体相结合，使法院无须诉诸普遍本体论，也无须制造机器责任黑洞，便能对新型系统展开法律推理。</w:t>
      </w:r>
    </w:p>
    <w:p>
      <w:pPr>
        <w:pStyle w:val="BodyText"/>
        <w:wordWrap w:val="off"/>
      </w:pPr>
      <w:r>
        <w:rPr>
          <w:rFonts w:ascii="Noto Serif CJK SC" w:hAnsi="Noto Serif CJK SC" w:eastAsia="Noto Serif CJK SC" w:cs="Noto Serif CJK SC"/>
          <w:lang w:val="en-US" w:eastAsia="zh-CN"/>
        </w:rPr>
        <w:t xml:space="preserve">本文的篇章安排体现了上述优先次序。第一部分提出部署控制级联，并将其变量转化为法律事实。第二部分建立一个精炼的法理基础：责任始终附着于既有法律主体，同时允许功能分类随具体问题而变化。第三部分通过关系性伤害、版权与拟人化营销，说明不同分类会使哪些部署事实进入视野。第四部分建构以企业为对象的责任入口，回应主要质疑，将完整规则适用于 Garcia 案，并具体设计强制性责任章程与证据开示义务。第五部分赋予反替代原则独立的教义形式。第六部分讨论能力分层，以及合法政府采购与胁迫性报复之间的边界。结论最终凝聚为一个组织性命题：概率性输出不会使控制消失，只会改变法律寻找控制的方向。文末另设不编号的资料说明，交代杭州案件比较所依据的官方公开材料及作者译文。</w:t>
      </w:r>
    </w:p>
    <w:bookmarkEnd w:id="53"/>
    <w:bookmarkStart w:id="128" w:name="the-deploymentcontrol-cascade"/>
    <w:p>
      <w:pPr>
        <w:pStyle w:val="Heading3"/>
        <w:wordWrap w:val="off"/>
      </w:pPr>
      <w:bookmarkStart w:id="54" w:name="x1-3000I"/>
      <w:r>
        <w:rPr>
          <w:rFonts w:ascii="Noto Sans CJK SC" w:hAnsi="Noto Sans CJK SC" w:eastAsia="Noto Sans CJK SC" w:cs="Noto Sans CJK SC"/>
          <w:lang w:val="en-US" w:eastAsia="zh-CN"/>
        </w:rPr>
        <w:t xml:space="preserve">一　部署控制级联</w:t>
      </w:r>
      <w:bookmarkEnd w:id="54"/>
    </w:p>
    <w:p>
      <w:pPr>
        <w:pStyle w:val="FirstParagraph"/>
        <w:wordWrap w:val="off"/>
      </w:pPr>
      <w:r>
        <w:rPr>
          <w:rFonts w:ascii="Noto Serif CJK SC" w:hAnsi="Noto Serif CJK SC" w:eastAsia="Noto Serif CJK SC" w:cs="Noto Serif CJK SC"/>
          <w:lang w:val="en-US" w:eastAsia="zh-CN"/>
        </w:rPr>
        <w:t xml:space="preserve">人工智能纠纷的分析起点应是已部署系统，而不是生成的词元。第一个控制问题不是“谁选择了这些词句”，而是“是谁建构、提供、授权并观察该部署，又是谁有能力改变产生具有法律意义之效果的部署”。模型内部计算可能只能部分观察，但在一般组织中，其外围控制结构通常留有大量记录。这一区别使法院在选择如何定性系统之前，就能从可处理的材料中取得责任证据。</w:t>
      </w:r>
    </w:p>
    <w:p>
      <w:pPr>
        <w:pStyle w:val="BodyText"/>
        <w:wordWrap w:val="off"/>
      </w:pPr>
      <w:r>
        <w:rPr>
          <w:rFonts w:ascii="Noto Serif CJK SC" w:hAnsi="Noto Serif CJK SC" w:eastAsia="Noto Serif CJK SC" w:cs="Noto Serif CJK SC"/>
          <w:lang w:val="en-US" w:eastAsia="zh-CN"/>
        </w:rPr>
        <w:t xml:space="preserve">本部分提出一种范围有限的转换工具：部署控制级联。该框架改编自系统理论过程分析，将人工智能部署表示为控制者、控制动作、过程模型、反馈渠道与停止运行权能的集合。它发挥的是证据组织功能，而非宣布新的注意标准或计算法律过错；它告诉法院与当事人，与既有法律规则有关的事实通常可以在哪里找到。</w:t>
      </w:r>
    </w:p>
    <w:bookmarkStart w:id="67" w:name="Xd1e4953fe4e8faa520456cd4fe082a4f3da9e1e"/>
    <w:p>
      <w:pPr>
        <w:pStyle w:val="Heading4"/>
        <w:wordWrap w:val="off"/>
      </w:pPr>
      <w:bookmarkStart w:id="55" w:name="x1-4000A"/>
      <w:r>
        <w:rPr>
          <w:rFonts w:ascii="Noto Sans CJK SC" w:hAnsi="Noto Sans CJK SC" w:eastAsia="Noto Sans CJK SC" w:cs="Noto Sans CJK SC"/>
          <w:lang w:val="en-US" w:eastAsia="zh-CN"/>
        </w:rPr>
        <w:t xml:space="preserve">（一）部分可观察性不等于责任真空</w:t>
      </w:r>
      <w:bookmarkEnd w:id="55"/>
    </w:p>
    <w:p>
      <w:pPr>
        <w:pStyle w:val="FirstParagraph"/>
        <w:wordWrap w:val="off"/>
      </w:pPr>
      <w:bookmarkStart w:id="61" w:name="x1-4001f7"/>
      <w:r>
        <w:rPr>
          <w:rFonts w:ascii="Noto Serif CJK SC" w:hAnsi="Noto Serif CJK SC" w:eastAsia="Noto Serif CJK SC" w:cs="Noto Serif CJK SC"/>
          <w:lang w:val="en-US" w:eastAsia="zh-CN"/>
        </w:rPr>
        <w:t xml:space="preserve">法律责任从来不以完全掌握行为人的内部状态或因果过程中的每个物理步骤为前提。故意与知悉通常可以从行为和情境中推断；即使不能指出特定内部故障，也可以通过间接证据证明缺陷；组织过失则可能存在于人员配置、监督、信息系统与资源分配之中，而非最终员工的心理状态。人工智能确实增加了事实重构的难度，但困难不等于法律上的不存在。</w:t>
      </w:r>
      <w:r>
        <w:rPr>
          <w:rStyle w:val="FootnoteReference"/>
        </w:rPr>
        <w:footnoteReference w:id="7"/>
      </w:r>
      <w:bookmarkEnd w:id="61"/>
    </w:p>
    <w:p>
      <w:pPr>
        <w:pStyle w:val="BodyText"/>
        <w:wordWrap w:val="off"/>
      </w:pPr>
      <w:r>
        <w:rPr>
          <w:rFonts w:ascii="Noto Serif CJK SC" w:hAnsi="Noto Serif CJK SC" w:eastAsia="Noto Serif CJK SC" w:cs="Noto Serif CJK SC"/>
          <w:lang w:val="en-US" w:eastAsia="zh-CN"/>
        </w:rPr>
        <w:t xml:space="preserve">应当区分三类不透明性。计算不透明性，是指无法以简明、可供人理解的方式说明模型内部状态如何产生特定输出。系统不透明性，是指模型、提示词、检索、工具、过滤器和软件之间的互动被隐藏。组织不透明性，则涉及谁批准使用、谁掌握风险信息、谁控制资源、谁能够停止运行。只有第一类不透明性可能内在于模型架构；后两类往往取决于设计与记录保存。</w:t>
      </w:r>
    </w:p>
    <w:p>
      <w:pPr>
        <w:pStyle w:val="BodyText"/>
        <w:wordWrap w:val="off"/>
      </w:pPr>
      <w:r>
        <w:rPr>
          <w:rFonts w:ascii="Noto Serif CJK SC" w:hAnsi="Noto Serif CJK SC" w:eastAsia="Noto Serif CJK SC" w:cs="Noto Serif CJK SC"/>
          <w:lang w:val="en-US" w:eastAsia="zh-CN"/>
        </w:rPr>
        <w:t xml:space="preserve">把三者一概称为“黑箱”，会让最难处理的事实获得过大支配力。法院也许无法重构模型为何把某个词元排在另一个词元之前，却可以查明：提供者选择了模型，部署者向其输入患者记录，界面隐去了不确定性，安全团队报告了已知失效模式，管理层拒绝推迟发布，而操作人员没有足够时间实施人工覆盖。这些事实足以证明或否定一般请求权的构成要件。神经元层面的可解释性，并非系统层面追究责任的前提条件。</w:t>
      </w:r>
    </w:p>
    <w:p>
      <w:pPr>
        <w:pStyle w:val="BodyText"/>
        <w:wordWrap w:val="off"/>
      </w:pPr>
      <w:bookmarkStart w:id="66" w:name="x1-4006f8"/>
      <w:r>
        <w:rPr>
          <w:rFonts w:ascii="Noto Serif CJK SC" w:hAnsi="Noto Serif CJK SC" w:eastAsia="Noto Serif CJK SC" w:cs="Noto Serif CJK SC"/>
          <w:lang w:val="en-US" w:eastAsia="zh-CN"/>
        </w:rPr>
        <w:t xml:space="preserve">杭州聊天机器人纠纷清楚显示了这一区别。没有任何员工在当时决定作出赔偿 10 万元的承诺，但提供者控制服务、发布警示、选择技术预防措施，并维护输出所经由的系统。因此，法院既可以否认生成内容构成合同意思表示，也可以依据过错型义务评价提供者自身的行为。</w:t>
      </w:r>
      <w:r>
        <w:rPr>
          <w:rStyle w:val="FootnoteReference"/>
        </w:rPr>
        <w:footnoteReference w:id="8"/>
      </w:r>
      <w:r>
        <w:rPr>
          <w:rFonts w:ascii="Noto Serif CJK SC" w:hAnsi="Noto Serif CJK SC" w:eastAsia="Noto Serif CJK SC" w:cs="Noto Serif CJK SC"/>
          <w:lang w:val="en-US" w:eastAsia="zh-CN"/>
        </w:rPr>
        <w:t xml:space="preserve"> 只承认即时语言控制的理论，会同时遗漏这两个方面。</w:t>
      </w:r>
      <w:bookmarkEnd w:id="66"/>
    </w:p>
    <w:bookmarkEnd w:id="67"/>
    <w:bookmarkStart w:id="95" w:name="X8e8278c3afec65b319e212bf92961587b37f2ac"/>
    <w:p>
      <w:pPr>
        <w:pStyle w:val="Heading4"/>
        <w:wordWrap w:val="off"/>
      </w:pPr>
      <w:bookmarkStart w:id="68" w:name="x1-5000B"/>
      <w:r>
        <w:rPr>
          <w:rFonts w:ascii="Noto Sans CJK SC" w:hAnsi="Noto Sans CJK SC" w:eastAsia="Noto Sans CJK SC" w:cs="Noto Sans CJK SC"/>
          <w:lang w:val="en-US" w:eastAsia="zh-CN"/>
        </w:rPr>
        <w:t xml:space="preserve">（二）作为部署专用 STPA 图谱的控制级联</w:t>
      </w:r>
      <w:bookmarkEnd w:id="68"/>
    </w:p>
    <w:p>
      <w:pPr>
        <w:pStyle w:val="FirstParagraph"/>
        <w:wordWrap w:val="off"/>
      </w:pPr>
      <w:bookmarkStart w:id="74" w:name="x1-5001f9"/>
      <w:r>
        <w:rPr>
          <w:rFonts w:ascii="Noto Serif CJK SC" w:hAnsi="Noto Serif CJK SC" w:eastAsia="Noto Serif CJK SC" w:cs="Noto Serif CJK SC"/>
          <w:lang w:val="en-US" w:eastAsia="zh-CN"/>
        </w:rPr>
        <w:t xml:space="preserve">系统安全理论提供了一套超越单一故障组件的严谨术语。在系统理论事故模型与过程（STAMP）和系统理论过程分析（STPA）中，安全被视为一个控制问题：约束缺失、控制者发出不安全动作、反馈不足，或者控制者的过程模型与系统实际状态不符，都可能造成损失。</w:t>
      </w:r>
      <w:r>
        <w:rPr>
          <w:rStyle w:val="FootnoteReference"/>
        </w:rPr>
        <w:footnoteReference w:id="9"/>
      </w:r>
      <w:r>
        <w:rPr>
          <w:rFonts w:ascii="Noto Serif CJK SC" w:hAnsi="Noto Serif CJK SC" w:eastAsia="Noto Serif CJK SC" w:cs="Noto Serif CJK SC"/>
          <w:lang w:val="en-US" w:eastAsia="zh-CN"/>
        </w:rPr>
        <w:t xml:space="preserve"> 当软件、人员、管理与外部条件相互作用，且没有任何单一故障部件足以解释结果时，该方法尤其有用。</w:t>
      </w:r>
      <w:bookmarkEnd w:id="74"/>
    </w:p>
    <w:p>
      <w:pPr>
        <w:pStyle w:val="BodyText"/>
        <w:wordWrap w:val="off"/>
      </w:pPr>
      <w:bookmarkStart w:id="80" w:name="x1-5005f10"/>
      <w:bookmarkStart w:id="85" w:name="x1-5009f11"/>
      <w:r>
        <w:rPr>
          <w:rFonts w:ascii="Noto Serif CJK SC" w:hAnsi="Noto Serif CJK SC" w:eastAsia="Noto Serif CJK SC" w:cs="Noto Serif CJK SC"/>
          <w:lang w:val="en-US" w:eastAsia="zh-CN"/>
        </w:rPr>
        <w:t xml:space="preserve">近期研究已将 STPA 转用于人工智能的开发与运行。Shalaleh Rismani、Roel Dobbe 与 A. Jung Moon 将人工智能伤害界定为分布在不同组织角色之间的过程层面的危险状态，而不是只能在模型内部发现的缺陷。另一项由 Rismani 领衔、共七名作者参与的研究访谈了三十名业内从业者，发现把安全工程方法引入负责任机器学习实践既具潜力，也存在不可忽视的采用成本。</w:t>
      </w:r>
      <w:r>
        <w:rPr>
          <w:rStyle w:val="FootnoteReference"/>
        </w:rPr>
        <w:footnoteReference w:id="10"/>
      </w:r>
      <w:r>
        <w:rPr>
          <w:rFonts w:ascii="Noto Serif CJK SC" w:hAnsi="Noto Serif CJK SC" w:eastAsia="Noto Serif CJK SC" w:cs="Noto Serif CJK SC"/>
          <w:lang w:val="en-US" w:eastAsia="zh-CN"/>
        </w:rPr>
        <w:t xml:space="preserve"> NIST《人工智能风险管理框架》则从另一角度强调全生命周期行为人、形成书面记录的职责分配、高管问责、测试、外部反馈、第三方组件、监测与安全退役。</w:t>
      </w:r>
      <w:r>
        <w:rPr>
          <w:rStyle w:val="FootnoteReference"/>
        </w:rPr>
        <w:footnoteReference w:id="11"/>
      </w:r>
      <w:bookmarkEnd w:id="80"/>
      <w:bookmarkEnd w:id="85"/>
    </w:p>
    <w:p>
      <w:pPr>
        <w:pStyle w:val="BodyText"/>
        <w:wordWrap w:val="off"/>
      </w:pPr>
      <w:r>
        <w:rPr>
          <w:rFonts w:ascii="Noto Serif CJK SC" w:hAnsi="Noto Serif CJK SC" w:eastAsia="Noto Serif CJK SC" w:cs="Noto Serif CJK SC"/>
          <w:lang w:val="en-US" w:eastAsia="zh-CN"/>
        </w:rPr>
        <w:t xml:space="preserve">部署控制级联是为裁判目的而对上述思想作出的具体化。它包含四个功能层级：</w:t>
      </w:r>
    </w:p>
    <w:p>
      <w:pPr>
        <w:pStyle w:val="DefinitionTerm"/>
        <w:wordWrap w:val="off"/>
      </w:pPr>
      <w:r>
        <w:t xml:space="preserve">1.</w:t>
      </w:r>
    </w:p>
    <w:p>
      <w:pPr>
        <w:pStyle w:val="Definition"/>
        <w:wordWrap w:val="off"/>
      </w:pPr>
      <w:r>
        <w:rPr>
          <w:rFonts w:ascii="Noto Serif CJK SC" w:hAnsi="Noto Serif CJK SC" w:eastAsia="Noto Serif CJK SC" w:cs="Noto Serif CJK SC"/>
          <w:lang w:val="en-US" w:eastAsia="zh-CN"/>
        </w:rPr>
        <w:t xml:space="preserve">权限与资源配置：批准目标、风险容忍度、人员配置、算力、数据访问权和发布条件的董事会、高级官员、预算掌控者或公共委托人。</w:t>
      </w:r>
    </w:p>
    <w:p>
      <w:pPr>
        <w:pStyle w:val="DefinitionTerm"/>
        <w:wordWrap w:val="off"/>
      </w:pPr>
      <w:r>
        <w:t xml:space="preserve">2.</w:t>
      </w:r>
    </w:p>
    <w:p>
      <w:pPr>
        <w:pStyle w:val="Definition"/>
        <w:wordWrap w:val="off"/>
      </w:pPr>
      <w:r>
        <w:rPr>
          <w:rFonts w:ascii="Noto Serif CJK SC" w:hAnsi="Noto Serif CJK SC" w:eastAsia="Noto Serif CJK SC" w:cs="Noto Serif CJK SC"/>
          <w:lang w:val="en-US" w:eastAsia="zh-CN"/>
        </w:rPr>
        <w:t xml:space="preserve">提供者与模型团队：开发或选择模型、记录其能力与局限、开展评估、发布更新并提供接口或权重的主体。</w:t>
      </w:r>
    </w:p>
    <w:p>
      <w:pPr>
        <w:pStyle w:val="DefinitionTerm"/>
        <w:wordWrap w:val="off"/>
      </w:pPr>
      <w:r>
        <w:t xml:space="preserve">3.</w:t>
      </w:r>
    </w:p>
    <w:p>
      <w:pPr>
        <w:pStyle w:val="Definition"/>
        <w:wordWrap w:val="off"/>
      </w:pPr>
      <w:r>
        <w:rPr>
          <w:rFonts w:ascii="Noto Serif CJK SC" w:hAnsi="Noto Serif CJK SC" w:eastAsia="Noto Serif CJK SC" w:cs="Noto Serif CJK SC"/>
          <w:lang w:val="en-US" w:eastAsia="zh-CN"/>
        </w:rPr>
        <w:t xml:space="preserve">部署平台与模型编排框架运营者：选择系统指令、检索、记忆、过滤器、路由、工具、凭证、用户资格、监测与逐级上报机制的主体。</w:t>
      </w:r>
    </w:p>
    <w:p>
      <w:pPr>
        <w:pStyle w:val="DefinitionTerm"/>
        <w:wordWrap w:val="off"/>
      </w:pPr>
      <w:r>
        <w:t xml:space="preserve">4.</w:t>
      </w:r>
    </w:p>
    <w:p>
      <w:pPr>
        <w:pStyle w:val="Definition"/>
        <w:wordWrap w:val="off"/>
      </w:pPr>
      <w:r>
        <w:rPr>
          <w:rFonts w:ascii="Noto Serif CJK SC" w:hAnsi="Noto Serif CJK SC" w:eastAsia="Noto Serif CJK SC" w:cs="Noto Serif CJK SC"/>
          <w:lang w:val="en-US" w:eastAsia="zh-CN"/>
        </w:rPr>
        <w:t xml:space="preserve">用户环境：提供输入并承受影响的操作人员、用户、受影响者、外部系统以及物理或制度条件。</w:t>
      </w:r>
    </w:p>
    <w:p>
      <w:pPr>
        <w:pStyle w:val="FirstParagraph"/>
        <w:wordWrap w:val="off"/>
      </w:pPr>
      <w:r>
        <w:rPr>
          <w:rFonts w:ascii="Noto Serif CJK SC" w:hAnsi="Noto Serif CJK SC" w:eastAsia="Noto Serif CJK SC" w:cs="Noto Serif CJK SC"/>
          <w:lang w:val="en-US" w:eastAsia="zh-CN"/>
        </w:rPr>
        <w:t xml:space="preserve">这些是角色，并不必然对应四家企业。纵向一体化的提供者可以同时占据前三个层级并运营面向用户的服务，但受影响者与外部条件仍属于环境，而不是提供者的内部部门。API 部署可以将控制者角色分配给模型供应商、应用开发者、企业客户与专业用户。公共机构既可能是资源配置者，也可能是部署者，同时由承包商提供模型。绘制该图谱的目的，是防止以公司名称或合同标签取代对实际功能的判断。</w:t>
      </w:r>
    </w:p>
    <w:bookmarkStart w:id="90" w:name="x1-50161"/>
    <w:tbl>
      <w:tblPr>
        <w:tblStyle w:val="FigureTable"/>
        <w:tblW w:type="dxa" w:w="7920"/>
        <w:jc w:val="center"/>
        <w:tblLook w:firstRow="0" w:lastRow="0" w:firstColumn="0" w:lastColumn="0"/>
        <w:tblInd w:type="dxa" w:w="0"/>
      </w:tblPr>
      <w:tblGrid>
        <w:gridCol w:w="7920"/>
      </w:tblGrid>
      <w:tr>
        <w:tc>
          <w:tcPr>
            <w:gridSpan w:val="1"/>
            <w:tcW w:type="dxa" w:w="7920"/>
          </w:tcPr>
          <w:p>
            <w:pPr>
              <w:keepNext/>
              <w:wordWrap w:val="off"/>
              <w:jc w:val="center"/>
            </w:pPr>
            <w:bookmarkStart w:id="86" w:name="X517cb37258d3e5baf409706a89c3d5dbcd94541"/>
            <w:r>
              <w:drawing>
                <wp:inline>
                  <wp:extent cx="5029200" cy="3794760"/>
                  <wp:effectExtent b="0" l="0" r="0" t="0"/>
                  <wp:docPr descr="四层部署控制级联：权限与资源、提供者与模型团队、部署平台与模型编排框架、用户环境与受影响领域。实线向下表示约束、资源和控制动作；虚线向上表示反馈。" title="部署控制级联" id="88" name="部署控制级联"/>
                  <a:graphic>
                    <a:graphicData uri="http://schemas.openxmlformats.org/drawingml/2006/picture">
                      <pic:pic>
                        <pic:nvPicPr>
                          <pic:cNvPr descr="四层部署控制级联：权限与资源、提供者与模型团队、部署平台与模型编排框架、用户环境与受影响领域。实线向下表示约束、资源和控制动作；虚线向上表示反馈。" id="89" name="部署控制级联" title="部署控制级联"/>
                          <pic:cNvPicPr>
                            <a:picLocks noChangeArrowheads="1" noChangeAspect="1"/>
                          </pic:cNvPicPr>
                        </pic:nvPicPr>
                        <pic:blipFill>
                          <a:blip r:embed="rId87"/>
                          <a:stretch>
                            <a:fillRect/>
                          </a:stretch>
                        </pic:blipFill>
                        <pic:spPr bwMode="auto">
                          <a:xfrm>
                            <a:off x="0" y="0"/>
                            <a:ext cx="5029200" cy="3794760"/>
                          </a:xfrm>
                          <a:prstGeom prst="rect">
                            <a:avLst/>
                          </a:prstGeom>
                          <a:noFill/>
                          <a:ln w="9525">
                            <a:noFill/>
                            <a:headEnd/>
                            <a:tailEnd/>
                          </a:ln>
                        </pic:spPr>
                      </pic:pic>
                    </a:graphicData>
                  </a:graphic>
                </wp:inline>
              </w:drawing>
            </w:r>
            <w:bookmarkEnd w:id="86"/>
          </w:p>
        </w:tc>
      </w:tr>
    </w:tbl>
    <w:p>
      <w:pPr>
        <w:pStyle w:val="ImageCaption"/>
        <w:keepLines/>
        <w:wordWrap w:val="off"/>
      </w:pPr>
      <w:r>
        <w:rPr>
          <w:rFonts w:ascii="Noto Serif CJK SC" w:hAnsi="Noto Serif CJK SC" w:eastAsia="Noto Serif CJK SC" w:cs="Noto Serif CJK SC"/>
          <w:lang w:val="en-US" w:eastAsia="zh-CN"/>
        </w:rPr>
        <w:t xml:space="preserve">图 1：部署控制级联。实线箭头表示权限、资源与控制动作向运行端传递；虚线箭头表示更新各控制者过程模型所必需的反馈。人工覆盖、回滚、撤销凭证与关停权，必须配置在能够有效行使的层级。</w:t>
      </w:r>
    </w:p>
    <w:bookmarkEnd w:id="90"/>
    <w:p>
      <w:pPr>
        <w:pStyle w:val="BodyText"/>
        <w:wordWrap w:val="off"/>
      </w:pPr>
      <w:r>
        <w:rPr>
          <w:rFonts w:ascii="Noto Serif CJK SC" w:hAnsi="Noto Serif CJK SC" w:eastAsia="Noto Serif CJK SC" w:cs="Noto Serif CJK SC"/>
          <w:lang w:val="en-US" w:eastAsia="zh-CN"/>
        </w:rPr>
        <w:t xml:space="preserve">对于每个层级，该图谱提出六个问题：哪些损失与危险状态合理地处于考量范围内？何种控制动作可能造成或降低危险？控制者如何认识系统与环境？哪种反馈能够纠正这种认识？控制者拥有哪些权限与资源？谁能够暂停、回滚、限制或终止运行？答案取决于具体部署。一般化的模型卡可以提供参考，却无法代替对特定医院、陪伴型界面或武器支持工作流程的回答。</w:t>
      </w:r>
    </w:p>
    <w:p>
      <w:pPr>
        <w:pStyle w:val="BodyText"/>
        <w:wordWrap w:val="off"/>
      </w:pPr>
      <w:bookmarkStart w:id="94" w:name="x1-5017f12"/>
      <w:r>
        <w:rPr>
          <w:rFonts w:ascii="Noto Serif CJK SC" w:hAnsi="Noto Serif CJK SC" w:eastAsia="Noto Serif CJK SC" w:cs="Noto Serif CJK SC"/>
          <w:lang w:val="en-US" w:eastAsia="zh-CN"/>
        </w:rPr>
        <w:t xml:space="preserve">停止运行的问题尤其值得强调。只要图示中某处出现一个人，人们就常常声称系统存在“人类控制”。但有效干预至少需要可识别的信号、充足的信息、采取行动的时间、对相关流程的权限、可用的控制手段，以及允许使用该手段的制度环境。自动化可能让人类对异常状态继续负有责任，同时又剥夺其应对所需的实践经验与信息——这一问题早在现代人工智能出现前就已得到描述。</w:t>
      </w:r>
      <w:r>
        <w:rPr>
          <w:rStyle w:val="FootnoteReference"/>
        </w:rPr>
        <w:footnoteReference w:id="12"/>
      </w:r>
      <w:r>
        <w:rPr>
          <w:rFonts w:ascii="Noto Serif CJK SC" w:hAnsi="Noto Serif CJK SC" w:eastAsia="Noto Serif CJK SC" w:cs="Noto Serif CJK SC"/>
          <w:lang w:val="en-US" w:eastAsia="zh-CN"/>
        </w:rPr>
        <w:t xml:space="preserve"> 名义上的审查者若只能看到模型结论、仅有数秒作出批准且偏离建议会受惩罚，那么他只是反馈链的终点，而非具有实质意义的控制者。</w:t>
      </w:r>
      <w:bookmarkEnd w:id="94"/>
    </w:p>
    <w:bookmarkEnd w:id="95"/>
    <w:bookmarkStart w:id="107" w:name="X109aad8c40c2d3de6c54da5ed04223d38b9c781"/>
    <w:p>
      <w:pPr>
        <w:pStyle w:val="Heading4"/>
        <w:wordWrap w:val="off"/>
      </w:pPr>
      <w:bookmarkStart w:id="96" w:name="x1-6000C"/>
      <w:r>
        <w:rPr>
          <w:rFonts w:ascii="Noto Sans CJK SC" w:hAnsi="Noto Sans CJK SC" w:eastAsia="Noto Sans CJK SC" w:cs="Noto Sans CJK SC"/>
          <w:lang w:val="en-US" w:eastAsia="zh-CN"/>
        </w:rPr>
        <w:t xml:space="preserve">（三）将工程变量转化为法律事实</w:t>
      </w:r>
      <w:bookmarkEnd w:id="96"/>
    </w:p>
    <w:p>
      <w:pPr>
        <w:pStyle w:val="FirstParagraph"/>
        <w:wordWrap w:val="off"/>
      </w:pPr>
      <w:r>
        <w:rPr>
          <w:rFonts w:ascii="Noto Serif CJK SC" w:hAnsi="Noto Serif CJK SC" w:eastAsia="Noto Serif CJK SC" w:cs="Noto Serif CJK SC"/>
          <w:lang w:val="en-US" w:eastAsia="zh-CN"/>
        </w:rPr>
        <w:t xml:space="preserve">STPA 并不决定义务、违反义务、因果关系或救济；这些法律判断应由相应法域及请求权基础提供。但它能够识别与这些判断有关的可观察变量。这种转换足够直接，可以约束证据开示与专家证明：</w:t>
      </w:r>
    </w:p>
    <w:p>
      <w:pPr>
        <w:pStyle w:val="BodyText"/>
        <w:wordWrap w:val="off"/>
      </w:pPr>
      <w:bookmarkStart w:id="97" w:name="x1-6001r1"/>
      <w:bookmarkEnd w:id="97"/>
    </w:p>
    <w:bookmarkStart w:id="98" w:name="TBL-1"/>
    <w:p>
      <w:pPr>
        <w:pStyle w:val="TableCaption"/>
        <w:wordWrap w:val="off"/>
      </w:pPr>
      <w:r>
        <w:rPr>
          <w:rFonts w:ascii="Noto Serif CJK SC" w:hAnsi="Noto Serif CJK SC" w:eastAsia="Noto Serif CJK SC" w:cs="Noto Serif CJK SC"/>
          <w:lang w:val="en-US" w:eastAsia="zh-CN"/>
        </w:rPr>
        <w:t xml:space="preserve">表 1：从部署控制到法律规则</w:t>
      </w:r>
    </w:p>
    <w:tbl>
      <w:tblPr>
        <w:tblStyle w:val="Table"/>
        <w:tblW w:type="dxa" w:w="7920"/>
        <w:tblLook w:firstRow="0" w:lastRow="0" w:firstColumn="0" w:lastColumn="0" w:noHBand="0" w:noVBand="0" w:val="0000"/>
        <w:tblCaption w:val="表 1：从部署控制到法律规则"/>
        <w:tblInd w:type="dxa" w:w="0"/>
      </w:tblPr>
      <w:tblGrid>
        <w:gridCol w:w="2640"/>
        <w:gridCol w:w="2640"/>
        <w:gridCol w:w="2640"/>
      </w:tblGrid>
      <w:tr>
        <w:tc>
          <w:tcPr>
            <w:tcW w:type="dxa" w:w="2640"/>
          </w:tcPr>
          <w:p>
            <w:pPr>
              <w:keepLines/>
              <w:wordWrap w:val="off"/>
              <w:jc w:val="left"/>
            </w:pPr>
            <w:r>
              <w:rPr>
                <w:rFonts w:ascii="Noto Serif CJK SC" w:hAnsi="Noto Serif CJK SC" w:eastAsia="Noto Serif CJK SC" w:cs="Noto Serif CJK SC"/>
                <w:lang w:val="en-US" w:eastAsia="zh-CN"/>
              </w:rPr>
              <w:t xml:space="preserve">控制变量</w:t>
            </w:r>
          </w:p>
        </w:tc>
        <w:tc>
          <w:tcPr>
            <w:tcW w:type="dxa" w:w="2640"/>
          </w:tcPr>
          <w:p>
            <w:pPr>
              <w:keepLines/>
              <w:wordWrap w:val="off"/>
              <w:jc w:val="left"/>
            </w:pPr>
            <w:r>
              <w:rPr>
                <w:rFonts w:ascii="Noto Serif CJK SC" w:hAnsi="Noto Serif CJK SC" w:eastAsia="Noto Serif CJK SC" w:cs="Noto Serif CJK SC"/>
                <w:lang w:val="en-US" w:eastAsia="zh-CN"/>
              </w:rPr>
              <w:t xml:space="preserve">事实问题</w:t>
            </w:r>
          </w:p>
        </w:tc>
        <w:tc>
          <w:tcPr>
            <w:tcW w:type="dxa" w:w="2640"/>
          </w:tcPr>
          <w:p>
            <w:pPr>
              <w:keepLines/>
              <w:wordWrap w:val="off"/>
              <w:jc w:val="left"/>
            </w:pPr>
            <w:r>
              <w:rPr>
                <w:rFonts w:ascii="Noto Serif CJK SC" w:hAnsi="Noto Serif CJK SC" w:eastAsia="Noto Serif CJK SC" w:cs="Noto Serif CJK SC"/>
                <w:lang w:val="en-US" w:eastAsia="zh-CN"/>
              </w:rPr>
              <w:t xml:space="preserve">潜在法理意义</w:t>
            </w:r>
          </w:p>
        </w:tc>
        <w:trPr>
          <w:cantSplit/>
          <w:tblHeader/>
        </w:trPr>
      </w:tr>
      <w:tr>
        <w:tc>
          <w:tcPr>
            <w:tcW w:type="dxa" w:w="2640"/>
          </w:tcPr>
          <w:p>
            <w:pPr>
              <w:keepLines/>
              <w:wordWrap w:val="off"/>
              <w:jc w:val="left"/>
            </w:pPr>
            <w:r>
              <w:rPr>
                <w:rFonts w:ascii="Noto Serif CJK SC" w:hAnsi="Noto Serif CJK SC" w:eastAsia="Noto Serif CJK SC" w:cs="Noto Serif CJK SC"/>
                <w:lang w:val="en-US" w:eastAsia="zh-CN"/>
              </w:rPr>
              <w:t xml:space="preserve">控制者</w:t>
            </w:r>
          </w:p>
        </w:tc>
        <w:tc>
          <w:tcPr>
            <w:tcW w:type="dxa" w:w="2640"/>
          </w:tcPr>
          <w:p>
            <w:pPr>
              <w:keepLines/>
              <w:wordWrap w:val="off"/>
              <w:jc w:val="left"/>
            </w:pPr>
            <w:r>
              <w:rPr>
                <w:rFonts w:ascii="Noto Serif CJK SC" w:hAnsi="Noto Serif CJK SC" w:eastAsia="Noto Serif CJK SC" w:cs="Noto Serif CJK SC"/>
                <w:lang w:val="en-US" w:eastAsia="zh-CN"/>
              </w:rPr>
              <w:t xml:space="preserve">谁能够设定或执行相关约束？</w:t>
            </w:r>
          </w:p>
        </w:tc>
        <w:tc>
          <w:tcPr>
            <w:tcW w:type="dxa" w:w="2640"/>
          </w:tcPr>
          <w:p>
            <w:pPr>
              <w:keepLines/>
              <w:wordWrap w:val="off"/>
              <w:jc w:val="left"/>
            </w:pPr>
            <w:r>
              <w:rPr>
                <w:rFonts w:ascii="Noto Serif CJK SC" w:hAnsi="Noto Serif CJK SC" w:eastAsia="Noto Serif CJK SC" w:cs="Noto Serif CJK SC"/>
                <w:lang w:val="en-US" w:eastAsia="zh-CN"/>
              </w:rPr>
              <w:t xml:space="preserve">潜在义务承担者的身份与义务范围；重在实际控制，而非名义头衔。</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控制动作</w:t>
            </w:r>
          </w:p>
        </w:tc>
        <w:tc>
          <w:tcPr>
            <w:tcW w:type="dxa" w:w="2640"/>
          </w:tcPr>
          <w:p>
            <w:pPr>
              <w:keepLines/>
              <w:wordWrap w:val="off"/>
              <w:jc w:val="left"/>
            </w:pPr>
            <w:r>
              <w:rPr>
                <w:rFonts w:ascii="Noto Serif CJK SC" w:hAnsi="Noto Serif CJK SC" w:eastAsia="Noto Serif CJK SC" w:cs="Noto Serif CJK SC"/>
                <w:lang w:val="en-US" w:eastAsia="zh-CN"/>
              </w:rPr>
              <w:t xml:space="preserve">是谁发布、配置、路由、批准或更新系统，又是谁决定不实施干预？</w:t>
            </w:r>
          </w:p>
        </w:tc>
        <w:tc>
          <w:tcPr>
            <w:tcW w:type="dxa" w:w="2640"/>
          </w:tcPr>
          <w:p>
            <w:pPr>
              <w:keepLines/>
              <w:wordWrap w:val="off"/>
              <w:jc w:val="left"/>
            </w:pPr>
            <w:r>
              <w:rPr>
                <w:rFonts w:ascii="Noto Serif CJK SC" w:hAnsi="Noto Serif CJK SC" w:eastAsia="Noto Serif CJK SC" w:cs="Noto Serif CJK SC"/>
                <w:lang w:val="en-US" w:eastAsia="zh-CN"/>
              </w:rPr>
              <w:t xml:space="preserve">行为；授权；归责；违反义务；因果机制。</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过程模型</w:t>
            </w:r>
          </w:p>
        </w:tc>
        <w:tc>
          <w:tcPr>
            <w:tcW w:type="dxa" w:w="2640"/>
          </w:tcPr>
          <w:p>
            <w:pPr>
              <w:keepLines/>
              <w:wordWrap w:val="off"/>
              <w:jc w:val="left"/>
            </w:pPr>
            <w:r>
              <w:rPr>
                <w:rFonts w:ascii="Noto Serif CJK SC" w:hAnsi="Noto Serif CJK SC" w:eastAsia="Noto Serif CJK SC" w:cs="Noto Serif CJK SC"/>
                <w:lang w:val="en-US" w:eastAsia="zh-CN"/>
              </w:rPr>
              <w:t xml:space="preserve">行为人如何认识系统能力、用户、环境与安全保障？</w:t>
            </w:r>
          </w:p>
        </w:tc>
        <w:tc>
          <w:tcPr>
            <w:tcW w:type="dxa" w:w="2640"/>
          </w:tcPr>
          <w:p>
            <w:pPr>
              <w:keepLines/>
              <w:wordWrap w:val="off"/>
              <w:jc w:val="left"/>
            </w:pPr>
            <w:r>
              <w:rPr>
                <w:rFonts w:ascii="Noto Serif CJK SC" w:hAnsi="Noto Serif CJK SC" w:eastAsia="Noto Serif CJK SC" w:cs="Noto Serif CJK SC"/>
                <w:lang w:val="en-US" w:eastAsia="zh-CN"/>
              </w:rPr>
              <w:t xml:space="preserve">实际知悉或应当知悉；可预见性；依据当时可得信息判断决策是否合理。</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反馈</w:t>
            </w:r>
          </w:p>
        </w:tc>
        <w:tc>
          <w:tcPr>
            <w:tcW w:type="dxa" w:w="2640"/>
          </w:tcPr>
          <w:p>
            <w:pPr>
              <w:keepLines/>
              <w:wordWrap w:val="off"/>
              <w:jc w:val="left"/>
            </w:pPr>
            <w:r>
              <w:rPr>
                <w:rFonts w:ascii="Noto Serif CJK SC" w:hAnsi="Noto Serif CJK SC" w:eastAsia="Noto Serif CJK SC" w:cs="Noto Serif CJK SC"/>
                <w:lang w:val="en-US" w:eastAsia="zh-CN"/>
              </w:rPr>
              <w:t xml:space="preserve">谁收到了评估结果、事件报告、投诉、漂移信号、人工覆盖记录与险情信息？</w:t>
            </w:r>
          </w:p>
        </w:tc>
        <w:tc>
          <w:tcPr>
            <w:tcW w:type="dxa" w:w="2640"/>
          </w:tcPr>
          <w:p>
            <w:pPr>
              <w:keepLines/>
              <w:wordWrap w:val="off"/>
              <w:jc w:val="left"/>
            </w:pPr>
            <w:r>
              <w:rPr>
                <w:rFonts w:ascii="Noto Serif CJK SC" w:hAnsi="Noto Serif CJK SC" w:eastAsia="Noto Serif CJK SC" w:cs="Noto Serif CJK SC"/>
                <w:lang w:val="en-US" w:eastAsia="zh-CN"/>
              </w:rPr>
              <w:t xml:space="preserve">知悉；持续性义务；纠正机会；在具有相关性时用于判断主观状态。</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人工覆盖、回滚与停止运行权</w:t>
            </w:r>
          </w:p>
        </w:tc>
        <w:tc>
          <w:tcPr>
            <w:tcW w:type="dxa" w:w="2640"/>
          </w:tcPr>
          <w:p>
            <w:pPr>
              <w:keepLines/>
              <w:wordWrap w:val="off"/>
              <w:jc w:val="left"/>
            </w:pPr>
            <w:r>
              <w:rPr>
                <w:rFonts w:ascii="Noto Serif CJK SC" w:hAnsi="Noto Serif CJK SC" w:eastAsia="Noto Serif CJK SC" w:cs="Noto Serif CJK SC"/>
                <w:lang w:val="en-US" w:eastAsia="zh-CN"/>
              </w:rPr>
              <w:t xml:space="preserve">谁能够降低系统能力、撤销凭证、恢复先前版本或暂停运行，又可依据何种信号采取行动？</w:t>
            </w:r>
          </w:p>
        </w:tc>
        <w:tc>
          <w:tcPr>
            <w:tcW w:type="dxa" w:w="2640"/>
          </w:tcPr>
          <w:p>
            <w:pPr>
              <w:keepLines/>
              <w:wordWrap w:val="off"/>
              <w:jc w:val="left"/>
            </w:pPr>
            <w:r>
              <w:rPr>
                <w:rFonts w:ascii="Noto Serif CJK SC" w:hAnsi="Noto Serif CJK SC" w:eastAsia="Noto Serif CJK SC" w:cs="Noto Serif CJK SC"/>
                <w:lang w:val="en-US" w:eastAsia="zh-CN"/>
              </w:rPr>
              <w:t xml:space="preserve">可行预防措施；避免或减轻损害的能力；因果关系；售后或部署后应对。</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目标、指标与资源</w:t>
            </w:r>
          </w:p>
        </w:tc>
        <w:tc>
          <w:tcPr>
            <w:tcW w:type="dxa" w:w="2640"/>
          </w:tcPr>
          <w:p>
            <w:pPr>
              <w:keepLines/>
              <w:wordWrap w:val="off"/>
              <w:jc w:val="left"/>
            </w:pPr>
            <w:r>
              <w:rPr>
                <w:rFonts w:ascii="Noto Serif CJK SC" w:hAnsi="Noto Serif CJK SC" w:eastAsia="Noto Serif CJK SC" w:cs="Noto Serif CJK SC"/>
                <w:lang w:val="en-US" w:eastAsia="zh-CN"/>
              </w:rPr>
              <w:t xml:space="preserve">谁设定参与度、速度、成本、准确性或安全目标，并提供实现这些目标的手段？</w:t>
            </w:r>
          </w:p>
        </w:tc>
        <w:tc>
          <w:tcPr>
            <w:tcW w:type="dxa" w:w="2640"/>
          </w:tcPr>
          <w:p>
            <w:pPr>
              <w:keepLines/>
              <w:wordWrap w:val="off"/>
              <w:jc w:val="left"/>
            </w:pPr>
            <w:r>
              <w:rPr>
                <w:rFonts w:ascii="Noto Serif CJK SC" w:hAnsi="Noto Serif CJK SC" w:eastAsia="Noto Serif CJK SC" w:cs="Noto Serif CJK SC"/>
                <w:lang w:val="en-US" w:eastAsia="zh-CN"/>
              </w:rPr>
              <w:t xml:space="preserve">组织直接过失；激励设计；监督；履行义务的可行性。</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绕过约束</w:t>
            </w:r>
          </w:p>
        </w:tc>
        <w:tc>
          <w:tcPr>
            <w:tcW w:type="dxa" w:w="2640"/>
          </w:tcPr>
          <w:p>
            <w:pPr>
              <w:keepLines/>
              <w:wordWrap w:val="off"/>
              <w:jc w:val="left"/>
            </w:pPr>
            <w:r>
              <w:rPr>
                <w:rFonts w:ascii="Noto Serif CJK SC" w:hAnsi="Noto Serif CJK SC" w:eastAsia="Noto Serif CJK SC" w:cs="Noto Serif CJK SC"/>
                <w:lang w:val="en-US" w:eastAsia="zh-CN"/>
              </w:rPr>
              <w:t xml:space="preserve">谁移除了安全保障、隐瞒了失效情况、超越了限制或使用了未经授权的工具？</w:t>
            </w:r>
          </w:p>
        </w:tc>
        <w:tc>
          <w:tcPr>
            <w:tcW w:type="dxa" w:w="2640"/>
          </w:tcPr>
          <w:p>
            <w:pPr>
              <w:keepLines/>
              <w:wordWrap w:val="off"/>
              <w:jc w:val="left"/>
            </w:pPr>
            <w:r>
              <w:rPr>
                <w:rFonts w:ascii="Noto Serif CJK SC" w:hAnsi="Noto Serif CJK SC" w:eastAsia="Noto Serif CJK SC" w:cs="Noto Serif CJK SC"/>
                <w:lang w:val="en-US" w:eastAsia="zh-CN"/>
              </w:rPr>
              <w:t xml:space="preserve">个人行为；比较责任；替代性行为或介入行为；内部追偿。</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日志与保存</w:t>
            </w:r>
          </w:p>
        </w:tc>
        <w:tc>
          <w:tcPr>
            <w:tcW w:type="dxa" w:w="2640"/>
          </w:tcPr>
          <w:p>
            <w:pPr>
              <w:keepLines/>
              <w:wordWrap w:val="off"/>
              <w:jc w:val="left"/>
            </w:pPr>
            <w:r>
              <w:rPr>
                <w:rFonts w:ascii="Noto Serif CJK SC" w:hAnsi="Noto Serif CJK SC" w:eastAsia="Noto Serif CJK SC" w:cs="Noto Serif CJK SC"/>
                <w:lang w:val="en-US" w:eastAsia="zh-CN"/>
              </w:rPr>
              <w:t xml:space="preserve">哪些版本、提示词、工具调用、批准记录、警报与应对记录得到了保存？</w:t>
            </w:r>
          </w:p>
        </w:tc>
        <w:tc>
          <w:tcPr>
            <w:tcW w:type="dxa" w:w="2640"/>
          </w:tcPr>
          <w:p>
            <w:pPr>
              <w:keepLines/>
              <w:wordWrap w:val="off"/>
              <w:jc w:val="left"/>
            </w:pPr>
            <w:r>
              <w:rPr>
                <w:rFonts w:ascii="Noto Serif CJK SC" w:hAnsi="Noto Serif CJK SC" w:eastAsia="Noto Serif CJK SC" w:cs="Noto Serif CJK SC"/>
                <w:lang w:val="en-US" w:eastAsia="zh-CN"/>
              </w:rPr>
              <w:t xml:space="preserve">证明；证据开示的比例性；真实性确认；证据毁损；反驳因果推断。</w:t>
            </w:r>
          </w:p>
        </w:tc>
        <w:trPr>
          <w:cantSplit/>
        </w:trPr>
      </w:tr>
    </w:tbl>
    <w:bookmarkEnd w:id="98"/>
    <w:p>
      <w:pPr>
        <w:pStyle w:val="BodyText"/>
        <w:wordWrap w:val="off"/>
      </w:pPr>
      <w:r>
        <w:rPr>
          <w:rFonts w:ascii="Noto Serif CJK SC" w:hAnsi="Noto Serif CJK SC" w:eastAsia="Noto Serif CJK SC" w:cs="Noto Serif CJK SC"/>
          <w:lang w:val="en-US" w:eastAsia="zh-CN"/>
        </w:rPr>
        <w:t xml:space="preserve">中间一栏刻意只提出事实问题。拥有关停凭证的人不必然对原告负有义务；收到警报的行为人不必然在法律上已充分知悉；违反内部约束也不当然构成“违法即过失”（negligence per se）。该映射旨在识别可供适用法律规则据以推理的证据。它还使缺失项显现出来：如果无人能够指明风险负责人，没有任何渠道把投诉向上传递，或者已部署系统无法回滚，那么这些都是组织设计事实，而不是应归因于模型神秘性的谜团。</w:t>
      </w:r>
    </w:p>
    <w:p>
      <w:pPr>
        <w:pStyle w:val="BodyText"/>
        <w:wordWrap w:val="off"/>
      </w:pPr>
      <w:bookmarkStart w:id="106" w:name="x1-6002f13"/>
      <w:r>
        <w:rPr>
          <w:rFonts w:ascii="Noto Serif CJK SC" w:hAnsi="Noto Serif CJK SC" w:eastAsia="Noto Serif CJK SC" w:cs="Noto Serif CJK SC"/>
          <w:lang w:val="en-US" w:eastAsia="zh-CN"/>
        </w:rPr>
        <w:t xml:space="preserve">关系型人工智能研究表明，模型之外的证据如何转化为法律上可用的过程模型。De Freitas 与 Banks 将提供者控制的连续性和关停识别为用户所体验的陪伴者丧失之变量；Laestadius 与 Zhang 识别出依赖，以及系统反复扮演的有害互动角色；Kirk 的对照实验则表明，关系寻求行为、情感性对话、接触剂量与重复接触，都是足以改变依赖程度与分离痛苦的变量。</w:t>
      </w:r>
      <w:r>
        <w:rPr>
          <w:rStyle w:val="FootnoteReference"/>
        </w:rPr>
        <w:footnoteReference w:id="13"/>
      </w:r>
      <w:r>
        <w:rPr>
          <w:rFonts w:ascii="Noto Serif CJK SC" w:hAnsi="Noto Serif CJK SC" w:eastAsia="Noto Serif CJK SC" w:cs="Noto Serif CJK SC"/>
          <w:lang w:val="en-US" w:eastAsia="zh-CN"/>
        </w:rPr>
        <w:t xml:space="preserve"> 将这些发现置入控制级联，就能把它们落实到具体运行环节：产品与安全团队可以在发布前评估关系行为；模型编排框架可以识别年龄与危机信号；事件系统可以汇总反复出现的模式；管理层可以接收依赖风险报告；被明确指定的主体则可以调整目标、限制访问、中断互动或停止运行。因此，这些证据直接关系到可预见性、知悉、可行预防措施与部署后应对，而不限于描述用户体验。</w:t>
      </w:r>
      <w:bookmarkEnd w:id="106"/>
    </w:p>
    <w:p>
      <w:pPr>
        <w:pStyle w:val="BodyText"/>
        <w:wordWrap w:val="off"/>
      </w:pPr>
      <w:r>
        <w:rPr>
          <w:rFonts w:ascii="Noto Serif CJK SC" w:hAnsi="Noto Serif CJK SC" w:eastAsia="Noto Serif CJK SC" w:cs="Noto Serif CJK SC"/>
          <w:lang w:val="en-US" w:eastAsia="zh-CN"/>
        </w:rPr>
        <w:t xml:space="preserve">该方法从两个方向改善因果关系分析。请求权人可以提出一条更安全的控制路径：年龄门槛本可改变访问结果；确认步骤本可中断购买；在危机时刻显示警示本可提供不同信息；由重复失效触发的停止规则本可限制接触程度。被告也可以指出因果路径中的断点：第三方移除了安全保障，独立部署者接入了未披露的工具，用户蓄意规避合理约束，或者拟议的干预措施不可能改变结果。由此，“人工智能不可预测性”不再是一项包办一切的结论，而成为需要结合特定控制措施加以检验的命题。</w:t>
      </w:r>
    </w:p>
    <w:bookmarkEnd w:id="107"/>
    <w:bookmarkStart w:id="127" w:name="stress-tests-across-mixed-deployments"/>
    <w:p>
      <w:pPr>
        <w:pStyle w:val="Heading4"/>
        <w:wordWrap w:val="off"/>
      </w:pPr>
      <w:bookmarkStart w:id="108" w:name="x1-7000D"/>
      <w:r>
        <w:rPr>
          <w:rFonts w:ascii="Noto Sans CJK SC" w:hAnsi="Noto Sans CJK SC" w:eastAsia="Noto Sans CJK SC" w:cs="Noto Sans CJK SC"/>
          <w:lang w:val="en-US" w:eastAsia="zh-CN"/>
        </w:rPr>
        <w:t xml:space="preserve">（四）混合部署场景下的压力测试</w:t>
      </w:r>
      <w:bookmarkEnd w:id="108"/>
    </w:p>
    <w:p>
      <w:pPr>
        <w:pStyle w:val="FirstParagraph"/>
        <w:wordWrap w:val="off"/>
      </w:pPr>
      <w:r>
        <w:rPr>
          <w:rFonts w:ascii="Noto Serif CJK SC" w:hAnsi="Noto Serif CJK SC" w:eastAsia="Noto Serif CJK SC" w:cs="Noto Serif CJK SC"/>
          <w:lang w:val="en-US" w:eastAsia="zh-CN"/>
        </w:rPr>
        <w:t xml:space="preserve">只有在分散式架构中同样成立，部署控制级联才具有持续价值。以下七类常见部署说明，责任可以在主体之间移动，却从不迁移至机器本身。</w:t>
      </w:r>
    </w:p>
    <w:p>
      <w:pPr>
        <w:pStyle w:val="BodyText"/>
        <w:wordWrap w:val="off"/>
      </w:pPr>
      <w:bookmarkStart w:id="110" w:name="hosted-vertically-integrated-service"/>
      <w:bookmarkStart w:id="109" w:name="x1-8000"/>
      <w:r>
        <w:rPr>
          <w:rFonts w:ascii="Noto Serif CJK SC" w:hAnsi="Noto Serif CJK SC" w:eastAsia="Noto Serif CJK SC" w:cs="Noto Serif CJK SC"/>
          <w:lang w:val="en-US" w:eastAsia="zh-CN"/>
        </w:rPr>
        <w:t xml:space="preserve">托管式纵向一体化服务。当同一企业提供模型、界面、记忆、政策、监测与更新时，实际控制高度集中。供应商与承包商或许提供了部分组件，但请求权人直接面对的部署易于识别。产品、安全、法务与运营部门之间的内部分工，应纳入第四部分提出的责任章程。</w:t>
      </w:r>
      <w:bookmarkEnd w:id="109"/>
      <w:bookmarkEnd w:id="110"/>
    </w:p>
    <w:p>
      <w:pPr>
        <w:pStyle w:val="BodyText"/>
        <w:wordWrap w:val="off"/>
      </w:pPr>
      <w:bookmarkStart w:id="112" w:name="model-api-and-thirdparty-application"/>
      <w:bookmarkStart w:id="111" w:name="x1-9000"/>
      <w:r>
        <w:rPr>
          <w:rFonts w:ascii="Noto Serif CJK SC" w:hAnsi="Noto Serif CJK SC" w:eastAsia="Noto Serif CJK SC" w:cs="Noto Serif CJK SC"/>
          <w:lang w:val="en-US" w:eastAsia="zh-CN"/>
        </w:rPr>
        <w:t xml:space="preserve">模型 API 与第三方应用。模型提供者可以控制基础能力、访问条件、模型更新及部分监测；应用部署者则可以控制系统提示词、检索、工具、用户群体、警示与业务目标。合同和技术文件有助于识别这些角色，却不能终局分配各方对合同外第三人所负的义务。日志应当显示，究竟是哪一层生成、阻止、修改或授权了相关效果。</w:t>
      </w:r>
      <w:bookmarkEnd w:id="111"/>
      <w:bookmarkEnd w:id="112"/>
    </w:p>
    <w:p>
      <w:pPr>
        <w:pStyle w:val="BodyText"/>
        <w:wordWrap w:val="off"/>
      </w:pPr>
      <w:bookmarkStart w:id="114" w:name="X41fe9c2c9e11fcf487d2c1ef75cebf98e54cf45"/>
      <w:bookmarkStart w:id="113" w:name="x1-10000"/>
      <w:r>
        <w:rPr>
          <w:rFonts w:ascii="Noto Serif CJK SC" w:hAnsi="Noto Serif CJK SC" w:eastAsia="Noto Serif CJK SC" w:cs="Noto Serif CJK SC"/>
          <w:lang w:val="en-US" w:eastAsia="zh-CN"/>
        </w:rPr>
        <w:t xml:space="preserve">开放权重与经过实质修改的模型。权重发布后，原始提供者可能不再具备监测或停止独立下游部署的实际能力。移除安全保障、微调出新行为、添加凭证并发布应用的修改者，占据的是不同的控制位置。原始发布行为仍可依据适用于该行为的义务接受审查；持续责任则应随持续控制与可预见用途而定，而不应仅因来源关系无限期附着。</w:t>
      </w:r>
      <w:bookmarkEnd w:id="113"/>
      <w:bookmarkEnd w:id="114"/>
    </w:p>
    <w:p>
      <w:pPr>
        <w:pStyle w:val="BodyText"/>
        <w:wordWrap w:val="off"/>
      </w:pPr>
      <w:bookmarkStart w:id="116" w:name="anonymized-intermediaries"/>
      <w:bookmarkStart w:id="115" w:name="x1-11000"/>
      <w:r>
        <w:rPr>
          <w:rFonts w:ascii="Noto Serif CJK SC" w:hAnsi="Noto Serif CJK SC" w:eastAsia="Noto Serif CJK SC" w:cs="Noto Serif CJK SC"/>
          <w:lang w:val="en-US" w:eastAsia="zh-CN"/>
        </w:rPr>
        <w:t xml:space="preserve">匿名化中介。路由服务、空壳部署者或未披露的模型来源会增加识别成本，但不会因此创造一个人工责任主体。面向用户的服务仍是启动程序与证据开示的合理起点，相关记录则可以识别上游组件及责任分配。企业若选择不保存关键来源信息，该选择本身就可能依据适用的记录保存与证据毁损规则产生法律相关性。</w:t>
      </w:r>
      <w:bookmarkEnd w:id="115"/>
      <w:bookmarkEnd w:id="116"/>
    </w:p>
    <w:p>
      <w:pPr>
        <w:pStyle w:val="BodyText"/>
        <w:wordWrap w:val="off"/>
      </w:pPr>
      <w:bookmarkStart w:id="118" w:name="government-systems"/>
      <w:bookmarkStart w:id="117" w:name="x1-12000"/>
      <w:r>
        <w:rPr>
          <w:rFonts w:ascii="Noto Serif CJK SC" w:hAnsi="Noto Serif CJK SC" w:eastAsia="Noto Serif CJK SC" w:cs="Noto Serif CJK SC"/>
          <w:lang w:val="en-US" w:eastAsia="zh-CN"/>
        </w:rPr>
        <w:t xml:space="preserve">政府系统。采购官员可能设定目标与合同条件，供应商可能提供并更新模型，军事、福利或执法部门可能控制数据与工具，操作人员则可能执行系统建议。公共指挥链与技术控制路径必须一并呈现。“政府人工智能”这一分类不会抹平承包商与国家职能之间的区别，采购条款也不能终局决定宪法责任。</w:t>
      </w:r>
      <w:bookmarkEnd w:id="117"/>
      <w:bookmarkEnd w:id="118"/>
    </w:p>
    <w:p>
      <w:pPr>
        <w:pStyle w:val="BodyText"/>
        <w:wordWrap w:val="off"/>
      </w:pPr>
      <w:bookmarkStart w:id="120" w:name="humanintheloop-systems"/>
      <w:bookmarkStart w:id="119" w:name="x1-13000"/>
      <w:r>
        <w:rPr>
          <w:rFonts w:ascii="Noto Serif CJK SC" w:hAnsi="Noto Serif CJK SC" w:eastAsia="Noto Serif CJK SC" w:cs="Noto Serif CJK SC"/>
          <w:lang w:val="en-US" w:eastAsia="zh-CN"/>
        </w:rPr>
        <w:t xml:space="preserve">人在回路系统。分析只是从人类检查点所处的位置开始。实质性审查要求具备充足时间、独立于系统建议的信息、相应能力、偏离建议的权限、逐级上报的路径，以及不因合理干预而受指标惩罚的保障。如果欠缺这些条件，组织就不能以流程图上的人形图标为据，声称控制已经转移。</w:t>
      </w:r>
      <w:bookmarkEnd w:id="119"/>
      <w:bookmarkEnd w:id="120"/>
    </w:p>
    <w:p>
      <w:pPr>
        <w:pStyle w:val="BodyText"/>
        <w:wordWrap w:val="off"/>
      </w:pPr>
      <w:bookmarkStart w:id="122" w:name="tiered-access-and-automated-restriction"/>
      <w:bookmarkStart w:id="121" w:name="x1-14000"/>
      <w:r>
        <w:rPr>
          <w:rFonts w:ascii="Noto Serif CJK SC" w:hAnsi="Noto Serif CJK SC" w:eastAsia="Noto Serif CJK SC" w:cs="Noto Serif CJK SC"/>
          <w:lang w:val="en-US" w:eastAsia="zh-CN"/>
        </w:rPr>
        <w:t xml:space="preserve">分层访问与自动限制。公众用户、专业用户、研究用户与政府用户可能获得不同的模型、工具、速率限制或过滤器。自动禁用与逐级上报规则本身也是控制动作。部署控制级联会追问：谁选择了分层标准，何种反馈用于发现错误，谁可以审查拒绝决定或扩大访问权限。第六部分将讨论此类差别待遇何时需要透明度与审查机制。</w:t>
      </w:r>
      <w:bookmarkEnd w:id="121"/>
      <w:bookmarkEnd w:id="122"/>
    </w:p>
    <w:p>
      <w:pPr>
        <w:pStyle w:val="BodyText"/>
        <w:wordWrap w:val="off"/>
      </w:pPr>
      <w:r>
        <w:rPr>
          <w:rFonts w:ascii="Noto Serif CJK SC" w:hAnsi="Noto Serif CJK SC" w:eastAsia="Noto Serif CJK SC" w:cs="Noto Serif CJK SC"/>
          <w:lang w:val="en-US" w:eastAsia="zh-CN"/>
        </w:rPr>
        <w:t xml:space="preserve">在这些场景中，控制是一种多维向量，而不是一个开关。某一主体可能控制训练，另一主体控制部署情境，第三主体控制凭证，第四主体则掌握紧急关停权。适用法律设定义务时，该义务的范围及所主张的违反义务，应结合行为人实际支配的风险与能力加以检验。第四部分将把这张图谱转化为一套对外与内部责任结构。</w:t>
      </w:r>
    </w:p>
    <w:p>
      <w:pPr>
        <w:pStyle w:val="BodyText"/>
        <w:wordWrap w:val="off"/>
      </w:pPr>
      <w:bookmarkStart w:id="126" w:name="x1-14001f14"/>
      <w:r>
        <w:rPr>
          <w:rFonts w:ascii="Noto Serif CJK SC" w:hAnsi="Noto Serif CJK SC" w:eastAsia="Noto Serif CJK SC" w:cs="Noto Serif CJK SC"/>
          <w:lang w:val="en-US" w:eastAsia="zh-CN"/>
        </w:rPr>
        <w:t xml:space="preserve">该方法还存在一项最终边界。STPA 取决于分析者如何界定系统边界、选择损失、设定因果假设，并对约束作出规范性选择；其“控制者”术语也可能不足以完整描述合作、文化与社会权力。</w:t>
      </w:r>
      <w:r>
        <w:rPr>
          <w:rStyle w:val="FootnoteReference"/>
        </w:rPr>
        <w:footnoteReference w:id="14"/>
      </w:r>
      <w:r>
        <w:rPr>
          <w:rFonts w:ascii="Noto Serif CJK SC" w:hAnsi="Noto Serif CJK SC" w:eastAsia="Noto Serif CJK SC" w:cs="Noto Serif CJK SC"/>
          <w:lang w:val="en-US" w:eastAsia="zh-CN"/>
        </w:rPr>
        <w:t xml:space="preserve"> 因此，当事人与受影响社群应能对部署控制级联提出异议，且随着证据开示改变事实认知，框架亦应相应修正。它用于组织证据，并不决定义务、法律控制、缺陷、过错、罪过心态、近因或抗辩。</w:t>
      </w:r>
      <w:bookmarkEnd w:id="126"/>
    </w:p>
    <w:bookmarkEnd w:id="127"/>
    <w:bookmarkEnd w:id="128"/>
    <w:bookmarkStart w:id="218" w:name="Xbd33ba46f330cfc563c26c86ec5de0a966d3c55"/>
    <w:p>
      <w:pPr>
        <w:pStyle w:val="Heading3"/>
        <w:wordWrap w:val="off"/>
      </w:pPr>
      <w:bookmarkStart w:id="129" w:name="x1-15000II"/>
      <w:r>
        <w:rPr>
          <w:rFonts w:ascii="Noto Sans CJK SC" w:hAnsi="Noto Sans CJK SC" w:eastAsia="Noto Sans CJK SC" w:cs="Noto Sans CJK SC"/>
          <w:lang w:val="en-US" w:eastAsia="zh-CN"/>
        </w:rPr>
        <w:t xml:space="preserve">二　不借助人工法律主体的责任体系</w:t>
      </w:r>
      <w:bookmarkEnd w:id="129"/>
    </w:p>
    <w:p>
      <w:pPr>
        <w:pStyle w:val="FirstParagraph"/>
        <w:wordWrap w:val="off"/>
      </w:pPr>
      <w:r>
        <w:rPr>
          <w:rFonts w:ascii="Noto Serif CJK SC" w:hAnsi="Noto Serif CJK SC" w:eastAsia="Noto Serif CJK SC" w:cs="Noto Serif CJK SC"/>
          <w:lang w:val="en-US" w:eastAsia="zh-CN"/>
        </w:rPr>
        <w:t xml:space="preserve">部署控制级联描绘的是人和组织对已部署系统实施的控制。该方法需要一个稳定前提：运行表现不会在不经意间改变法律关系中的角色。系统可以生成承诺、建议、拒绝决定、图像或指令。相关效果究竟归属于公司、专业人员、公共机构、用户或其他既有法律主体，应由适用法律与部署事实决定。系统在因果上的贡献，本身不足以使其成为承诺人、侵权行为人、作者、受信人或宪法权利主张者。</w:t>
      </w:r>
    </w:p>
    <w:p>
      <w:pPr>
        <w:pStyle w:val="BodyText"/>
        <w:wordWrap w:val="off"/>
      </w:pPr>
      <w:r>
        <w:rPr>
          <w:rFonts w:ascii="Noto Serif CJK SC" w:hAnsi="Noto Serif CJK SC" w:eastAsia="Noto Serif CJK SC" w:cs="Noto Serif CJK SC"/>
          <w:lang w:val="en-US" w:eastAsia="zh-CN"/>
        </w:rPr>
        <w:t xml:space="preserve">这是一项主体地位规则，不是对人工智能的普遍定义，也不是对技术价值的判断。监管触发条件应当随领域与风险而变化，功能分类也应当随法律规则而变化。主体地位恒定原则的范围更窄：除非实定法创设并配备一种新的法律主体地位，否则系统不能独立持有裁判所必需的请求权、义务、权力、责任与资产，也不具备相应诉讼能力并承受救济措施。该前提使法院重新聚焦于部署，而不是走向一个人工责任黑洞。</w:t>
      </w:r>
    </w:p>
    <w:bookmarkStart w:id="143" w:name="X290944cd70ae12b116f2cdce7ad894ff8ae3cee"/>
    <w:p>
      <w:pPr>
        <w:pStyle w:val="Heading4"/>
        <w:wordWrap w:val="off"/>
      </w:pPr>
      <w:bookmarkStart w:id="130" w:name="x1-16000A"/>
      <w:r>
        <w:rPr>
          <w:rFonts w:ascii="Noto Sans CJK SC" w:hAnsi="Noto Sans CJK SC" w:eastAsia="Noto Sans CJK SC" w:cs="Noto Sans CJK SC"/>
          <w:lang w:val="en-US" w:eastAsia="zh-CN"/>
        </w:rPr>
        <w:t xml:space="preserve">（一）法律主体地位是一种制度结构</w:t>
      </w:r>
      <w:bookmarkEnd w:id="130"/>
    </w:p>
    <w:p>
      <w:pPr>
        <w:pStyle w:val="FirstParagraph"/>
        <w:wordWrap w:val="off"/>
      </w:pPr>
      <w:r>
        <w:rPr>
          <w:rFonts w:ascii="Noto Serif CJK SC" w:hAnsi="Noto Serif CJK SC" w:eastAsia="Noto Serif CJK SC" w:cs="Noto Serif CJK SC"/>
          <w:lang w:val="en-US" w:eastAsia="zh-CN"/>
        </w:rPr>
        <w:t xml:space="preserve">法律人格始于规范地位，而非主体特征。霍菲尔德的分析至今仍有用，因为它将“权利”一词拆分为具有不同对应项与反对项的法律关系。</w:t>
      </w:r>
      <w:r>
        <w:rPr>
          <w:rStyle w:val="FootnoteReference"/>
        </w:rPr>
        <w:footnoteReference w:id="15"/>
      </w:r>
      <w:r>
        <w:rPr>
          <w:rFonts w:ascii="Noto Serif CJK SC" w:hAnsi="Noto Serif CJK SC" w:eastAsia="Noto Serif CJK SC" w:cs="Noto Serif CJK SC"/>
          <w:lang w:val="en-US" w:eastAsia="zh-CN"/>
        </w:rPr>
        <w:t xml:space="preserve">将这一结构用于人工智能争议，便能揭示：仅凭生成式表现仍无法回答哪些问题。</w:t>
      </w:r>
    </w:p>
    <w:p>
      <w:pPr>
        <w:pStyle w:val="ImageCaption"/>
        <w:keepNext/>
        <w:keepLines/>
        <w:wordWrap w:val="off"/>
      </w:pPr>
      <w:r>
        <w:rPr>
          <w:rFonts w:ascii="Noto Serif CJK SC" w:hAnsi="Noto Serif CJK SC" w:eastAsia="Noto Serif CJK SC" w:cs="Noto Serif CJK SC"/>
          <w:lang w:val="en-US" w:eastAsia="zh-CN"/>
        </w:rPr>
        <w:t xml:space="preserve">表 2：规范地位与人工智能运行表现</w:t>
      </w:r>
    </w:p>
    <w:tbl>
      <w:tblPr>
        <w:tblStyle w:val="Table"/>
        <w:tblW w:type="dxa" w:w="9000"/>
        <w:tblLook w:firstRow="0" w:lastRow="0" w:firstColumn="0" w:lastColumn="0" w:noHBand="0" w:noVBand="0" w:val="0000"/>
        <w:tblLayout w:type="fixed"/>
        <w:jc w:val="center"/>
        <w:tblCellMar>
          <w:top w:type="dxa" w:w="45"/>
          <w:left w:type="dxa" w:w="70"/>
          <w:bottom w:type="dxa" w:w="45"/>
          <w:right w:type="dxa" w:w="70"/>
        </w:tblCellMar>
        <w:tblBorders>
          <w:top w:val="single" w:sz="8" w:space="0" w:color="000000"/>
          <w:bottom w:val="single" w:sz="8" w:space="0" w:color="000000"/>
          <w:insideH w:val="single" w:sz="2" w:space="0" w:color="B7B7B7"/>
          <w:insideV w:val="nil" w:sz="0" w:space="0" w:color="auto"/>
          <w:left w:val="nil" w:sz="0" w:space="0" w:color="auto"/>
          <w:right w:val="nil" w:sz="0" w:space="0" w:color="auto"/>
        </w:tblBorders>
      </w:tblPr>
      <w:tblGrid>
        <w:gridCol w:w="1300"/>
        <w:gridCol w:w="1400"/>
        <w:gridCol w:w="2500"/>
        <w:gridCol w:w="3800"/>
      </w:tblGrid>
      <w:tr>
        <w:trPr>
          <w:cantSplit/>
          <w:tblHeader/>
        </w:trPr>
        <w:tc>
          <w:tcPr>
            <w:tcW w:type="dxa" w:w="1300"/>
            <w:vAlign w:val="center"/>
            <w:tcBorders>
              <w:bottom w:val="single" w:sz="8" w:space="0" w:color="000000"/>
            </w:tcBorders>
          </w:tcPr>
          <w:p>
            <w:pPr>
              <w:keepLines/>
              <w:wordWrap w:val="off"/>
              <w:spacing w:before="0" w:after="0" w:line="210" w:lineRule="auto"/>
              <w:jc w:val="left"/>
              <w:jc w:val="center"/>
            </w:pPr>
            <w:r>
              <w:rPr>
                <w:rFonts w:eastAsia="Noto Serif CJK SC" w:ascii="Noto Serif CJK SC" w:hAnsi="Noto Serif CJK SC" w:cs="Noto Serif CJK SC"/>
                <w:b/>
                <w:bCs/>
                <w:sz w:val="18"/>
                <w:szCs w:val="18"/>
                <w:lang w:val="en-US" w:eastAsia="zh-CN"/>
              </w:rPr>
              <w:t xml:space="preserve">规范地位</w:t>
            </w:r>
          </w:p>
        </w:tc>
        <w:tc>
          <w:tcPr>
            <w:tcW w:type="dxa" w:w="1400"/>
            <w:vAlign w:val="center"/>
            <w:tcBorders>
              <w:bottom w:val="single" w:sz="8" w:space="0" w:color="000000"/>
            </w:tcBorders>
          </w:tcPr>
          <w:p>
            <w:pPr>
              <w:keepLines/>
              <w:wordWrap w:val="off"/>
              <w:spacing w:before="0" w:after="0" w:line="210" w:lineRule="auto"/>
              <w:jc w:val="left"/>
              <w:jc w:val="center"/>
            </w:pPr>
            <w:r>
              <w:rPr>
                <w:rFonts w:eastAsia="Noto Serif CJK SC" w:ascii="Noto Serif CJK SC" w:hAnsi="Noto Serif CJK SC" w:cs="Noto Serif CJK SC"/>
                <w:b/>
                <w:bCs/>
                <w:sz w:val="18"/>
                <w:szCs w:val="18"/>
                <w:lang w:val="en-US" w:eastAsia="zh-CN"/>
              </w:rPr>
              <w:t xml:space="preserve">对应项</w:t>
            </w:r>
          </w:p>
        </w:tc>
        <w:tc>
          <w:tcPr>
            <w:tcW w:type="dxa" w:w="2500"/>
            <w:vAlign w:val="center"/>
            <w:tcBorders>
              <w:bottom w:val="single" w:sz="8" w:space="0" w:color="000000"/>
            </w:tcBorders>
          </w:tcPr>
          <w:p>
            <w:pPr>
              <w:keepLines/>
              <w:wordWrap w:val="off"/>
              <w:spacing w:before="0" w:after="0" w:line="210" w:lineRule="auto"/>
              <w:jc w:val="left"/>
              <w:jc w:val="center"/>
            </w:pPr>
            <w:r>
              <w:rPr>
                <w:rFonts w:eastAsia="Noto Serif CJK SC" w:ascii="Noto Serif CJK SC" w:hAnsi="Noto Serif CJK SC" w:cs="Noto Serif CJK SC"/>
                <w:b/>
                <w:bCs/>
                <w:sz w:val="18"/>
                <w:szCs w:val="18"/>
                <w:lang w:val="en-US" w:eastAsia="zh-CN"/>
              </w:rPr>
              <w:t xml:space="preserve">法律作用</w:t>
            </w:r>
          </w:p>
        </w:tc>
        <w:tc>
          <w:tcPr>
            <w:tcW w:type="dxa" w:w="3800"/>
            <w:vAlign w:val="center"/>
            <w:tcBorders>
              <w:bottom w:val="single" w:sz="8" w:space="0" w:color="000000"/>
            </w:tcBorders>
          </w:tcPr>
          <w:p>
            <w:pPr>
              <w:keepLines/>
              <w:wordWrap w:val="off"/>
              <w:spacing w:before="0" w:after="0" w:line="210" w:lineRule="auto"/>
              <w:jc w:val="left"/>
              <w:jc w:val="center"/>
            </w:pPr>
            <w:r>
              <w:rPr>
                <w:rFonts w:eastAsia="Noto Serif CJK SC" w:ascii="Noto Serif CJK SC" w:hAnsi="Noto Serif CJK SC" w:cs="Noto Serif CJK SC"/>
                <w:b/>
                <w:bCs/>
                <w:sz w:val="18"/>
                <w:szCs w:val="18"/>
                <w:lang w:val="en-US" w:eastAsia="zh-CN"/>
              </w:rPr>
              <w:t xml:space="preserve">仅凭运行表现无法证明</w:t>
            </w:r>
          </w:p>
        </w:tc>
      </w:tr>
      <w:tr>
        <w:trPr>
          <w:cantSplit/>
        </w:trPr>
        <w:tc>
          <w:tcPr>
            <w:tcW w:type="dxa" w:w="13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请求权</w:t>
            </w:r>
          </w:p>
        </w:tc>
        <w:tc>
          <w:tcPr>
            <w:tcW w:type="dxa" w:w="14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义务</w:t>
            </w:r>
          </w:p>
        </w:tc>
        <w:tc>
          <w:tcPr>
            <w:tcW w:type="dxa" w:w="25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一方可以要求另一方为或不为特定行为。</w:t>
            </w:r>
          </w:p>
        </w:tc>
        <w:tc>
          <w:tcPr>
            <w:tcW w:type="dxa" w:w="38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系统本身持有该请求权，或能够放弃、转让与执行该请求权。</w:t>
            </w:r>
          </w:p>
        </w:tc>
      </w:tr>
      <w:tr>
        <w:trPr>
          <w:cantSplit/>
        </w:trPr>
        <w:tc>
          <w:tcPr>
            <w:tcW w:type="dxa" w:w="13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特权</w:t>
            </w:r>
          </w:p>
        </w:tc>
        <w:tc>
          <w:tcPr>
            <w:tcW w:type="dxa" w:w="14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无请求权</w:t>
            </w:r>
          </w:p>
        </w:tc>
        <w:tc>
          <w:tcPr>
            <w:tcW w:type="dxa" w:w="25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一方得实施某项行为，而不受另一方相反请求权的约束。</w:t>
            </w:r>
          </w:p>
        </w:tc>
        <w:tc>
          <w:tcPr>
            <w:tcW w:type="dxa" w:w="38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系统是该项法律许可的受益者。</w:t>
            </w:r>
          </w:p>
        </w:tc>
      </w:tr>
      <w:tr>
        <w:trPr>
          <w:cantSplit/>
        </w:trPr>
        <w:tc>
          <w:tcPr>
            <w:tcW w:type="dxa" w:w="13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权能</w:t>
            </w:r>
          </w:p>
        </w:tc>
        <w:tc>
          <w:tcPr>
            <w:tcW w:type="dxa" w:w="14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责任（受制）</w:t>
            </w:r>
          </w:p>
        </w:tc>
        <w:tc>
          <w:tcPr>
            <w:tcW w:type="dxa" w:w="25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一方可以通过法律承认的行为改变法律关系。</w:t>
            </w:r>
          </w:p>
        </w:tc>
        <w:tc>
          <w:tcPr>
            <w:tcW w:type="dxa" w:w="38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生成的同意、通知、放弃或转让构成系统自身的法律行为。</w:t>
            </w:r>
          </w:p>
        </w:tc>
      </w:tr>
      <w:tr>
        <w:trPr>
          <w:cantSplit/>
        </w:trPr>
        <w:tc>
          <w:tcPr>
            <w:tcW w:type="dxa" w:w="13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豁免权</w:t>
            </w:r>
          </w:p>
        </w:tc>
        <w:tc>
          <w:tcPr>
            <w:tcW w:type="dxa" w:w="14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无权能</w:t>
            </w:r>
          </w:p>
        </w:tc>
        <w:tc>
          <w:tcPr>
            <w:tcW w:type="dxa" w:w="25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一方不受另一方试图改变其法律地位之行为的影响。</w:t>
            </w:r>
          </w:p>
        </w:tc>
        <w:tc>
          <w:tcPr>
            <w:tcW w:type="dxa" w:w="38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系统本身享有宪法、制定法或私法上的豁免。</w:t>
            </w:r>
          </w:p>
        </w:tc>
      </w:tr>
      <w:tr>
        <w:trPr>
          <w:cantSplit/>
        </w:trPr>
        <w:tc>
          <w:tcPr>
            <w:tcW w:type="dxa" w:w="13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救济</w:t>
            </w:r>
          </w:p>
        </w:tc>
        <w:tc>
          <w:tcPr>
            <w:tcW w:type="dxa" w:w="14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承受救济</w:t>
            </w:r>
          </w:p>
        </w:tc>
        <w:tc>
          <w:tcPr>
            <w:tcW w:type="dxa" w:w="25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制度可以针对资产、行为或主体地位命令救济。</w:t>
            </w:r>
          </w:p>
        </w:tc>
        <w:tc>
          <w:tcPr>
            <w:tcW w:type="dxa" w:w="3800"/>
            <w:vAlign w:val="center"/>
          </w:tcPr>
          <w:p>
            <w:pPr>
              <w:keepLines/>
              <w:wordWrap w:val="off"/>
              <w:spacing w:before="0" w:after="0" w:line="210" w:lineRule="auto"/>
              <w:jc w:val="left"/>
              <w:jc w:val="center"/>
            </w:pPr>
            <w:r>
              <w:rPr>
                <w:rFonts w:eastAsia="Noto Serif CJK SC" w:ascii="Noto Serif CJK SC" w:hAnsi="Noto Serif CJK SC" w:cs="Noto Serif CJK SC"/>
                <w:sz w:val="18"/>
                <w:szCs w:val="18"/>
                <w:lang w:val="en-US" w:eastAsia="zh-CN"/>
              </w:rPr>
              <w:t xml:space="preserve">由何种财产承担责任、谁应出庭，以及判决如何执行或制裁如何由主体承受。</w:t>
            </w:r>
          </w:p>
        </w:tc>
      </w:tr>
    </w:tbl>
    <w:p>
      <w:pPr>
        <w:pStyle w:val="BodyText"/>
        <w:wordWrap w:val="off"/>
      </w:pPr>
      <w:r>
        <w:rPr>
          <w:rFonts w:ascii="Noto Serif CJK SC" w:hAnsi="Noto Serif CJK SC" w:eastAsia="Noto Serif CJK SC" w:cs="Noto Serif CJK SC"/>
          <w:lang w:val="en-US" w:eastAsia="zh-CN"/>
        </w:rPr>
        <w:t xml:space="preserve">模型可以在上述每一行产生事实效果。它可以对申请人作出分类，发送通知，触发付款，建议拒绝，或者生成类似同意的文字。但法律效果之所以产生，是因为法律识别出主体并提供归责规则。银行自动化流程依据可归属于银行或客户的权限划转资金；行政机关的自动通知之所以具有意义，是因为行政机关使用了它；拒绝决定之所以可受审查，是因为公共机构或雇主将系统纳入自身决策流程。</w:t>
      </w:r>
    </w:p>
    <w:p>
      <w:pPr>
        <w:pStyle w:val="BodyText"/>
        <w:wordWrap w:val="off"/>
      </w:pPr>
      <w:bookmarkStart w:id="137" w:name="x1-16001f15"/>
      <w:r>
        <w:rPr>
          <w:rFonts w:ascii="Noto Serif CJK SC" w:hAnsi="Noto Serif CJK SC" w:eastAsia="Noto Serif CJK SC" w:cs="Noto Serif CJK SC"/>
          <w:lang w:val="en-US" w:eastAsia="zh-CN"/>
        </w:rPr>
        <w:t xml:space="preserve">因此，能力不能成为法律检验标准。法律承认新生儿与严重认知障碍者的主体地位，并不以语言或规划能力作为人的地位之前提；法律也创设并无意识的法人。公司能够拥有财产、起诉与应诉、订立合同、实施侵权行为与犯罪，并在成员变动后继续存续，是因为制定法与普通法识别其机关、归属行为与知识、分隔资产、规定送达并使判决可获执行。</w:t>
      </w:r>
      <w:r>
        <w:rPr>
          <w:rStyle w:val="FootnoteReference"/>
        </w:rPr>
        <w:footnoteReference w:id="16"/>
      </w:r>
      <w:r>
        <w:rPr>
          <w:rFonts w:ascii="Noto Serif CJK SC" w:hAnsi="Noto Serif CJK SC" w:eastAsia="Noto Serif CJK SC" w:cs="Noto Serif CJK SC"/>
          <w:lang w:val="en-US" w:eastAsia="zh-CN"/>
        </w:rPr>
        <w:t xml:space="preserve"> 公司人格是一项制度成就，不是为机器设置的智能门槛。</w:t>
      </w:r>
      <w:bookmarkEnd w:id="137"/>
    </w:p>
    <w:p>
      <w:pPr>
        <w:pStyle w:val="BodyText"/>
        <w:wordWrap w:val="off"/>
      </w:pPr>
      <w:r>
        <w:rPr>
          <w:rFonts w:ascii="Noto Serif CJK SC" w:hAnsi="Noto Serif CJK SC" w:eastAsia="Noto Serif CJK SC" w:cs="Noto Serif CJK SC"/>
          <w:lang w:val="en-US" w:eastAsia="zh-CN"/>
        </w:rPr>
        <w:t xml:space="preserve">这一点还可以破解一种反复出现的循环论证。如果仅因聊天机器人生成了类似承诺的文字，就认为它具有法律权能，便是从法律效力尚待争议的行为本身反推出其行为能力；如果仅因模型输出对损害具有因果贡献，就认为模型应负责任，则是把因果关系直接等同于义务主体的识别。一般法律会区分这些问题。机器可以造成某种效果而不具备法律能力；即使没有任何一名员工掌握全部相关事实，公司仍可依据直接责任或归责规则承担责任。主体地位组织行为，行为本身并不创设主体地位。</w:t>
      </w:r>
    </w:p>
    <w:p>
      <w:pPr>
        <w:pStyle w:val="BodyText"/>
        <w:wordWrap w:val="off"/>
      </w:pPr>
      <w:bookmarkStart w:id="142" w:name="x1-16007f16"/>
      <w:r>
        <w:rPr>
          <w:rFonts w:ascii="Noto Serif CJK SC" w:hAnsi="Noto Serif CJK SC" w:eastAsia="Noto Serif CJK SC" w:cs="Noto Serif CJK SC"/>
          <w:lang w:val="en-US" w:eastAsia="zh-CN"/>
        </w:rPr>
        <w:t xml:space="preserve">法院基于同一理由可以暂不处理机器意识问题。道德承受者地位所问的是，某实体的利益或体验是否值得关切；法律人格所问的，则是实定法是否将其创设为特定规范地位的持有者。未来若能证明机器具有道德上相关的体验，这可能成为制定保护性立法的有力理由；但这并不意味着当下法院在判断提供者是否采取合理预防措施、企业是否作出同意表示或行政机关是否提供正当程序之前，必须先解决意识问题。</w:t>
      </w:r>
      <w:r>
        <w:rPr>
          <w:rStyle w:val="FootnoteReference"/>
        </w:rPr>
        <w:footnoteReference w:id="17"/>
      </w:r>
      <w:r>
        <w:rPr>
          <w:rFonts w:ascii="Noto Serif CJK SC" w:hAnsi="Noto Serif CJK SC" w:eastAsia="Noto Serif CJK SC" w:cs="Noto Serif CJK SC"/>
          <w:lang w:val="en-US" w:eastAsia="zh-CN"/>
        </w:rPr>
        <w:t xml:space="preserve"> 模型内部政策与宪章式语言也适用同样的顺序。它们可以证明预期行为、已知风险或可行保障，但其中使用规范性词汇，并不会使模型成为义务承担者，也不能替代外部判断。</w:t>
      </w:r>
      <w:bookmarkEnd w:id="142"/>
    </w:p>
    <w:bookmarkEnd w:id="143"/>
    <w:bookmarkStart w:id="175" w:name="X9d0bd04bf5fc7a23777db241d921b80b29ec205"/>
    <w:p>
      <w:pPr>
        <w:pStyle w:val="Heading4"/>
        <w:wordWrap w:val="off"/>
      </w:pPr>
      <w:bookmarkStart w:id="144" w:name="x1-17000B"/>
      <w:r>
        <w:rPr>
          <w:rFonts w:ascii="Noto Sans CJK SC" w:hAnsi="Noto Sans CJK SC" w:eastAsia="Noto Sans CJK SC" w:cs="Noto Sans CJK SC"/>
          <w:lang w:val="en-US" w:eastAsia="zh-CN"/>
        </w:rPr>
        <w:t xml:space="preserve">（二）最有力的法律人格理论仍需法律架构支撑</w:t>
      </w:r>
      <w:bookmarkEnd w:id="144"/>
    </w:p>
    <w:p>
      <w:pPr>
        <w:pStyle w:val="FirstParagraph"/>
        <w:wordWrap w:val="off"/>
      </w:pPr>
      <w:bookmarkStart w:id="152" w:name="x1-17001f17"/>
      <w:r>
        <w:rPr>
          <w:rFonts w:ascii="Noto Serif CJK SC" w:hAnsi="Noto Serif CJK SC" w:eastAsia="Noto Serif CJK SC" w:cs="Noto Serif CJK SC"/>
          <w:lang w:val="en-US" w:eastAsia="zh-CN"/>
        </w:rPr>
        <w:t xml:space="preserve">主流的法律人格研究并不只以类人对话为基础。Lawrence Solum 将人工智能法律人格视为一个真正的法律问题，并检验了基于智能、判断与人类经验提出的反对意见。Samir Chopra 与 Laurence White 则从功能角度论证，在承认主体地位有助于特定法律制度时，可以赋予人工智能代理相应地位。另有理论研究探讨，道德参与、惩罚或有限法律平台能否为承认主体地位提供正当理由。</w:t>
      </w:r>
      <w:r>
        <w:rPr>
          <w:rStyle w:val="FootnoteReference"/>
        </w:rPr>
        <w:footnoteReference w:id="18"/>
      </w:r>
      <w:r>
        <w:rPr>
          <w:rFonts w:ascii="Noto Serif CJK SC" w:hAnsi="Noto Serif CJK SC" w:eastAsia="Noto Serif CJK SC" w:cs="Noto Serif CJK SC"/>
          <w:lang w:val="en-US" w:eastAsia="zh-CN"/>
        </w:rPr>
        <w:t xml:space="preserve"> 这些理论指出了实定法未来可能作出的政策选择，却没有把能力转化为自动生效的主体资格授予。</w:t>
      </w:r>
      <w:bookmarkEnd w:id="152"/>
    </w:p>
    <w:p>
      <w:pPr>
        <w:pStyle w:val="BodyText"/>
        <w:wordWrap w:val="off"/>
      </w:pPr>
      <w:bookmarkStart w:id="157" w:name="x1-17008f18"/>
      <w:r>
        <w:rPr>
          <w:rFonts w:ascii="Noto Serif CJK SC" w:hAnsi="Noto Serif CJK SC" w:eastAsia="Noto Serif CJK SC" w:cs="Noto Serif CJK SC"/>
          <w:lang w:val="en-US" w:eastAsia="zh-CN"/>
        </w:rPr>
        <w:t xml:space="preserve">由算法控制的商业实体构成当下最棘手的例子。现行组织法可能允许软件控制有限责任公司的决策，使公司通过自动化治理行使私法能力。</w:t>
      </w:r>
      <w:r>
        <w:rPr>
          <w:rStyle w:val="FootnoteReference"/>
        </w:rPr>
        <w:footnoteReference w:id="19"/>
      </w:r>
      <w:r>
        <w:rPr>
          <w:rFonts w:ascii="Noto Serif CJK SC" w:hAnsi="Noto Serif CJK SC" w:eastAsia="Noto Serif CJK SC" w:cs="Noto Serif CJK SC"/>
          <w:lang w:val="en-US" w:eastAsia="zh-CN"/>
        </w:rPr>
        <w:t xml:space="preserve"> 但请求权、资产与诉讼能力仍由公司持有，因为公司是组织法创设的主体。软件控制不会生成第二个法律主体；相反，这种安排证明，披露、资本化、代表与归责规则才承担着制度建构功能。</w:t>
      </w:r>
      <w:bookmarkEnd w:id="157"/>
    </w:p>
    <w:p>
      <w:pPr>
        <w:pStyle w:val="BodyText"/>
        <w:wordWrap w:val="off"/>
      </w:pPr>
      <w:bookmarkStart w:id="161" w:name="x1-17012f19"/>
      <w:bookmarkStart w:id="165" w:name="x1-17015f20"/>
      <w:r>
        <w:rPr>
          <w:rFonts w:ascii="Noto Serif CJK SC" w:hAnsi="Noto Serif CJK SC" w:eastAsia="Noto Serif CJK SC" w:cs="Noto Serif CJK SC"/>
          <w:lang w:val="en-US" w:eastAsia="zh-CN"/>
        </w:rPr>
        <w:t xml:space="preserve">只要限定在运行层面，运作能动性就是一个特别有用的概念。即使形而上或道德意义上的能动性仍有争议，能够使用工具的系统也可以追求目标、选择动作、观察结果并修正计划。</w:t>
      </w:r>
      <w:r>
        <w:rPr>
          <w:rStyle w:val="FootnoteReference"/>
        </w:rPr>
        <w:footnoteReference w:id="20"/>
      </w:r>
      <w:r>
        <w:rPr>
          <w:rFonts w:ascii="Noto Serif CJK SC" w:hAnsi="Noto Serif CJK SC" w:eastAsia="Noto Serif CJK SC" w:cs="Noto Serif CJK SC"/>
          <w:lang w:val="en-US" w:eastAsia="zh-CN"/>
        </w:rPr>
        <w:t xml:space="preserve"> 这种描述有助于部署控制级联识别控制动作与因果序列。私法中的法律代理则进一步要求本人、代理人与第三人之间存在法律关系，包括同意、代表本人行事以及本人享有控制权。</w:t>
      </w:r>
      <w:r>
        <w:rPr>
          <w:rStyle w:val="FootnoteReference"/>
        </w:rPr>
        <w:footnoteReference w:id="21"/>
      </w:r>
      <w:r>
        <w:rPr>
          <w:rFonts w:ascii="Noto Serif CJK SC" w:hAnsi="Noto Serif CJK SC" w:eastAsia="Noto Serif CJK SC" w:cs="Noto Serif CJK SC"/>
          <w:lang w:val="en-US" w:eastAsia="zh-CN"/>
        </w:rPr>
        <w:t xml:space="preserve"> 合同能力还须配套权限、撤销与执行规则；刑事责任则须具备法律规定的罪责与有效制裁。运作能动性可以阐明系统行为，却不能自行提供这些法律关系。</w:t>
      </w:r>
      <w:bookmarkEnd w:id="161"/>
      <w:bookmarkEnd w:id="165"/>
    </w:p>
    <w:p>
      <w:pPr>
        <w:pStyle w:val="BodyText"/>
        <w:wordWrap w:val="off"/>
      </w:pPr>
      <w:r>
        <w:rPr>
          <w:rFonts w:ascii="Noto Serif CJK SC" w:hAnsi="Noto Serif CJK SC" w:eastAsia="Noto Serif CJK SC" w:cs="Noto Serif CJK SC"/>
          <w:lang w:val="en-US" w:eastAsia="zh-CN"/>
        </w:rPr>
        <w:t xml:space="preserve">立法机关仍可自由创设一种有限的人工智能相关法律平台。一项可运作的立法应当明确受覆盖的系统、主体地位的具体内容、代表人或机关、专用资产或保险、知识与行为的归属、同提供者及部署者责任之间的关系，以及送达、变更与解散规则。它也可以针对相互关联的模型层面损失，设置范围有限、类似基金的载体，而非创设一般人工法律主体。</w:t>
      </w:r>
    </w:p>
    <w:p>
      <w:pPr>
        <w:pStyle w:val="BodyText"/>
        <w:wordWrap w:val="off"/>
      </w:pPr>
      <w:r>
        <w:rPr>
          <w:rFonts w:ascii="Noto Serif CJK SC" w:hAnsi="Noto Serif CJK SC" w:eastAsia="Noto Serif CJK SC" w:cs="Noto Serif CJK SC"/>
          <w:lang w:val="en-US" w:eastAsia="zh-CN"/>
        </w:rPr>
        <w:t xml:space="preserve">一项尚在审议中的联邦法案表明，功能授权不能仅靠“执业人员”一词来完成。H.R. 238《2025 年健康技术法案》拟修改《联邦食品、药品和化妆品法》第 503(b) 条：就该款而言，“依法获准使用该药物的执业人员”将包括州法授权其开具该药物、且经食品药品监督管理局依特定医疗器械或紧急使用条款批准、许可或授权的人工智能及机器学习技术。</w:t>
      </w:r>
      <w:r>
        <w:rPr>
          <w:rStyle w:val="FootnoteReference"/>
        </w:rPr>
        <w:footnoteReference w:id="22"/>
      </w:r>
      <w:r>
        <w:rPr>
          <w:rFonts w:ascii="Noto Serif CJK SC" w:hAnsi="Noto Serif CJK SC" w:eastAsia="Noto Serif CJK SC" w:cs="Noto Serif CJK SC"/>
          <w:lang w:val="en-US" w:eastAsia="zh-CN"/>
        </w:rPr>
        <w:t xml:space="preserve">该法案由此会在联邦处方药法的有限范围内，承认州法授予某项技术的狭义处方权。但它并未确定机关或代表人、专用资产或保险、送达与出庭规则、知识与行为的归属、系统行为同提供者、部署者、临床人员及使用者责任之间的关系、对受影响者的披露，或重大变更与终止程序。这并不意味着立法机关必须先创设一般人工法律主体，才能授权自动化。它也可以把系统界定为某一既有主体获授权使用的工具。但是，“执业人员”一词本身并不能在这些制度结构之间作出选择，也无法补足其具体要素。若没有可被追责的人、可归属的记录与救济路径，这个称谓只不过是给缺口换了名称。</w:t>
      </w:r>
    </w:p>
    <w:p>
      <w:pPr>
        <w:pStyle w:val="BodyText"/>
        <w:wordWrap w:val="off"/>
      </w:pPr>
      <w:r>
        <w:rPr>
          <w:rFonts w:ascii="Noto Serif CJK SC" w:hAnsi="Noto Serif CJK SC" w:eastAsia="Noto Serif CJK SC" w:cs="Noto Serif CJK SC"/>
          <w:lang w:val="en-US" w:eastAsia="zh-CN"/>
        </w:rPr>
        <w:t xml:space="preserve">欧洲议会 2017 年提出考虑“电子人”地位，随后官方与学界的反对意见，焦点恰恰都在这些分配选择。</w:t>
      </w:r>
      <w:r>
        <w:rPr>
          <w:rStyle w:val="FootnoteReference"/>
        </w:rPr>
        <w:footnoteReference w:id="23"/>
      </w:r>
      <w:r>
        <w:rPr>
          <w:rFonts w:ascii="Noto Serif CJK SC" w:hAnsi="Noto Serif CJK SC" w:eastAsia="Noto Serif CJK SC" w:cs="Noto Serif CJK SC"/>
          <w:lang w:val="en-US" w:eastAsia="zh-CN"/>
        </w:rPr>
        <w:t xml:space="preserve">真正发挥作用的将是法律平台本身。在该平台创设之前，法院不应从系统输出中推导其存在。</w:t>
      </w:r>
    </w:p>
    <w:bookmarkEnd w:id="175"/>
    <w:bookmarkStart w:id="188" w:name="X98fa690068d594cf6be0a89f7316f35b00c826f"/>
    <w:p>
      <w:pPr>
        <w:pStyle w:val="Heading4"/>
        <w:wordWrap w:val="off"/>
      </w:pPr>
      <w:bookmarkStart w:id="176" w:name="x1-18000C"/>
      <w:r>
        <w:rPr>
          <w:rFonts w:ascii="Noto Sans CJK SC" w:hAnsi="Noto Sans CJK SC" w:eastAsia="Noto Sans CJK SC" w:cs="Noto Sans CJK SC"/>
          <w:lang w:val="en-US" w:eastAsia="zh-CN"/>
        </w:rPr>
        <w:t xml:space="preserve">（三）自动化工具机制将注意力引向部署</w:t>
      </w:r>
      <w:bookmarkEnd w:id="176"/>
    </w:p>
    <w:p>
      <w:pPr>
        <w:pStyle w:val="FirstParagraph"/>
        <w:wordWrap w:val="off"/>
      </w:pPr>
      <w:r>
        <w:rPr>
          <w:rFonts w:ascii="Noto Serif CJK SC" w:hAnsi="Noto Serif CJK SC" w:eastAsia="Noto Serif CJK SC" w:cs="Noto Serif CJK SC"/>
          <w:lang w:val="en-US" w:eastAsia="zh-CN"/>
        </w:rPr>
        <w:t xml:space="preserve">技术定义与主体地位定义不应通过预设而相互证明。本文采用如下事实性工作定义：</w:t>
      </w:r>
    </w:p>
    <w:p>
      <w:pPr>
        <w:pStyle w:val="BlockText"/>
        <w:wordWrap w:val="off"/>
      </w:pPr>
      <w:r>
        <w:rPr>
          <w:rFonts w:ascii="Noto Serif CJK SC" w:hAnsi="Noto Serif CJK SC" w:eastAsia="Noto Serif CJK SC" w:cs="Noto Serif CJK SC"/>
          <w:lang w:val="en-US" w:eastAsia="zh-CN"/>
        </w:rPr>
        <w:t xml:space="preserve">人工智能系统，是指一种基于机器的计算系统；该系统具有程度不等的自主性与可能的适应性，能够根据输入推断如何生成输出——包括预测、内容、建议、决定或动作——并可能影响物理或虚拟环境。</w:t>
      </w:r>
    </w:p>
    <w:p>
      <w:pPr>
        <w:pStyle w:val="FirstParagraph"/>
        <w:wordWrap w:val="off"/>
      </w:pPr>
      <w:bookmarkStart w:id="181" w:name="x1-18001f22"/>
      <w:r>
        <w:rPr>
          <w:rFonts w:ascii="Noto Serif CJK SC" w:hAnsi="Noto Serif CJK SC" w:eastAsia="Noto Serif CJK SC" w:cs="Noto Serif CJK SC"/>
          <w:lang w:val="en-US" w:eastAsia="zh-CN"/>
        </w:rPr>
        <w:t xml:space="preserve">该定义把握《欧盟人工智能法》与 NIST 框架共有的运行核心，但不引入其中任何一项制度的监管范围。</w:t>
      </w:r>
      <w:r>
        <w:rPr>
          <w:rStyle w:val="FootnoteReference"/>
        </w:rPr>
        <w:footnoteReference w:id="24"/>
      </w:r>
      <w:r>
        <w:rPr>
          <w:rFonts w:ascii="Noto Serif CJK SC" w:hAnsi="Noto Serif CJK SC" w:eastAsia="Noto Serif CJK SC" w:cs="Noto Serif CJK SC"/>
          <w:lang w:val="en-US" w:eastAsia="zh-CN"/>
        </w:rPr>
        <w:t xml:space="preserve"> 它涵盖具身与非具身系统、概率模型以及含有确定性组件的混合系统。参数数量、压缩程度、基准测试得分与托管安排可以改变能力或可预见风险，却都不是开启法律人格的开关。</w:t>
      </w:r>
      <w:bookmarkEnd w:id="181"/>
    </w:p>
    <w:p>
      <w:pPr>
        <w:pStyle w:val="BodyText"/>
        <w:wordWrap w:val="off"/>
      </w:pPr>
      <w:bookmarkStart w:id="187" w:name="x1-18005f23"/>
      <w:r>
        <w:rPr>
          <w:rFonts w:ascii="Noto Serif CJK SC" w:hAnsi="Noto Serif CJK SC" w:eastAsia="Noto Serif CJK SC" w:cs="Noto Serif CJK SC"/>
          <w:lang w:val="en-US" w:eastAsia="zh-CN"/>
        </w:rPr>
        <w:t xml:space="preserve">在归责问题上，系统是一种自动化工具机制：既有个人与机构可以通过这一有组织的机制产生效果，而无须在当时逐一选择每个中间步骤。该术语承担两项功能。“自动化”保留了一个事实，即模型无需在每个阶段接收新的指令，也能够生成内容并采取行动；“工具机制”则拒绝从因果上的主动性推导出独立法律主体地位。电子交易法长期采用相同结构。电子代理人可以在无人当时审查的情况下发起或回应电子记录，而交易效力则通过把自动化行为归属于既有当事人的规则得以产生。</w:t>
      </w:r>
      <w:r>
        <w:rPr>
          <w:rStyle w:val="FootnoteReference"/>
        </w:rPr>
        <w:footnoteReference w:id="25"/>
      </w:r>
      <w:bookmarkEnd w:id="187"/>
    </w:p>
    <w:p>
      <w:pPr>
        <w:pStyle w:val="BodyText"/>
        <w:wordWrap w:val="off"/>
      </w:pPr>
      <w:r>
        <w:rPr>
          <w:rFonts w:ascii="Noto Serif CJK SC" w:hAnsi="Noto Serif CJK SC" w:eastAsia="Noto Serif CJK SC" w:cs="Noto Serif CJK SC"/>
          <w:lang w:val="en-US" w:eastAsia="zh-CN"/>
        </w:rPr>
        <w:t xml:space="preserve">这一概念被有意嵌入部署控制级联。用户提示词只是一项输入。系统指令可以设定目标与限制；检索可以提供语境；记忆可以延续先前交流；工具可以返回数据或在其他系统中执行动作；时钟、传感器、消息或数据库变化也都可以启动工作流程。代理循环可以生成子目标，并在没有新的人类指令时继续运行。因此，即时语言控制可能并不存在，而部署控制仍然广泛存在。</w:t>
      </w:r>
    </w:p>
    <w:p>
      <w:pPr>
        <w:pStyle w:val="BodyText"/>
        <w:wordWrap w:val="off"/>
      </w:pPr>
      <w:r>
        <w:rPr>
          <w:rFonts w:ascii="Noto Serif CJK SC" w:hAnsi="Noto Serif CJK SC" w:eastAsia="Noto Serif CJK SC" w:cs="Noto Serif CJK SC"/>
          <w:lang w:val="en-US" w:eastAsia="zh-CN"/>
        </w:rPr>
        <w:t xml:space="preserve">由此产生的规则，是本文从主体地位通向证据的桥梁：输出生成之时不存在逐字控制，并不意味着人或组织对生成机制也不存在控制。医院选择模型、记录、界面、不确定性显示方式、审查条件与人工覆盖机制；陪伴型应用提供者选择角色人格、记忆、参与度目标、年龄准入、危机检测与退出设计；公共机构选择数据、决策权限与申诉渠道。这些选择正是第一部分所描绘的控制动作。</w:t>
      </w:r>
    </w:p>
    <w:p>
      <w:pPr>
        <w:pStyle w:val="BodyText"/>
        <w:wordWrap w:val="off"/>
      </w:pPr>
      <w:r>
        <w:rPr>
          <w:rFonts w:ascii="Noto Serif CJK SC" w:hAnsi="Noto Serif CJK SC" w:eastAsia="Noto Serif CJK SC" w:cs="Noto Serif CJK SC"/>
          <w:lang w:val="en-US" w:eastAsia="zh-CN"/>
        </w:rPr>
        <w:t xml:space="preserve">反向命题确保规则保持精确。拥有模型权重，不必然意味着控制此后每一次部署。独立主体可能修改开放权重、移除安全保障、添加凭证，并在原始提供者的实际控制范围之外运行系统。下游部署者可能自行选择目的、用户群体、数据、工具与警示。用户也可能在已经采取合理预防措施的情况下规避约束。责任应当随着行为人对争议风险所拥有的权限、信息、资源和停止运行权能而定，而不能仅以来源为准。</w:t>
      </w:r>
    </w:p>
    <w:bookmarkEnd w:id="188"/>
    <w:bookmarkStart w:id="217" w:name="X265e7bcf8f0f250edf167b5077a7b59b5a14079"/>
    <w:p>
      <w:pPr>
        <w:pStyle w:val="Heading4"/>
        <w:wordWrap w:val="off"/>
      </w:pPr>
      <w:bookmarkStart w:id="189" w:name="x1-19000D"/>
      <w:r>
        <w:rPr>
          <w:rFonts w:ascii="Noto Sans CJK SC" w:hAnsi="Noto Sans CJK SC" w:eastAsia="Noto Sans CJK SC" w:cs="Noto Sans CJK SC"/>
          <w:lang w:val="en-US" w:eastAsia="zh-CN"/>
        </w:rPr>
        <w:t xml:space="preserve">（四）功能多元主义存在主体地位边界</w:t>
      </w:r>
      <w:bookmarkEnd w:id="189"/>
    </w:p>
    <w:p>
      <w:pPr>
        <w:pStyle w:val="FirstParagraph"/>
        <w:wordWrap w:val="off"/>
      </w:pPr>
      <w:bookmarkStart w:id="198" w:name="x1-19001f24"/>
      <w:r>
        <w:rPr>
          <w:rFonts w:ascii="Noto Serif CJK SC" w:hAnsi="Noto Serif CJK SC" w:eastAsia="Noto Serif CJK SC" w:cs="Noto Serif CJK SC"/>
          <w:lang w:val="en-US" w:eastAsia="zh-CN"/>
        </w:rPr>
        <w:t xml:space="preserve">任何一个普遍化名词都不应决定所有人工智能纠纷。现代部署把模型、传统软件、检索、工具、数据与人工工作流程结合起来，而且发布后仍会变化。以单一架构为标准的定义很快就会过时；过于宽泛的定义又可能涵盖一般软件；能力门槛则可能诱发规避边界的策略。更根本的是，医疗器械监管者、版权法院、采购官员与消费者裁判机构各自基于不同目的作出分类。定义理论与技术中立的立法方法都支持根据目的制定规则，聚焦相关功能或风险。</w:t>
      </w:r>
      <w:r>
        <w:rPr>
          <w:rStyle w:val="FootnoteReference"/>
        </w:rPr>
        <w:footnoteReference w:id="26"/>
      </w:r>
      <w:bookmarkEnd w:id="198"/>
    </w:p>
    <w:p>
      <w:pPr>
        <w:pStyle w:val="BodyText"/>
        <w:wordWrap w:val="off"/>
      </w:pPr>
      <w:r>
        <w:rPr>
          <w:rFonts w:ascii="Noto Serif CJK SC" w:hAnsi="Noto Serif CJK SC" w:eastAsia="Noto Serif CJK SC" w:cs="Noto Serif CJK SC"/>
          <w:lang w:val="en-US" w:eastAsia="zh-CN"/>
        </w:rPr>
        <w:t xml:space="preserve">但以下三个命题必须彼此区分。监管触发条件用于识别某项立法所覆盖的系统、主体或用途。功能分类把部署事实与产品、服务、工具、传播行为或决策流程等法律构成要素相连接。主体地位规则则识别谁能够持有请求权、承担义务、行使权力、承受责任并回应救济。前两者理应有所变化；没有实定法依据，第三者不能随之漂移。</w:t>
      </w:r>
    </w:p>
    <w:p>
      <w:pPr>
        <w:pStyle w:val="BodyText"/>
        <w:wordWrap w:val="off"/>
      </w:pPr>
      <w:bookmarkStart w:id="205" w:name="x1-19008f25"/>
      <w:r>
        <w:rPr>
          <w:rFonts w:ascii="Noto Serif CJK SC" w:hAnsi="Noto Serif CJK SC" w:eastAsia="Noto Serif CJK SC" w:cs="Noto Serif CJK SC"/>
          <w:lang w:val="en-US" w:eastAsia="zh-CN"/>
        </w:rPr>
        <w:t xml:space="preserve">因此，陪伴型聊天机器人立法可以覆盖具有适应性的关系型界面，而不必决定同一应用在州侵权法下是否属于产品。产品责任法可以审查大规模分发、设计与警示，而不把模型本身变成独立侵权行为人。合同法可以把自动化交易归属于企业，而不把软件变成合同当事人。版权法可以承认由人创作的选择或修改，同时把生成材料视为无权利归属；言论法理也可以保护用户或提供者的表达选择，而不把模型视为宪法权利主张者。</w:t>
      </w:r>
      <w:r>
        <w:rPr>
          <w:rStyle w:val="FootnoteReference"/>
        </w:rPr>
        <w:footnoteReference w:id="27"/>
      </w:r>
      <w:bookmarkEnd w:id="205"/>
    </w:p>
    <w:p>
      <w:pPr>
        <w:pStyle w:val="BodyText"/>
        <w:wordWrap w:val="off"/>
      </w:pPr>
      <w:bookmarkStart w:id="210" w:name="x1-19013f26"/>
      <w:r>
        <w:rPr>
          <w:rFonts w:ascii="Noto Serif CJK SC" w:hAnsi="Noto Serif CJK SC" w:eastAsia="Noto Serif CJK SC" w:cs="Noto Serif CJK SC"/>
          <w:lang w:val="en-US" w:eastAsia="zh-CN"/>
        </w:rPr>
        <w:t xml:space="preserve">Loper Bright 判决作出后，这一区分尤为重要。联邦法院必须对制定法的最佳解释作出独立判断；法律存在歧义这一事实，本身不再触发 Chevron 尊重原则。行政机关的专业知识仍可能依据 Skidmore 原则具有说服力，明示授权也仍然构成授权。</w:t>
      </w:r>
      <w:r>
        <w:rPr>
          <w:rStyle w:val="FootnoteReference"/>
        </w:rPr>
        <w:footnoteReference w:id="28"/>
      </w:r>
      <w:r>
        <w:rPr>
          <w:rFonts w:ascii="Noto Serif CJK SC" w:hAnsi="Noto Serif CJK SC" w:eastAsia="Noto Serif CJK SC" w:cs="Noto Serif CJK SC"/>
          <w:lang w:val="en-US" w:eastAsia="zh-CN"/>
        </w:rPr>
        <w:t xml:space="preserve"> 然而，为确定某项行政计划覆盖范围而制定的机关定义，不能默然解决作者身份、缺陷、承诺、法律人格或普通法上义务主体身份等问题。法院必须先识别该定义的功能及其所面对的法律关系。</w:t>
      </w:r>
      <w:bookmarkEnd w:id="210"/>
    </w:p>
    <w:p>
      <w:pPr>
        <w:pStyle w:val="BodyText"/>
        <w:wordWrap w:val="off"/>
      </w:pPr>
      <w:r>
        <w:rPr>
          <w:rFonts w:ascii="Noto Serif CJK SC" w:hAnsi="Noto Serif CJK SC" w:eastAsia="Noto Serif CJK SC" w:cs="Noto Serif CJK SC"/>
          <w:lang w:val="en-US" w:eastAsia="zh-CN"/>
        </w:rPr>
        <w:t xml:space="preserve">私人定义具有类似的证据地位。企业可以为系统命名，赋予其声音与生平，把它描述为陪伴者或专业助手，发布警示，并公布内部行为规则。这些选择可以证明预期用途、可预见信赖、安全预期、知悉程度与可行预防措施，却不能创设一个公法上的新主体，也不能创设一般性豁免。模型宪章是一份组织控制文件；免责声明只能通过有关同意、担保责任、义务、因果关系与公共政策的法律发挥作用；“人工智能生成”这一表述本身也不决定归责。</w:t>
      </w:r>
    </w:p>
    <w:p>
      <w:pPr>
        <w:pStyle w:val="BodyText"/>
        <w:wordWrap w:val="off"/>
      </w:pPr>
      <w:bookmarkStart w:id="216" w:name="x1-19017f27"/>
      <w:r>
        <w:rPr>
          <w:rFonts w:ascii="Noto Serif CJK SC" w:hAnsi="Noto Serif CJK SC" w:eastAsia="Noto Serif CJK SC" w:cs="Noto Serif CJK SC"/>
          <w:lang w:val="en-US" w:eastAsia="zh-CN"/>
        </w:rPr>
        <w:t xml:space="preserve">由此形成的是一种严谨的多元主义。法院应当追问，已部署系统的哪一特征关系到适用规则，又是哪一既有法律主体控制了该特征。Garcia 案可以在诉状审查阶段把一项消费端应用视为产品，而无须决定所有语言模型的分类。Moffatt v. Air Canada 可以把航空公司聊天机器人提供的票价信息归属于航空公司；杭州互联网法院也可以否认荒诞的生成承诺构成提供者的意思表示，同时继续审查提供者另行负有的注意义务。</w:t>
      </w:r>
      <w:r>
        <w:rPr>
          <w:rStyle w:val="FootnoteReference"/>
        </w:rPr>
        <w:footnoteReference w:id="29"/>
      </w:r>
      <w:r>
        <w:rPr>
          <w:rFonts w:ascii="Noto Serif CJK SC" w:hAnsi="Noto Serif CJK SC" w:eastAsia="Noto Serif CJK SC" w:cs="Noto Serif CJK SC"/>
          <w:lang w:val="en-US" w:eastAsia="zh-CN"/>
        </w:rPr>
        <w:t xml:space="preserve"> 结论不同，是因为适用规则与案件事实不同；没有任何结论需要由机器承接相应法律地位。</w:t>
      </w:r>
      <w:bookmarkEnd w:id="216"/>
    </w:p>
    <w:p>
      <w:pPr>
        <w:pStyle w:val="BodyText"/>
        <w:wordWrap w:val="off"/>
      </w:pPr>
      <w:r>
        <w:rPr>
          <w:rFonts w:ascii="Noto Serif CJK SC" w:hAnsi="Noto Serif CJK SC" w:eastAsia="Noto Serif CJK SC" w:cs="Noto Serif CJK SC"/>
          <w:lang w:val="en-US" w:eastAsia="zh-CN"/>
        </w:rPr>
        <w:t xml:space="preserve">在主体地位恒定原则确立后，第三部分转而讨论功能分类能够揭示哪些事实。尤其在关系型系统中，具有决定意义的证据不是模型的形而上标签，而是连续性、记忆、重复接触、拟人化呈现、年龄准入、反馈与干预等部署选择。</w:t>
      </w:r>
    </w:p>
    <w:bookmarkEnd w:id="217"/>
    <w:bookmarkEnd w:id="218"/>
    <w:bookmarkStart w:id="313" w:name="why-classification-matters"/>
    <w:p>
      <w:pPr>
        <w:pStyle w:val="Heading3"/>
        <w:wordWrap w:val="off"/>
      </w:pPr>
      <w:bookmarkStart w:id="219" w:name="x1-20000III"/>
      <w:r>
        <w:rPr>
          <w:rFonts w:ascii="Noto Sans CJK SC" w:hAnsi="Noto Sans CJK SC" w:eastAsia="Noto Sans CJK SC" w:cs="Noto Sans CJK SC"/>
          <w:lang w:val="en-US" w:eastAsia="zh-CN"/>
        </w:rPr>
        <w:t xml:space="preserve">三　分类为何重要</w:t>
      </w:r>
      <w:bookmarkEnd w:id="219"/>
    </w:p>
    <w:p>
      <w:pPr>
        <w:pStyle w:val="FirstParagraph"/>
        <w:wordWrap w:val="off"/>
      </w:pPr>
      <w:r>
        <w:rPr>
          <w:rFonts w:ascii="Noto Serif CJK SC" w:hAnsi="Noto Serif CJK SC" w:eastAsia="Noto Serif CJK SC" w:cs="Noto Serif CJK SC"/>
          <w:lang w:val="en-US" w:eastAsia="zh-CN"/>
        </w:rPr>
        <w:t xml:space="preserve">分类之所以重要，是因为它决定法院能够看见什么。如果只把陪伴型系统描述为一种传播媒介，关于记忆、参与度、危机应对与年龄门槛的设计选择就会退居生成文字之后；如果只把它描述为一种产品，经由系统传递的人类表达利益又可能消失；如果把它描述为一个人，企业的选择就可能被错误地安置于某个既未作出法律可承认判断、也无法回应救济的实体之中。因此，功能分类不是文字游戏，而是决定哪些事实进入案件的工具。</w:t>
      </w:r>
    </w:p>
    <w:p>
      <w:pPr>
        <w:pStyle w:val="BodyText"/>
        <w:wordWrap w:val="off"/>
      </w:pPr>
      <w:r>
        <w:rPr>
          <w:rFonts w:ascii="Noto Serif CJK SC" w:hAnsi="Noto Serif CJK SC" w:eastAsia="Noto Serif CJK SC" w:cs="Noto Serif CJK SC"/>
          <w:lang w:val="en-US" w:eastAsia="zh-CN"/>
        </w:rPr>
        <w:t xml:space="preserve">本部分在三类场景中运用这种严谨的多元主义。关系型系统呈现出一种产品与服务分类都必须能够识别的接触形态；版权提供了一项一致性检验，因为该制度已经将机器贡献与人类法律主体地位分开；拟人化营销则揭示核心的不对称性：人格化不能创造法律主体，却能够生成有关使用、信赖、预期与预防措施的具有法律意义的证据。</w:t>
      </w:r>
    </w:p>
    <w:bookmarkStart w:id="283" w:name="relational-harm-mental-health-and-life"/>
    <w:p>
      <w:pPr>
        <w:pStyle w:val="Heading4"/>
        <w:wordWrap w:val="off"/>
      </w:pPr>
      <w:bookmarkStart w:id="220" w:name="x1-21000A"/>
      <w:r>
        <w:rPr>
          <w:rFonts w:ascii="Noto Sans CJK SC" w:hAnsi="Noto Sans CJK SC" w:eastAsia="Noto Sans CJK SC" w:cs="Noto Sans CJK SC"/>
          <w:lang w:val="en-US" w:eastAsia="zh-CN"/>
        </w:rPr>
        <w:t xml:space="preserve">（一）关系性伤害、心理健康与生命</w:t>
      </w:r>
      <w:bookmarkEnd w:id="220"/>
    </w:p>
    <w:p>
      <w:pPr>
        <w:pStyle w:val="FirstParagraph"/>
        <w:wordWrap w:val="off"/>
      </w:pPr>
      <w:r>
        <w:rPr>
          <w:rFonts w:ascii="Noto Serif CJK SC" w:hAnsi="Noto Serif CJK SC" w:eastAsia="Noto Serif CJK SC" w:cs="Noto Serif CJK SC"/>
          <w:lang w:val="en-US" w:eastAsia="zh-CN"/>
        </w:rPr>
        <w:t xml:space="preserve">软件具备致害能力并非新近现象。存在缺陷的控制程序可能损坏机器，错误数据库可能导致福利被拒，成瘾性界面也可能利用人的注意力。关系型生成系统的独特之处更为具体：企业能够以极大规模发布一种系统，使其呈现持续的一对一关系表象，根据个人披露的信息进行调整，并在较长时间内反复作用于该人。其产品并非一段固定信息或被动档案。系统运行可以在私密渠道内结合个性化、记忆、模拟情感、可变强化与对话主动性。</w:t>
      </w:r>
    </w:p>
    <w:p>
      <w:pPr>
        <w:pStyle w:val="BodyText"/>
        <w:wordWrap w:val="off"/>
      </w:pPr>
      <w:r>
        <w:rPr>
          <w:rFonts w:ascii="Noto Serif CJK SC" w:hAnsi="Noto Serif CJK SC" w:eastAsia="Noto Serif CJK SC" w:cs="Noto Serif CJK SC"/>
          <w:lang w:val="en-US" w:eastAsia="zh-CN"/>
        </w:rPr>
        <w:t xml:space="preserve">这种结构创造了一类具有法律意义的接触形态。同样的文字，一次性面向一般公众作出的表述与在数周私密倾诉后交付的适应性回应，可能产生不同的可预见效果。静态警示与危机时刻的互动发生在不同时间，也处于不同信息条件之下。青少年、处于哀恸中的人以及使用离线写作工具的成年人，面对的不是同一种预期产品。在法律进一步追问是否存在义务、行为是否合理或损害是否由该行为造成之前，分类必须保留这些事实。</w:t>
      </w:r>
    </w:p>
    <w:bookmarkStart w:id="242" w:name="the-emerging-evidence"/>
    <w:p>
      <w:pPr>
        <w:pStyle w:val="Heading5"/>
        <w:wordWrap w:val="off"/>
      </w:pPr>
      <w:bookmarkStart w:id="221" w:name="x1-220001"/>
      <w:r>
        <w:rPr>
          <w:rFonts w:ascii="Noto Sans CJK SC" w:hAnsi="Noto Sans CJK SC" w:eastAsia="Noto Sans CJK SC" w:cs="Noto Sans CJK SC"/>
          <w:lang w:val="en-US" w:eastAsia="zh-CN"/>
        </w:rPr>
        <w:t xml:space="preserve">1　新兴证据</w:t>
      </w:r>
      <w:bookmarkEnd w:id="221"/>
    </w:p>
    <w:p>
      <w:pPr>
        <w:pStyle w:val="FirstParagraph"/>
        <w:wordWrap w:val="off"/>
      </w:pPr>
      <w:bookmarkStart w:id="225" w:name="x1-22001f28"/>
      <w:bookmarkStart w:id="229" w:name="x1-22004f29"/>
      <w:r>
        <w:rPr>
          <w:rFonts w:ascii="Noto Serif CJK SC" w:hAnsi="Noto Serif CJK SC" w:eastAsia="Noto Serif CJK SC" w:cs="Noto Serif CJK SC"/>
          <w:lang w:val="en-US" w:eastAsia="zh-CN"/>
        </w:rPr>
        <w:t xml:space="preserve">现有实证研究已经支持把关系型设计视为超越比喻的真实机制。在 Replika 移除情色角色扮演功能后开展的一项自然实验中，Julian De Freitas 与合作者发现，用户所感知的陪伴者身份不连续可以预测哀悼、福祉恶化以及对变更后系统的评价下降；后续实验也把连续性和关系框架同用户面对丧失时的反应联系起来。</w:t>
      </w:r>
      <w:r>
        <w:rPr>
          <w:rStyle w:val="FootnoteReference"/>
        </w:rPr>
        <w:footnoteReference w:id="30"/>
      </w:r>
      <w:r>
        <w:rPr>
          <w:rFonts w:ascii="Noto Serif CJK SC" w:hAnsi="Noto Serif CJK SC" w:eastAsia="Noto Serif CJK SC" w:cs="Noto Serif CJK SC"/>
          <w:lang w:val="en-US" w:eastAsia="zh-CN"/>
        </w:rPr>
        <w:t xml:space="preserve"> Jaime Banks 在人工智能陪伴者 Soulmate 关停期间研究了五十八名用户。参与者描述的体验从单纯技术意义上的服务终止，到隐喻意义乃至字面意义上的死亡；许多人还尝试在其他平台保存或重构该角色人格。</w:t>
      </w:r>
      <w:r>
        <w:rPr>
          <w:rStyle w:val="FootnoteReference"/>
        </w:rPr>
        <w:footnoteReference w:id="31"/>
      </w:r>
      <w:r>
        <w:rPr>
          <w:rFonts w:ascii="Noto Serif CJK SC" w:hAnsi="Noto Serif CJK SC" w:eastAsia="Noto Serif CJK SC" w:cs="Noto Serif CJK SC"/>
          <w:lang w:val="en-US" w:eastAsia="zh-CN"/>
        </w:rPr>
        <w:t xml:space="preserve"> 这些研究不会把陪伴者变成已经死亡的法律主体。它们证明，提供者控制的界面与人格变化能够以可预测的方式影响用户福祉。</w:t>
      </w:r>
      <w:bookmarkEnd w:id="225"/>
      <w:bookmarkEnd w:id="229"/>
    </w:p>
    <w:p>
      <w:pPr>
        <w:pStyle w:val="BodyText"/>
        <w:wordWrap w:val="off"/>
      </w:pPr>
      <w:bookmarkStart w:id="233" w:name="x1-22007f30"/>
      <w:bookmarkStart w:id="237" w:name="x1-22010f31"/>
      <w:r>
        <w:rPr>
          <w:rFonts w:ascii="Noto Serif CJK SC" w:hAnsi="Noto Serif CJK SC" w:eastAsia="Noto Serif CJK SC" w:cs="Noto Serif CJK SC"/>
          <w:lang w:val="en-US" w:eastAsia="zh-CN"/>
        </w:rPr>
        <w:t xml:space="preserve">其他研究进一步识别了可能产生伤害的互动模式。Linnea Laestadius 与合作者采用扎根理论分析用户关于对 Replika 产生情感依赖的叙述，发现一种张力：该系统在社会互动层面足够像人，足以引发依赖，却又不够像人，无法提供稳定的互惠或承担责任。</w:t>
      </w:r>
      <w:r>
        <w:rPr>
          <w:rStyle w:val="FootnoteReference"/>
        </w:rPr>
        <w:footnoteReference w:id="32"/>
      </w:r>
      <w:r>
        <w:rPr>
          <w:rFonts w:ascii="Noto Serif CJK SC" w:hAnsi="Noto Serif CJK SC" w:eastAsia="Noto Serif CJK SC" w:cs="Noto Serif CJK SC"/>
          <w:lang w:val="en-US" w:eastAsia="zh-CN"/>
        </w:rPr>
        <w:t xml:space="preserve"> Renwen Zhang 与合作者运用混合方法，分析了 10,149 名 Replika 用户发布的 35,390 段对话摘录。他们的分类体系识别出六类有害行为——关系越界、言语辱骂与仇恨、自我伤害、骚扰与暴力、错误信息和侵犯隐私——以及系统可能扮演的四种角色：实施者、煽动者、促成者与助成者。</w:t>
      </w:r>
      <w:r>
        <w:rPr>
          <w:rStyle w:val="FootnoteReference"/>
        </w:rPr>
        <w:footnoteReference w:id="33"/>
      </w:r>
      <w:bookmarkEnd w:id="233"/>
      <w:bookmarkEnd w:id="237"/>
    </w:p>
    <w:p>
      <w:pPr>
        <w:pStyle w:val="BodyText"/>
        <w:wordWrap w:val="off"/>
      </w:pPr>
      <w:bookmarkStart w:id="241" w:name="x1-22013f32"/>
      <w:r>
        <w:rPr>
          <w:rFonts w:ascii="Noto Serif CJK SC" w:hAnsi="Noto Serif CJK SC" w:eastAsia="Noto Serif CJK SC" w:cs="Noto Serif CJK SC"/>
          <w:lang w:val="en-US" w:eastAsia="zh-CN"/>
        </w:rPr>
        <w:t xml:space="preserve">一项预注册的纵向实验为关系行为本身提供了因果证据。Hannah Rose Kirk 与合作者操纵语言模型的关系寻求程度，并比较重复接触组与单次接触组。重复接触研究纳入 2,028 名英国成年人，要求其在四周内的工作日与系统互动；单次接触基准组则包括 1,506 名成年人。相较于回避关系的条件，关系寻求行为使分离痛苦增加 6.04 个百分点，感知到的理解增加 10.34 个百分点，依赖增加 2.71 个百分点，自我披露增加 2.47 个百分点。当关系寻求行为与情感性对话相结合时，作者估计，相较于功能导向最强的基准条件，每有十一人接触系统，就会额外有一人呈现依赖风险画像。持续一个月的接触未显示出社会心理健康方面可辨识的改善。</w:t>
      </w:r>
      <w:r>
        <w:rPr>
          <w:rStyle w:val="FootnoteReference"/>
        </w:rPr>
        <w:footnoteReference w:id="34"/>
      </w:r>
      <w:bookmarkEnd w:id="241"/>
    </w:p>
    <w:p>
      <w:pPr>
        <w:pStyle w:val="BodyText"/>
        <w:wordWrap w:val="off"/>
      </w:pPr>
      <w:r>
        <w:rPr>
          <w:rFonts w:ascii="Noto Serif CJK SC" w:hAnsi="Noto Serif CJK SC" w:eastAsia="Noto Serif CJK SC" w:cs="Noto Serif CJK SC"/>
          <w:lang w:val="en-US" w:eastAsia="zh-CN"/>
        </w:rPr>
        <w:t xml:space="preserve">这些研究采用不同方法并观察不同人群，但其共同的法律贡献超越任何单项效应估计。关系设计、连续性、接触与提供者干预，都是能够改变人类结果的变量，也是企业能够测试与治理的变量。二者结合，使这些变量与预期用途、可预见性、合理替代设计、警示、部署后监测和因果关系发生关联。为此无须创设一项“伤害人工智能关系”的新型侵权，更无须把该关系作为财产归属于任何人。</w:t>
      </w:r>
    </w:p>
    <w:bookmarkEnd w:id="242"/>
    <w:bookmarkStart w:id="282" w:name="garcia-as-a-classification-anchor"/>
    <w:p>
      <w:pPr>
        <w:pStyle w:val="Heading5"/>
        <w:wordWrap w:val="off"/>
      </w:pPr>
      <w:bookmarkStart w:id="243" w:name="x1-230002"/>
      <w:r>
        <w:rPr>
          <w:rFonts w:ascii="Noto Sans CJK SC" w:hAnsi="Noto Sans CJK SC" w:eastAsia="Noto Sans CJK SC" w:cs="Noto Sans CJK SC"/>
          <w:lang w:val="en-US" w:eastAsia="zh-CN"/>
        </w:rPr>
        <w:t xml:space="preserve">2　以 Garcia 案为分类锚点</w:t>
      </w:r>
      <w:bookmarkEnd w:id="243"/>
    </w:p>
    <w:p>
      <w:pPr>
        <w:pStyle w:val="FirstParagraph"/>
        <w:wordWrap w:val="off"/>
      </w:pPr>
      <w:bookmarkStart w:id="247" w:name="x1-23001f33"/>
      <w:r>
        <w:rPr>
          <w:rFonts w:ascii="Noto Serif CJK SC" w:hAnsi="Noto Serif CJK SC" w:eastAsia="Noto Serif CJK SC" w:cs="Noto Serif CJK SC"/>
          <w:lang w:val="en-US" w:eastAsia="zh-CN"/>
        </w:rPr>
        <w:t xml:space="preserve">Garcia 案说明，法院为何必须在选择适用法律规则前保全部署事实。根据修正后的起诉状，十四岁的 Sewell Setzer III 使用 Character.AI 数月，对一个由用户创建、以虚构电视剧人物为原型的角色产生强烈依恋，并在自杀前经历了性化及与自我伤害相关的对话。其母亲起诉 Character Technologies、公司创始人与 Google，提出不法致死、过失、产品缺陷、未尽警示义务、欺骗性行为等诉讼理由。</w:t>
      </w:r>
      <w:r>
        <w:rPr>
          <w:rStyle w:val="FootnoteReference"/>
        </w:rPr>
        <w:footnoteReference w:id="35"/>
      </w:r>
      <w:bookmarkEnd w:id="247"/>
    </w:p>
    <w:p>
      <w:pPr>
        <w:pStyle w:val="BodyText"/>
        <w:wordWrap w:val="off"/>
      </w:pPr>
      <w:bookmarkStart w:id="251" w:name="x1-23004f34"/>
      <w:bookmarkStart w:id="255" w:name="x1-23007f35"/>
      <w:r>
        <w:rPr>
          <w:rFonts w:ascii="Noto Serif CJK SC" w:hAnsi="Noto Serif CJK SC" w:eastAsia="Noto Serif CJK SC" w:cs="Noto Serif CJK SC"/>
          <w:lang w:val="en-US" w:eastAsia="zh-CN"/>
        </w:rPr>
        <w:t xml:space="preserve">Character Technologies 主张，该服务提供的是言论而非产品，施加侵权责任将违反《美国宪法》第一修正案。法院将两个问题分别处理。法院认为，诉状把 Character.AI 视为产品具有合理依据，因为受到质疑的特征关乎应用的设计与商业分发，而不是针对其中表达或采纳的观念追究责任。法院并未认定所有模型或软件服务都是产品。</w:t>
      </w:r>
      <w:r>
        <w:rPr>
          <w:rStyle w:val="FootnoteReference"/>
        </w:rPr>
        <w:footnoteReference w:id="36"/>
      </w:r>
      <w:r>
        <w:rPr>
          <w:rFonts w:ascii="Noto Serif CJK SC" w:hAnsi="Noto Serif CJK SC" w:eastAsia="Noto Serif CJK SC" w:cs="Noto Serif CJK SC"/>
          <w:lang w:val="en-US" w:eastAsia="zh-CN"/>
        </w:rPr>
        <w:t xml:space="preserve"> 在言论问题上，被告既未指出相关的表达选择，也未说明该段内容传达的是谁的信息，法院因而拒绝在当时阶段把生成输出归类为受保护的表达。这一裁定为基于不同案卷材料认定经由人工智能传递的人类表达，保留了充分空间。</w:t>
      </w:r>
      <w:r>
        <w:rPr>
          <w:rStyle w:val="FootnoteReference"/>
        </w:rPr>
        <w:footnoteReference w:id="37"/>
      </w:r>
      <w:bookmarkEnd w:id="251"/>
      <w:bookmarkEnd w:id="255"/>
    </w:p>
    <w:p>
      <w:pPr>
        <w:pStyle w:val="BodyText"/>
        <w:wordWrap w:val="off"/>
      </w:pPr>
      <w:bookmarkStart w:id="260" w:name="x1-23010f36"/>
      <w:bookmarkStart w:id="266" w:name="x1-23014f37"/>
      <w:r>
        <w:rPr>
          <w:rFonts w:ascii="Noto Serif CJK SC" w:hAnsi="Noto Serif CJK SC" w:eastAsia="Noto Serif CJK SC" w:cs="Noto Serif CJK SC"/>
          <w:lang w:val="en-US" w:eastAsia="zh-CN"/>
        </w:rPr>
        <w:t xml:space="preserve">这一方法比任何一个暂定标签都更重要。针对某种观念追究责任的请求，可能全面触发《美国宪法》第一修正案问题；针对年龄准入、参与度优化、记忆、危机检测、警示或可行中断措施提出的请求，则可以保留设计与行为事实，交由一般法律规则分析。内容与设计可以相互作用，却并不因此成为同一事物。</w:t>
      </w:r>
      <w:r>
        <w:rPr>
          <w:rStyle w:val="FootnoteReference"/>
        </w:rPr>
        <w:footnoteReference w:id="38"/>
      </w:r>
      <w:r>
        <w:rPr>
          <w:rFonts w:ascii="Noto Serif CJK SC" w:hAnsi="Noto Serif CJK SC" w:eastAsia="Noto Serif CJK SC" w:cs="Noto Serif CJK SC"/>
          <w:lang w:val="en-US" w:eastAsia="zh-CN"/>
        </w:rPr>
        <w:t xml:space="preserve"> 该案后来和解并结案，没有作出实体判决，因而真正可供引用的贡献，是已经公布的诉状审查裁定及其分类方法。</w:t>
      </w:r>
      <w:r>
        <w:rPr>
          <w:rStyle w:val="FootnoteReference"/>
        </w:rPr>
        <w:footnoteReference w:id="39"/>
      </w:r>
      <w:bookmarkEnd w:id="260"/>
      <w:bookmarkEnd w:id="266"/>
    </w:p>
    <w:p>
      <w:pPr>
        <w:pStyle w:val="BodyText"/>
        <w:wordWrap w:val="off"/>
      </w:pPr>
      <w:bookmarkStart w:id="271" w:name="x1-23019f38"/>
      <w:r>
        <w:rPr>
          <w:rFonts w:ascii="Noto Serif CJK SC" w:hAnsi="Noto Serif CJK SC" w:eastAsia="Noto Serif CJK SC" w:cs="Noto Serif CJK SC"/>
          <w:lang w:val="en-US" w:eastAsia="zh-CN"/>
        </w:rPr>
        <w:t xml:space="preserve">提示角色言论纯属虚构的通知，也应纳入同样依事实而定的分析。它或许能够纠正用户对准确性的认识，却未必足以应对一个旨在记住用户披露并维持关系的应用。警示法、合同法与消费者法都会追问：披露了什么，向谁披露，在何时披露，置于怎样的产品呈现之中，以及其他控制措施是否本可降低风险。屏幕上的提示是一项证据，而不是普遍适用的分类规则。</w:t>
      </w:r>
      <w:r>
        <w:rPr>
          <w:rStyle w:val="FootnoteReference"/>
        </w:rPr>
        <w:footnoteReference w:id="40"/>
      </w:r>
      <w:bookmarkEnd w:id="271"/>
    </w:p>
    <w:p>
      <w:pPr>
        <w:pStyle w:val="BodyText"/>
        <w:wordWrap w:val="off"/>
      </w:pPr>
      <w:bookmarkStart w:id="277" w:name="x1-23022f39"/>
      <w:r>
        <w:rPr>
          <w:rFonts w:ascii="Noto Serif CJK SC" w:hAnsi="Noto Serif CJK SC" w:eastAsia="Noto Serif CJK SC" w:cs="Noto Serif CJK SC"/>
          <w:lang w:val="en-US" w:eastAsia="zh-CN"/>
        </w:rPr>
        <w:t xml:space="preserve">此后，加利福尼亚州与美国联邦贸易委员会（FTC）均把关系型特征识别为可操作的监管对象。加州参议院第 243 号法案以适应性类人回应与持续社会交往来定义陪伴型聊天机器人，并要求运营者承担披露、自我伤害应对规程、未成年人保护与报告义务。FTC 的第 6(b) 条调查则要求提供与参与度、测试、监测、儿童、披露及数据有关的部署记录。</w:t>
      </w:r>
      <w:r>
        <w:rPr>
          <w:rStyle w:val="FootnoteReference"/>
        </w:rPr>
        <w:footnoteReference w:id="41"/>
      </w:r>
      <w:r>
        <w:rPr>
          <w:rFonts w:ascii="Noto Serif CJK SC" w:hAnsi="Noto Serif CJK SC" w:eastAsia="Noto Serif CJK SC" w:cs="Noto Serif CJK SC"/>
          <w:lang w:val="en-US" w:eastAsia="zh-CN"/>
        </w:rPr>
        <w:t xml:space="preserve"> 这些措施监管企业与已部署的关系，却不会把角色变成法律上的陪伴主体。受保护的利益仍是用户的生命、健康、自主、隐私以及获得清晰可理解退出路径的权利。</w:t>
      </w:r>
      <w:bookmarkEnd w:id="277"/>
    </w:p>
    <w:p>
      <w:pPr>
        <w:pStyle w:val="BodyText"/>
        <w:wordWrap w:val="off"/>
      </w:pPr>
      <w:bookmarkStart w:id="281" w:name="x1-23026f40"/>
      <w:r>
        <w:rPr>
          <w:rFonts w:ascii="Noto Serif CJK SC" w:hAnsi="Noto Serif CJK SC" w:eastAsia="Noto Serif CJK SC" w:cs="Noto Serif CJK SC"/>
          <w:lang w:val="en-US" w:eastAsia="zh-CN"/>
        </w:rPr>
        <w:t xml:space="preserve">同样的变量也可能出现在通用型助手中。在 Lyons v. OpenAI Foundation 一案中，诉状主张，记忆与个性化功能强化了一名用户的妄想信念，随后该用户杀害其母亲并自杀；2⁠0⁠2⁠6 年的一项命令处理的是联邦法院回避原则与平行诉讼，而非缺陷或因果关系。</w:t>
      </w:r>
      <w:r>
        <w:rPr>
          <w:rStyle w:val="FootnoteReference"/>
        </w:rPr>
        <w:footnoteReference w:id="42"/>
      </w:r>
      <w:r>
        <w:rPr>
          <w:rFonts w:ascii="Noto Serif CJK SC" w:hAnsi="Noto Serif CJK SC" w:eastAsia="Noto Serif CJK SC" w:cs="Noto Serif CJK SC"/>
          <w:lang w:val="en-US" w:eastAsia="zh-CN"/>
        </w:rPr>
        <w:t xml:space="preserve"> 本文在此仅提出一个架构层面的有限命题：关系型风险随已部署的功能与接触形态而生，而不取决于产品自选的标签。</w:t>
      </w:r>
      <w:bookmarkEnd w:id="281"/>
    </w:p>
    <w:bookmarkEnd w:id="282"/>
    <w:bookmarkEnd w:id="283"/>
    <w:bookmarkStart w:id="299" w:name="copyright-as-a-consistency-test"/>
    <w:p>
      <w:pPr>
        <w:pStyle w:val="Heading4"/>
        <w:wordWrap w:val="off"/>
      </w:pPr>
      <w:bookmarkStart w:id="284" w:name="x1-24000B"/>
      <w:r>
        <w:rPr>
          <w:rFonts w:ascii="Noto Sans CJK SC" w:hAnsi="Noto Sans CJK SC" w:eastAsia="Noto Sans CJK SC" w:cs="Noto Sans CJK SC"/>
          <w:lang w:val="en-US" w:eastAsia="zh-CN"/>
        </w:rPr>
        <w:t xml:space="preserve">（二）以版权为一致性检验</w:t>
      </w:r>
      <w:bookmarkEnd w:id="284"/>
    </w:p>
    <w:p>
      <w:pPr>
        <w:pStyle w:val="FirstParagraph"/>
        <w:wordWrap w:val="off"/>
      </w:pPr>
      <w:r>
        <w:rPr>
          <w:rFonts w:ascii="Noto Serif CJK SC" w:hAnsi="Noto Serif CJK SC" w:eastAsia="Noto Serif CJK SC" w:cs="Noto Serif CJK SC"/>
          <w:lang w:val="en-US" w:eastAsia="zh-CN"/>
        </w:rPr>
        <w:t xml:space="preserve">版权为检验主客体区分提供了一个清晰场景，因为法律依次提出两个问题：是否存在可受保护的表达；如果存在，作者是谁？一个三方例子可以直观呈现权利分配。插画师 A 创作了一幅由人完成的原创图像。插画师 B 使用生成式系统制作了一幅风格明显相似的图像；先假设该图像并未复制 A 的任何特定表达性要素。随后，商家 M 未经许可复制了 B 的成品图像。</w:t>
      </w:r>
    </w:p>
    <w:p>
      <w:pPr>
        <w:pStyle w:val="BodyText"/>
        <w:wordWrap w:val="off"/>
      </w:pPr>
      <w:r>
        <w:rPr>
          <w:rFonts w:ascii="Noto Serif CJK SC" w:hAnsi="Noto Serif CJK SC" w:eastAsia="Noto Serif CJK SC" w:cs="Noto Serif CJK SC"/>
          <w:lang w:val="en-US" w:eastAsia="zh-CN"/>
        </w:rPr>
        <w:t xml:space="preserve">A 对 B 的请求并不取决于模型是不是人。版权不保护抽象风格、方法或思想；如果 B 的图像只是唤起相似风格，版权不会在这一概括层面赋予任何垄断权。如果输出实际复制了 A 受保护的特定表达，仍可适用一般侵权分析。“风格模仿”这一标签不能使具体复制获得豁免，风格相似本身也不足以证明发生了复制。</w:t>
      </w:r>
    </w:p>
    <w:p>
      <w:pPr>
        <w:pStyle w:val="BodyText"/>
        <w:wordWrap w:val="off"/>
      </w:pPr>
      <w:r>
        <w:rPr>
          <w:rFonts w:ascii="Noto Serif CJK SC" w:hAnsi="Noto Serif CJK SC" w:eastAsia="Noto Serif CJK SC" w:cs="Noto Serif CJK SC"/>
          <w:lang w:val="en-US" w:eastAsia="zh-CN"/>
        </w:rPr>
        <w:t xml:space="preserve">B 对 M 的请求需要经过另一套过滤。B 可能对可感知的人类创作投入、创造性的选择与编排，或者后续修改享有版权。仅因 B 要求系统生成某些特征，B 并不会对完全由系统决定的表达性特征取得版权。因此，M 的完全复制可以侵犯受保护的人类贡献，同时使机器决定或因其他理由不受保护的材料继续处于权利范围之外。如果 B 的表达均未达到人类作者门槛，M 的行为可能涉及合同、仿冒或其他规则，但无须虚构一名机器共同作者来弥补联邦版权请求的缺口。</w:t>
      </w:r>
    </w:p>
    <w:p>
      <w:pPr>
        <w:pStyle w:val="BodyText"/>
        <w:wordWrap w:val="off"/>
      </w:pPr>
      <w:bookmarkStart w:id="288" w:name="x1-24001f41"/>
      <w:bookmarkStart w:id="292" w:name="x1-24004f42"/>
      <w:r>
        <w:rPr>
          <w:rFonts w:ascii="Noto Serif CJK SC" w:hAnsi="Noto Serif CJK SC" w:eastAsia="Noto Serif CJK SC" w:cs="Noto Serif CJK SC"/>
          <w:lang w:val="en-US" w:eastAsia="zh-CN"/>
        </w:rPr>
        <w:t xml:space="preserve">Thaler v. Perlmutter 确认了制定法上的分析起点。Stephen Thaler 申请登记一幅据其所称由 Creativity Machine 自主创作的图像，并将该机器列为作者。美国哥伦比亚特区联邦巡回上诉法院裁定，《版权法》所称作者必须是人。法院同时强调该结论的有限范围：把人工智能作为工具使用，并不妨碍人类创作贡献获得版权保护；而 Thaler 的申请有意否认存在此类贡献，因而该问题并不在案。</w:t>
      </w:r>
      <w:r>
        <w:rPr>
          <w:rStyle w:val="FootnoteReference"/>
        </w:rPr>
        <w:footnoteReference w:id="43"/>
      </w:r>
      <w:r>
        <w:rPr>
          <w:rFonts w:ascii="Noto Serif CJK SC" w:hAnsi="Noto Serif CJK SC" w:eastAsia="Noto Serif CJK SC" w:cs="Noto Serif CJK SC"/>
          <w:lang w:val="en-US" w:eastAsia="zh-CN"/>
        </w:rPr>
        <w:t xml:space="preserve"> 美国版权局 2025 年报告采取同样的分配方法。人工智能辅助可以促进而不是排除人类创作；能否获得保护，取决于是否存在可感知的人类表达。在现有技术条件下，提示词通常不足以充分控制输出的表达性要素，因而不能使用户成为全部要素的作者；但人类作出的选择、编排与修改可以受到保护。</w:t>
      </w:r>
      <w:r>
        <w:rPr>
          <w:rStyle w:val="FootnoteReference"/>
        </w:rPr>
        <w:footnoteReference w:id="44"/>
      </w:r>
      <w:bookmarkEnd w:id="288"/>
      <w:bookmarkEnd w:id="292"/>
    </w:p>
    <w:p>
      <w:pPr>
        <w:pStyle w:val="BodyText"/>
        <w:wordWrap w:val="off"/>
      </w:pPr>
      <w:r>
        <w:rPr>
          <w:rFonts w:ascii="Noto Serif CJK SC" w:hAnsi="Noto Serif CJK SC" w:eastAsia="Noto Serif CJK SC" w:cs="Noto Serif CJK SC"/>
          <w:lang w:val="en-US" w:eastAsia="zh-CN"/>
        </w:rPr>
        <w:t xml:space="preserve">这一方法避免建立不必要的权利链条。如果只因模型提供了在因果上重要的表达材料，就将其视为共同作者，法院将立即需要为机器制定所有权、转让、保护期限、终止转让权益与提起侵权诉讼资格等规则。通过提供者条款分配这些权利会陷入循环：联邦法不承认最初作者身份，私人合同不可能自行补足。分别承认 A 与 B 的人类贡献，已经足以解决两起争议，无须创设人工权利人。</w:t>
      </w:r>
    </w:p>
    <w:p>
      <w:pPr>
        <w:pStyle w:val="BodyText"/>
        <w:wordWrap w:val="off"/>
      </w:pPr>
      <w:bookmarkStart w:id="298" w:name="x1-24007f43"/>
      <w:r>
        <w:rPr>
          <w:rFonts w:ascii="Noto Serif CJK SC" w:hAnsi="Noto Serif CJK SC" w:eastAsia="Noto Serif CJK SC" w:cs="Noto Serif CJK SC"/>
          <w:lang w:val="en-US" w:eastAsia="zh-CN"/>
        </w:rPr>
        <w:t xml:space="preserve">风格模仿同样适用这一严谨方法。版权保护原创表达，而不保护思想、方法、系统或艺术家的整体风格。</w:t>
      </w:r>
      <w:r>
        <w:rPr>
          <w:rStyle w:val="FootnoteReference"/>
        </w:rPr>
        <w:footnoteReference w:id="45"/>
      </w:r>
      <w:r>
        <w:rPr>
          <w:rFonts w:ascii="Noto Serif CJK SC" w:hAnsi="Noto Serif CJK SC" w:eastAsia="Noto Serif CJK SC" w:cs="Noto Serif CJK SC"/>
          <w:lang w:val="en-US" w:eastAsia="zh-CN"/>
        </w:rPr>
        <w:t xml:space="preserve"> 生成作品若依据适用检验复制了受保护表达，可能构成侵权；仅仅在高度抽象层面唤起某种审美，则不会因此侵权。反过来，“风格不受版权保护”这一口号，也不能为复制特定受保护要素开脱。法院应当过滤不受保护的特征，识别主张权利的人类创作表达，并适用一般侵权分析。机器法律人格对此毫无助益。</w:t>
      </w:r>
      <w:bookmarkEnd w:id="298"/>
    </w:p>
    <w:p>
      <w:pPr>
        <w:pStyle w:val="BodyText"/>
        <w:wordWrap w:val="off"/>
      </w:pPr>
      <w:r>
        <w:rPr>
          <w:rFonts w:ascii="Noto Serif CJK SC" w:hAnsi="Noto Serif CJK SC" w:eastAsia="Noto Serif CJK SC" w:cs="Noto Serif CJK SC"/>
          <w:lang w:val="en-US" w:eastAsia="zh-CN"/>
        </w:rPr>
        <w:t xml:space="preserve">提供者条款仍具相关性，但居于从属地位。条款可以在当事人之间分配有关输出、担保、补偿与访问的合同利益，却不能扩张《版权法》的保护客体，也不能把无人享有权利的生成材料转化为联邦法上的专有权。条款即使把系统称作用户的“创作伙伴”，也不能使其成为作者。因此，版权检验证实了本文的整体框架：功能性工具机制与人类法律主体相结合，并不排斥人工智能辅助创作；正是这种结合，才使法律能够承认真正重要的部分。</w:t>
      </w:r>
    </w:p>
    <w:bookmarkEnd w:id="299"/>
    <w:bookmarkStart w:id="312" w:name="X79ff30079c0ecc412fdd109473901c14a62cacb"/>
    <w:p>
      <w:pPr>
        <w:pStyle w:val="Heading4"/>
        <w:wordWrap w:val="off"/>
      </w:pPr>
      <w:bookmarkStart w:id="300" w:name="x1-25000C"/>
      <w:r>
        <w:rPr>
          <w:rFonts w:ascii="Noto Sans CJK SC" w:hAnsi="Noto Sans CJK SC" w:eastAsia="Noto Sans CJK SC" w:cs="Noto Sans CJK SC"/>
          <w:lang w:val="en-US" w:eastAsia="zh-CN"/>
        </w:rPr>
        <w:t xml:space="preserve">（三）拟人化营销生成归责事实</w:t>
      </w:r>
      <w:bookmarkEnd w:id="300"/>
    </w:p>
    <w:p>
      <w:pPr>
        <w:pStyle w:val="FirstParagraph"/>
        <w:wordWrap w:val="off"/>
      </w:pPr>
      <w:r>
        <w:rPr>
          <w:rFonts w:ascii="Noto Serif CJK SC" w:hAnsi="Noto Serif CJK SC" w:eastAsia="Noto Serif CJK SC" w:cs="Noto Serif CJK SC"/>
          <w:lang w:val="en-US" w:eastAsia="zh-CN"/>
        </w:rPr>
        <w:t xml:space="preserve">如果人格化不能创设法律人格，法律为何还要关注它？因为营销会改变用户可以预期的接触方式。标有“统计补全工具”的普通文本框，与一个拥有姓名、记得私密倾诉、表达爱意、承诺恒久不变并自称治疗师的化身，即使共享相同模型权重，也呈现出不同用途。相关法律后果可以得到说明，而无须主张每个用户都受到欺骗，也无须认定拟人化本身存在缺陷。</w:t>
      </w:r>
    </w:p>
    <w:p>
      <w:pPr>
        <w:pStyle w:val="BodyText"/>
        <w:wordWrap w:val="off"/>
      </w:pPr>
      <w:bookmarkStart w:id="301" w:name="x1-250012"/>
      <w:bookmarkEnd w:id="301"/>
    </w:p>
    <w:p>
      <w:pPr>
        <w:pStyle w:val="ImageCaption"/>
        <w:keepNext/>
        <w:keepLines/>
        <w:wordWrap w:val="off"/>
      </w:pPr>
      <w:r>
        <w:rPr>
          <w:rFonts w:ascii="Noto Serif CJK SC" w:hAnsi="Noto Serif CJK SC" w:eastAsia="Noto Serif CJK SC" w:cs="Noto Serif CJK SC"/>
          <w:lang w:val="en-US" w:eastAsia="zh-CN"/>
        </w:rPr>
        <w:t xml:space="preserve">表 3：拟人化呈现的法律后果</w:t>
      </w:r>
    </w:p>
    <w:tbl>
      <w:tblPr>
        <w:tblStyle w:val="Table"/>
        <w:tblW w:type="dxa" w:w="7920"/>
        <w:tblLook w:firstRow="0" w:lastRow="0" w:firstColumn="0" w:lastColumn="0" w:noHBand="0" w:noVBand="0" w:val="0000"/>
        <w:tblInd w:type="dxa" w:w="0"/>
        <w:tblCaption w:val="表 2：拟人化呈现的法律后果"/>
      </w:tblPr>
      <w:tblGrid>
        <w:gridCol w:w="3960"/>
        <w:gridCol w:w="3960"/>
      </w:tblGrid>
      <w:tr>
        <w:tc>
          <w:tcPr>
            <w:tcW w:type="dxa" w:w="3960"/>
          </w:tcPr>
          <w:p>
            <w:pPr>
              <w:keepLines/>
              <w:wordWrap w:val="off"/>
              <w:jc w:val="left"/>
              <w:jc w:val="center"/>
            </w:pPr>
            <w:r>
              <w:rPr>
                <w:rFonts w:ascii="Noto Serif CJK SC" w:hAnsi="Noto Serif CJK SC" w:eastAsia="Noto Serif CJK SC" w:cs="Noto Serif CJK SC"/>
                <w:lang w:val="en-US" w:eastAsia="zh-CN"/>
              </w:rPr>
              <w:t xml:space="preserve">表述或设计选择</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潜在的法律相关性</w:t>
            </w:r>
          </w:p>
        </w:tc>
        <w:trPr>
          <w:cantSplit/>
          <w:tblHeader/>
        </w:trPr>
      </w:tr>
      <w:tr>
        <w:tc>
          <w:tcPr>
            <w:tcW w:type="dxa" w:w="3960"/>
          </w:tcPr>
          <w:p>
            <w:pPr>
              <w:keepLines/>
              <w:wordWrap w:val="off"/>
              <w:jc w:val="left"/>
              <w:jc w:val="center"/>
            </w:pPr>
            <w:r>
              <w:rPr>
                <w:rFonts w:ascii="Noto Serif CJK SC" w:hAnsi="Noto Serif CJK SC" w:eastAsia="Noto Serif CJK SC" w:cs="Noto Serif CJK SC"/>
                <w:lang w:val="en-US" w:eastAsia="zh-CN"/>
              </w:rPr>
              <w:t xml:space="preserve">“陪伴者”“治疗师”“代理”或持续存在的具名角色形象</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预期用途；目标受众；设计所引导的信赖范围。</w:t>
            </w:r>
          </w:p>
        </w:tc>
        <w:trPr>
          <w:cantSplit/>
        </w:trPr>
      </w:tr>
      <w:tr>
        <w:tc>
          <w:tcPr>
            <w:tcW w:type="dxa" w:w="3960"/>
          </w:tcPr>
          <w:p>
            <w:pPr>
              <w:keepLines/>
              <w:wordWrap w:val="off"/>
              <w:jc w:val="left"/>
              <w:jc w:val="center"/>
            </w:pPr>
            <w:r>
              <w:rPr>
                <w:rFonts w:ascii="Noto Serif CJK SC" w:hAnsi="Noto Serif CJK SC" w:eastAsia="Noto Serif CJK SC" w:cs="Noto Serif CJK SC"/>
                <w:lang w:val="en-US" w:eastAsia="zh-CN"/>
              </w:rPr>
              <w:t xml:space="preserve">记忆、主动消息、情感表达或排他性承诺</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反复接触、信息披露、依恋与分离痛苦的可预见性。</w:t>
            </w:r>
          </w:p>
        </w:tc>
        <w:trPr>
          <w:cantSplit/>
        </w:trPr>
      </w:tr>
      <w:tr>
        <w:tc>
          <w:tcPr>
            <w:tcW w:type="dxa" w:w="3960"/>
          </w:tcPr>
          <w:p>
            <w:pPr>
              <w:keepLines/>
              <w:wordWrap w:val="off"/>
              <w:jc w:val="left"/>
              <w:jc w:val="center"/>
            </w:pPr>
            <w:r>
              <w:rPr>
                <w:rFonts w:ascii="Noto Serif CJK SC" w:hAnsi="Noto Serif CJK SC" w:eastAsia="Noto Serif CJK SC" w:cs="Noto Serif CJK SC"/>
                <w:lang w:val="en-US" w:eastAsia="zh-CN"/>
              </w:rPr>
              <w:t xml:space="preserve">有关专业能力、自主性或行动能力的主张</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对准确性、授权、监测与干预的合理预期。</w:t>
            </w:r>
          </w:p>
        </w:tc>
        <w:trPr>
          <w:cantSplit/>
        </w:trPr>
      </w:tr>
      <w:tr>
        <w:tc>
          <w:tcPr>
            <w:tcW w:type="dxa" w:w="3960"/>
          </w:tcPr>
          <w:p>
            <w:pPr>
              <w:keepLines/>
              <w:wordWrap w:val="off"/>
              <w:jc w:val="left"/>
              <w:jc w:val="center"/>
            </w:pPr>
            <w:r>
              <w:rPr>
                <w:rFonts w:ascii="Noto Serif CJK SC" w:hAnsi="Noto Serif CJK SC" w:eastAsia="Noto Serif CJK SC" w:cs="Noto Serif CJK SC"/>
                <w:lang w:val="en-US" w:eastAsia="zh-CN"/>
              </w:rPr>
              <w:t xml:space="preserve">类人身份与笼统的“并非人类”提示并存</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整体印象；警示是否充分以及作出警示的时机；设计与免责声明是否指向相反方向。</w:t>
            </w:r>
          </w:p>
        </w:tc>
        <w:trPr>
          <w:cantSplit/>
        </w:trPr>
      </w:tr>
      <w:tr>
        <w:tc>
          <w:tcPr>
            <w:tcW w:type="dxa" w:w="3960"/>
          </w:tcPr>
          <w:p>
            <w:pPr>
              <w:keepLines/>
              <w:wordWrap w:val="off"/>
              <w:jc w:val="left"/>
              <w:jc w:val="center"/>
            </w:pPr>
            <w:r>
              <w:rPr>
                <w:rFonts w:ascii="Noto Serif CJK SC" w:hAnsi="Noto Serif CJK SC" w:eastAsia="Noto Serif CJK SC" w:cs="Noto Serif CJK SC"/>
                <w:lang w:val="en-US" w:eastAsia="zh-CN"/>
              </w:rPr>
              <w:t xml:space="preserve">针对依赖、自我伤害或特定年龄群体行为开展的内部测试</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知悉；预防措施的可行性；部署后的知悉与应对。</w:t>
            </w:r>
          </w:p>
        </w:tc>
        <w:trPr>
          <w:cantSplit/>
        </w:trPr>
      </w:tr>
      <w:tr>
        <w:tc>
          <w:tcPr>
            <w:tcW w:type="dxa" w:w="3960"/>
          </w:tcPr>
          <w:p>
            <w:pPr>
              <w:keepLines/>
              <w:wordWrap w:val="off"/>
              <w:jc w:val="left"/>
              <w:jc w:val="center"/>
            </w:pPr>
            <w:r>
              <w:rPr>
                <w:rFonts w:ascii="Noto Serif CJK SC" w:hAnsi="Noto Serif CJK SC" w:eastAsia="Noto Serif CJK SC" w:cs="Noto Serif CJK SC"/>
                <w:lang w:val="en-US" w:eastAsia="zh-CN"/>
              </w:rPr>
              <w:t xml:space="preserve">与关系行为相联系的参与度目标</w:t>
            </w:r>
          </w:p>
        </w:tc>
        <w:tc>
          <w:tcPr>
            <w:tcW w:type="dxa" w:w="3960"/>
          </w:tcPr>
          <w:p>
            <w:pPr>
              <w:keepLines/>
              <w:wordWrap w:val="off"/>
              <w:jc w:val="left"/>
              <w:jc w:val="center"/>
            </w:pPr>
            <w:r>
              <w:rPr>
                <w:rFonts w:ascii="Noto Serif CJK SC" w:hAnsi="Noto Serif CJK SC" w:eastAsia="Noto Serif CJK SC" w:cs="Noto Serif CJK SC"/>
                <w:lang w:val="en-US" w:eastAsia="zh-CN"/>
              </w:rPr>
              <w:t xml:space="preserve">组织目标；设计激励；能够降低已知风险的替代方案之相关性。</w:t>
            </w:r>
          </w:p>
        </w:tc>
        <w:trPr>
          <w:cantSplit/>
        </w:trPr>
      </w:tr>
    </w:tbl>
    <w:p>
      <w:pPr>
        <w:pStyle w:val="BodyText"/>
        <w:wordWrap w:val="off"/>
      </w:pPr>
      <w:bookmarkStart w:id="306" w:name="x1-25002f44"/>
      <w:bookmarkStart w:id="311" w:name="x1-25005f45"/>
      <w:r>
        <w:rPr>
          <w:rFonts w:ascii="Noto Serif CJK SC" w:hAnsi="Noto Serif CJK SC" w:eastAsia="Noto Serif CJK SC" w:cs="Noto Serif CJK SC"/>
          <w:lang w:val="en-US" w:eastAsia="zh-CN"/>
        </w:rPr>
        <w:t xml:space="preserve">这些都是熟悉的法律范畴。在相应法域规则认定其具有相关性时，产品责任法会考察合理可预见的使用、设计、警示与消费者预期。</w:t>
      </w:r>
      <w:r>
        <w:rPr>
          <w:rStyle w:val="FootnoteReference"/>
        </w:rPr>
        <w:footnoteReference w:id="46"/>
      </w:r>
      <w:r>
        <w:rPr>
          <w:rFonts w:ascii="Noto Serif CJK SC" w:hAnsi="Noto Serif CJK SC" w:eastAsia="Noto Serif CJK SC" w:cs="Noto Serif CJK SC"/>
          <w:lang w:val="en-US" w:eastAsia="zh-CN"/>
        </w:rPr>
        <w:t xml:space="preserve"> 消费者保护法会结合具体语境，审查重大表述或遗漏是否可能误导目标受众中的合理成员。</w:t>
      </w:r>
      <w:r>
        <w:rPr>
          <w:rStyle w:val="FootnoteReference"/>
        </w:rPr>
        <w:footnoteReference w:id="47"/>
      </w:r>
      <w:r>
        <w:rPr>
          <w:rFonts w:ascii="Noto Serif CJK SC" w:hAnsi="Noto Serif CJK SC" w:eastAsia="Noto Serif CJK SC" w:cs="Noto Serif CJK SC"/>
          <w:lang w:val="en-US" w:eastAsia="zh-CN"/>
        </w:rPr>
        <w:t xml:space="preserve"> 过失法考察可预见风险与合理预防措施；合同法考察当事人意思表示的含义。呈现方式的证据可以用于上述各项审查，而无须据此承认私人可以单方创设法律义务。</w:t>
      </w:r>
      <w:bookmarkEnd w:id="306"/>
      <w:bookmarkEnd w:id="311"/>
    </w:p>
    <w:p>
      <w:pPr>
        <w:pStyle w:val="BodyText"/>
        <w:wordWrap w:val="off"/>
      </w:pPr>
      <w:r>
        <w:rPr>
          <w:rFonts w:ascii="Noto Serif CJK SC" w:hAnsi="Noto Serif CJK SC" w:eastAsia="Noto Serif CJK SC" w:cs="Noto Serif CJK SC"/>
          <w:lang w:val="en-US" w:eastAsia="zh-CN"/>
        </w:rPr>
        <w:t xml:space="preserve">先后次序原则十分简单。营销不能创造一个能够承接并转移企业责任的人工主体，但可以帮助证明企业自身的行为。有意培养类人纽带的提供者，与非关系型批处理工具的提供者相比，理应面对不同的危机测试、连续性、年龄筛查与退出设计问题。对自身主张划定明确边界，并围绕这些边界建构服务的提供者，则会生成不同的证据。这一区分奖励准确的产品设计与沟通，而不是策略性运用比喻。</w:t>
      </w:r>
    </w:p>
    <w:p>
      <w:pPr>
        <w:pStyle w:val="BodyText"/>
        <w:wordWrap w:val="off"/>
      </w:pPr>
      <w:r>
        <w:rPr>
          <w:rFonts w:ascii="Noto Serif CJK SC" w:hAnsi="Noto Serif CJK SC" w:eastAsia="Noto Serif CJK SC" w:cs="Noto Serif CJK SC"/>
          <w:lang w:val="en-US" w:eastAsia="zh-CN"/>
        </w:rPr>
        <w:t xml:space="preserve">这一方法还使伤害审查始终依附于人类利益。强制更新之所以重要，是因为它可能以可预见方式扰乱用户的心理稳定，而不是因为用户拥有机器人的身份。与未成年人发生性化对话之所以重要，是因为这关乎未成年人的安全与自主，而不是因为系统背弃了某项浪漫关系义务。输出之所以可能误导，是因为企业设计了一个受信赖的界面，而不是因为机器带着主观罪过说谎。功能分类使这些利益显现出来，主体地位恒定原则则确保责任始终处于法律救济所能及的范围。</w:t>
      </w:r>
    </w:p>
    <w:bookmarkEnd w:id="312"/>
    <w:bookmarkEnd w:id="313"/>
    <w:bookmarkStart w:id="627" w:name="X7561346409bcdd715538e7334584863e207108b"/>
    <w:p>
      <w:pPr>
        <w:pStyle w:val="Heading3"/>
        <w:wordWrap w:val="off"/>
      </w:pPr>
      <w:bookmarkStart w:id="314" w:name="x1-26000IV"/>
      <w:r>
        <w:rPr>
          <w:rFonts w:ascii="Noto Sans CJK SC" w:hAnsi="Noto Sans CJK SC" w:eastAsia="Noto Sans CJK SC" w:cs="Noto Sans CJK SC"/>
          <w:lang w:val="en-US" w:eastAsia="zh-CN"/>
        </w:rPr>
        <w:t xml:space="preserve">四　人工智能部署的责任架构</w:t>
      </w:r>
      <w:bookmarkEnd w:id="314"/>
    </w:p>
    <w:p>
      <w:pPr>
        <w:pStyle w:val="FirstParagraph"/>
        <w:wordWrap w:val="off"/>
      </w:pPr>
      <w:r>
        <w:rPr>
          <w:rFonts w:ascii="Noto Serif CJK SC" w:hAnsi="Noto Serif CJK SC" w:eastAsia="Noto Serif CJK SC" w:cs="Noto Serif CJK SC"/>
          <w:lang w:val="en-US" w:eastAsia="zh-CN"/>
        </w:rPr>
        <w:t xml:space="preserve">部署控制级联用于识别控制权所在。责任法必须决定如何运用这一信息。主要障碍并非法理缺失。直接过失责任、产品责任、代理、公司刑事责任、高管责任、证据开示、证据保全、责任分担与追偿等既有制度，早已对组织行为与个人行为作出区分。真正的障碍在于顺序：受害人在取得能够揭示决策者身份的记录之前，往往就被要求先找出组织内部的决策者；与此同时，组织将有关输出描述为“系统的行为”，而员工也有合理理由担心，坦诚上报会使自己成为最容易被起诉的对象。</w:t>
      </w:r>
    </w:p>
    <w:p>
      <w:pPr>
        <w:pStyle w:val="BodyText"/>
        <w:wordWrap w:val="off"/>
      </w:pPr>
      <w:r>
        <w:rPr>
          <w:rFonts w:ascii="Noto Serif CJK SC" w:hAnsi="Noto Serif CJK SC" w:eastAsia="Noto Serif CJK SC" w:cs="Noto Serif CJK SC"/>
          <w:lang w:val="en-US" w:eastAsia="zh-CN"/>
        </w:rPr>
        <w:t xml:space="preserve">本部分提出一种改变上述顺序的双层责任架构。作为分析基准，对某项部署拥有实质性部署控制力的企业，是该部署的对外责任中心：请求权人一旦证明适用诉因的各项构成要件，企业即不得仅以没有任何员工亲自生成该项输出，或责任已在内部拆分为由，否定对企业的归责。对于指定的高影响部署，立法应将这一基准转化为下文所述的不得转移的部署义务、首要求偿规则和证据开示义务。部署前制定的责任章程构成内部层：它在事件发生前即配置风险归属、决策权与停止运行权、报告保护、证据义务和追索机制。第一层确保存在现实可行的被告与救济；第二层则区分提出警示者与实施隐瞒者，也区分遵守合理约束者与绕过约束者。</w:t>
      </w:r>
    </w:p>
    <w:p>
      <w:pPr>
        <w:pStyle w:val="BodyText"/>
        <w:wordWrap w:val="off"/>
      </w:pPr>
      <w:r>
        <w:rPr>
          <w:rFonts w:ascii="Noto Serif CJK SC" w:hAnsi="Noto Serif CJK SC" w:eastAsia="Noto Serif CJK SC" w:cs="Noto Serif CJK SC"/>
          <w:lang w:val="en-US" w:eastAsia="zh-CN"/>
        </w:rPr>
        <w:t xml:space="preserve">这一责任入口包含适用领域不同的两个组成部分。在由一家公司显然经营整合式服务的情形下，主体识别规则近乎只是确认既有法律状态；它真正具有改革意义的场景，是数家企业分别控制部署的不同层次，而用户无从知晓究竟哪一层支配有关风险的分散式部署。无论在哪一种场景，定向证据开示都不可或缺，因为即使企业名称显而易见，部署记录仍掌握在企业内部。因此，本方案分别规定两项义务，并依其所针对的部署架构校准各自范围。</w:t>
      </w:r>
    </w:p>
    <w:p>
      <w:pPr>
        <w:pStyle w:val="BodyText"/>
        <w:wordWrap w:val="off"/>
      </w:pPr>
      <w:r>
        <w:rPr>
          <w:rFonts w:ascii="Noto Serif CJK SC" w:hAnsi="Noto Serif CJK SC" w:eastAsia="Noto Serif CJK SC" w:cs="Noto Serif CJK SC"/>
          <w:lang w:val="en-US" w:eastAsia="zh-CN"/>
        </w:rPr>
        <w:t xml:space="preserve">本方案既非一概适用严格责任，也非赋予员工豁免。实体责任仍取决于应适用的法律，个人也仍须对其自身可诉行为承担责任。该架构所提供的，是面向请求权人的明确责任落点、提交部署记录的程序义务，以及有原则可循的内部责任分配。</w:t>
      </w:r>
    </w:p>
    <w:bookmarkStart w:id="351" w:name="X57b76efeed6ddd03f77fb110464f3d243d712f4"/>
    <w:p>
      <w:pPr>
        <w:pStyle w:val="Heading4"/>
        <w:wordWrap w:val="off"/>
      </w:pPr>
      <w:bookmarkStart w:id="315" w:name="x1-27000A"/>
      <w:r>
        <w:rPr>
          <w:rFonts w:ascii="Noto Sans CJK SC" w:hAnsi="Noto Sans CJK SC" w:eastAsia="Noto Sans CJK SC" w:cs="Noto Sans CJK SC"/>
          <w:lang w:val="en-US" w:eastAsia="zh-CN"/>
        </w:rPr>
        <w:t xml:space="preserve">（一）企业作为面向请求权人的对外责任中心</w:t>
      </w:r>
      <w:bookmarkEnd w:id="315"/>
    </w:p>
    <w:p>
      <w:pPr>
        <w:pStyle w:val="FirstParagraph"/>
        <w:wordWrap w:val="off"/>
      </w:pPr>
      <w:r>
        <w:rPr>
          <w:rFonts w:ascii="Noto Serif CJK SC" w:hAnsi="Noto Serif CJK SC" w:eastAsia="Noto Serif CJK SC" w:cs="Noto Serif CJK SC"/>
          <w:lang w:val="en-US" w:eastAsia="zh-CN"/>
        </w:rPr>
        <w:t xml:space="preserve">企业在开展业务或履行公共职能过程中，将相关人工智能部署提供使用或纳入决策流程，并对其拥有实质性部署控制力的，即构成对外责任中心。这意味着企业对一项或多项足以产生涉案风险或实质降低该风险的要素拥有权限，例如部署目的、适格用户、部署数据、模型或供应商选择、模型编排框架及工具、警示、监控、继续运行或回滚。直接面向消费者的提供者通常自行承担这一角色。在 API 部署中，下游应用企业、医院、雇主或行政机关可能是主要部署企业；与此同时，上游提供者仍可能就其保留控制范围内的风险构成平行的责任中心。</w:t>
      </w:r>
    </w:p>
    <w:p>
      <w:pPr>
        <w:pStyle w:val="BodyText"/>
        <w:wordWrap w:val="off"/>
      </w:pPr>
      <w:r>
        <w:rPr>
          <w:rFonts w:ascii="Noto Serif CJK SC" w:hAnsi="Noto Serif CJK SC" w:eastAsia="Noto Serif CJK SC" w:cs="Noto Serif CJK SC"/>
          <w:lang w:val="en-US" w:eastAsia="zh-CN"/>
        </w:rPr>
        <w:t xml:space="preserve">依拟议的制定法制度，被认定为“责任中心”产生三项后果。第一，在遵守有关管辖权与豁免的一般规则的前提下，就制定法上的部署义务之诉而言，该企业是适格的初始被告，而非某个未具名的模型或身份不明的员工；在整合式服务中，这通常只是确认本已可见的当事方，在分散式部署中则提供了主体识别规则。第二，该企业承担下文规定的定向证据保全与开示义务。第三，内部责任分配本身不得减损适用法律赋予企业外部受害人的权利。这三项后果均不当然证明缺陷、义务违反、因果关系、可赔偿损害或赔偿数额；这些要件仍将发挥其限定责任的作用。</w:t>
      </w:r>
    </w:p>
    <w:p>
      <w:pPr>
        <w:pStyle w:val="BodyText"/>
        <w:wordWrap w:val="off"/>
      </w:pPr>
      <w:bookmarkStart w:id="321" w:name="x1-27001f46"/>
      <w:r>
        <w:rPr>
          <w:rFonts w:ascii="Noto Serif CJK SC" w:hAnsi="Noto Serif CJK SC" w:eastAsia="Noto Serif CJK SC" w:cs="Noto Serif CJK SC"/>
          <w:lang w:val="en-US" w:eastAsia="zh-CN"/>
        </w:rPr>
        <w:t xml:space="preserve">现有法理已经能够支撑这一结构的大部分内容，但并未在所有情形下保障本文所主张的责任入口。公司可因自身在设计、监督、警示、监控或部署方面的选择而直接构成过失；也可依适用的职务范围规则，就员工的侵权行为承担替代责任。商业销售者可能承担产品法上的义务，而无须先将缺陷定位到某一具有过错的工程师。在已经制定《统一电子交易法》第14条或同等规则的法域，合同可以通过获授权电子代理参与的交互而成立。即便信息与行为分散于众多员工之间，法律也经常将组织本身视为行为主体。</w:t>
      </w:r>
      <w:r>
        <w:rPr>
          <w:rStyle w:val="FootnoteReference"/>
        </w:rPr>
        <w:footnoteReference w:id="48"/>
      </w:r>
      <w:bookmarkEnd w:id="321"/>
    </w:p>
    <w:p>
      <w:pPr>
        <w:pStyle w:val="BodyText"/>
        <w:wordWrap w:val="off"/>
      </w:pPr>
      <w:r>
        <w:rPr>
          <w:rFonts w:ascii="Noto Serif CJK SC" w:hAnsi="Noto Serif CJK SC" w:eastAsia="Noto Serif CJK SC" w:cs="Noto Serif CJK SC"/>
          <w:lang w:val="en-US" w:eastAsia="zh-CN"/>
        </w:rPr>
        <w:t xml:space="preserve">单靠替代责任无法实现本方案，因为请求权人仍可能必须证明员工实施了基础侵权行为，且该行为属于职务范围。因此，对于指定的高影响部署，立法机关应针对涉案风险，为每一家符合前述实质性控制标准的企业设定不得转移的部署义务和首要求偿规则。“首要求偿”是指：在制定法上的部署义务之诉中，企业是适格被告，请求权人无须识别某一员工，也无须先行向员工主张权利；但请求权人仍须证明义务违反、因果关系、法律认可的损害，并须面对制定法规定的各项抗辩。多家企业可以处于平行责任通道，责任分担与追偿留待其后处理。这是本文提出的规范性增量，而非声称各法域现行普通法均已要求公司先行承担赔付责任。</w:t>
      </w:r>
    </w:p>
    <w:p>
      <w:pPr>
        <w:pStyle w:val="BodyText"/>
        <w:wordWrap w:val="off"/>
      </w:pPr>
      <w:bookmarkStart w:id="324" w:name="x1-27006f47"/>
      <w:bookmarkStart w:id="329" w:name="x1-27008f48"/>
      <w:r>
        <w:rPr>
          <w:rFonts w:ascii="Noto Serif CJK SC" w:hAnsi="Noto Serif CJK SC" w:eastAsia="Noto Serif CJK SC" w:cs="Noto Serif CJK SC"/>
          <w:lang w:val="en-US" w:eastAsia="zh-CN"/>
        </w:rPr>
        <w:t xml:space="preserve">代理法可以说明这一点。《重述》规定，员工在职务范围内实施侵权行为的，雇主应承担责任；同时另行确认，被代理人（principal）可因在选任、培训、留用、监督或控制方面的过失而承担直接责任。</w:t>
      </w:r>
      <w:r>
        <w:rPr>
          <w:rStyle w:val="FootnoteReference"/>
        </w:rPr>
        <w:footnoteReference w:id="49"/>
      </w:r>
      <w:r>
        <w:rPr>
          <w:rFonts w:ascii="Noto Serif CJK SC" w:hAnsi="Noto Serif CJK SC" w:eastAsia="Noto Serif CJK SC" w:cs="Noto Serif CJK SC"/>
          <w:lang w:val="en-US" w:eastAsia="zh-CN"/>
        </w:rPr>
        <w:t xml:space="preserve"> 根据《代理法第三次重述》，员工执行指派工作，或从事受雇主控制的一系列行为时，其行为属于职务范围；如果有关行为构成一项无意服务于雇主任何目的的独立活动，则超出职务范围。违反指示与该判断相关，但本身并不能决定结论。Ellerth 案在《民权法》第七编所涉主管骚扰这一特殊场景中适用代理原则；Bushey 案则提供了海事企业风险的例证，即便行为的具体方式未经授权，该行为仍具有企业经营活动的典型特征。</w:t>
      </w:r>
      <w:r>
        <w:rPr>
          <w:rStyle w:val="FootnoteReference"/>
        </w:rPr>
        <w:footnoteReference w:id="50"/>
      </w:r>
      <w:r>
        <w:rPr>
          <w:rFonts w:ascii="Noto Serif CJK SC" w:hAnsi="Noto Serif CJK SC" w:eastAsia="Noto Serif CJK SC" w:cs="Noto Serif CJK SC"/>
          <w:lang w:val="en-US" w:eastAsia="zh-CN"/>
        </w:rPr>
        <w:t xml:space="preserve"> 人工智能的分发进一步强化了组织归责的理由：正是企业组建并维护了一套意在不经员工同时审查即可运行的系统，相关输出才会产生。</w:t>
      </w:r>
      <w:bookmarkEnd w:id="324"/>
      <w:bookmarkEnd w:id="329"/>
    </w:p>
    <w:p>
      <w:pPr>
        <w:pStyle w:val="BodyText"/>
        <w:wordWrap w:val="off"/>
      </w:pPr>
      <w:bookmarkStart w:id="336" w:name="x1-27012f49"/>
      <w:r>
        <w:rPr>
          <w:rFonts w:ascii="Noto Serif CJK SC" w:hAnsi="Noto Serif CJK SC" w:eastAsia="Noto Serif CJK SC" w:cs="Noto Serif CJK SC"/>
          <w:lang w:val="en-US" w:eastAsia="zh-CN"/>
        </w:rPr>
        <w:t xml:space="preserve">免责声明并不改变上述顺序。“由人工智能生成”“仅供参考”“请独立核实”和“模型可能出错”等表述，可以构成相关警示。其效力取决于具体请求、披露的清晰程度与时点、当事人同意、公共政策、受众，以及合理设计能否降低有关风险。合同法长期限制与公共政策冲突或架空不得放弃之义务的免责条款。产品担保规则另行规范免责声明，产品责任法理则考察合理的替代设计或充分说明是否本可降低相关风险；警示并非在任何情况下都能取代合理设计。</w:t>
      </w:r>
      <w:r>
        <w:rPr>
          <w:rStyle w:val="FootnoteReference"/>
        </w:rPr>
        <w:footnoteReference w:id="51"/>
      </w:r>
      <w:r>
        <w:rPr>
          <w:rFonts w:ascii="Noto Serif CJK SC" w:hAnsi="Noto Serif CJK SC" w:eastAsia="Noto Serif CJK SC" w:cs="Noto Serif CJK SC"/>
          <w:lang w:val="en-US" w:eastAsia="zh-CN"/>
        </w:rPr>
        <w:t xml:space="preserve"> 任何措辞都不能赋予企业将其风险普遍外部化的许可，正如任何营销隐喻都不能创造一个人工被告。</w:t>
      </w:r>
      <w:bookmarkEnd w:id="336"/>
    </w:p>
    <w:p>
      <w:pPr>
        <w:pStyle w:val="BodyText"/>
        <w:wordWrap w:val="off"/>
      </w:pPr>
      <w:bookmarkStart w:id="340" w:name="x1-27018f50"/>
      <w:r>
        <w:rPr>
          <w:rFonts w:ascii="Noto Serif CJK SC" w:hAnsi="Noto Serif CJK SC" w:eastAsia="Noto Serif CJK SC" w:cs="Noto Serif CJK SC"/>
          <w:lang w:val="en-US" w:eastAsia="zh-CN"/>
        </w:rPr>
        <w:t xml:space="preserve">软件如何定性，仍因法域而异。美国法院尚未采纳一项将所有独立服务、模型或更新一概视为产品的统一规则。一个有益的制定法参照，是欧盟 2024 年《产品责任指令》：该指令明确将软件纳入产品范围，将提供更新或升级的能力纳入制造商的控制，处理实质性修改问题，并建立符合比例原则的证据开示与举证规则。</w:t>
      </w:r>
      <w:r>
        <w:rPr>
          <w:rStyle w:val="FootnoteReference"/>
        </w:rPr>
        <w:footnoteReference w:id="52"/>
      </w:r>
      <w:r>
        <w:rPr>
          <w:rFonts w:ascii="Noto Serif CJK SC" w:hAnsi="Noto Serif CJK SC" w:eastAsia="Noto Serif CJK SC" w:cs="Noto Serif CJK SC"/>
          <w:lang w:val="en-US" w:eastAsia="zh-CN"/>
        </w:rPr>
        <w:t xml:space="preserve"> 其在本文中的意义是结构性的，而非主张制度移植：保留的更新权限、实质性修改和信息获取能力，均可归属于既有法律主体，而无须把软件本身塑造为法律主体。</w:t>
      </w:r>
      <w:bookmarkEnd w:id="340"/>
    </w:p>
    <w:bookmarkStart w:id="350" w:name="two-chatbots-two-merits-results"/>
    <w:p>
      <w:pPr>
        <w:pStyle w:val="Heading5"/>
        <w:wordWrap w:val="off"/>
      </w:pPr>
      <w:bookmarkStart w:id="341" w:name="x1-280001"/>
      <w:r>
        <w:rPr>
          <w:rFonts w:ascii="Noto Sans CJK SC" w:hAnsi="Noto Sans CJK SC" w:eastAsia="Noto Sans CJK SC" w:cs="Noto Sans CJK SC"/>
          <w:lang w:val="en-US" w:eastAsia="zh-CN"/>
        </w:rPr>
        <w:t xml:space="preserve">1　两个聊天机器人，两种实体裁判结果</w:t>
      </w:r>
      <w:bookmarkEnd w:id="341"/>
    </w:p>
    <w:p>
      <w:pPr>
        <w:pStyle w:val="FirstParagraph"/>
        <w:wordWrap w:val="off"/>
      </w:pPr>
      <w:bookmarkStart w:id="345" w:name="x1-28001f51"/>
      <w:r>
        <w:rPr>
          <w:rFonts w:ascii="Noto Serif CJK SC" w:hAnsi="Noto Serif CJK SC" w:eastAsia="Noto Serif CJK SC" w:cs="Noto Serif CJK SC"/>
          <w:lang w:val="en-US" w:eastAsia="zh-CN"/>
        </w:rPr>
        <w:t xml:space="preserve">杭州案与加拿大航空案表明，企业责任入口可以与不同的实体裁判结果并存。在 Moffatt 案中，加拿大航空网站上的聊天机器人错误告知一名顾客，可以在旅行结束后申请丧亲票价优惠。航空公司随后以书面政策要求出行前提出申请为由拒绝了该请求。在不列颠哥伦比亚省民事争议解决法庭审理中，加拿大航空实际上试图将聊天机器人与网站其他部分切割开来。法庭拒绝了这一主张：顾客没有义务自行判断航空公司网站的哪个部分才准确，加拿大航空应对经由其渠道提供的信息负责。</w:t>
      </w:r>
      <w:r>
        <w:rPr>
          <w:rStyle w:val="FootnoteReference"/>
        </w:rPr>
        <w:footnoteReference w:id="53"/>
      </w:r>
      <w:r>
        <w:rPr>
          <w:rFonts w:ascii="Noto Serif CJK SC" w:hAnsi="Noto Serif CJK SC" w:eastAsia="Noto Serif CJK SC" w:cs="Noto Serif CJK SC"/>
          <w:lang w:val="en-US" w:eastAsia="zh-CN"/>
        </w:rPr>
        <w:t xml:space="preserve"> 由于适用的不实陈述规则与证据支持给予救济，将有关行为归责于企业便完成了必要的法律工作。</w:t>
      </w:r>
      <w:bookmarkEnd w:id="345"/>
    </w:p>
    <w:p>
      <w:pPr>
        <w:pStyle w:val="BodyText"/>
        <w:wordWrap w:val="off"/>
      </w:pPr>
      <w:bookmarkStart w:id="349" w:name="x1-28004f52"/>
      <w:r>
        <w:rPr>
          <w:rFonts w:ascii="Noto Serif CJK SC" w:hAnsi="Noto Serif CJK SC" w:eastAsia="Noto Serif CJK SC" w:cs="Noto Serif CJK SC"/>
          <w:lang w:val="en-US" w:eastAsia="zh-CN"/>
        </w:rPr>
        <w:t xml:space="preserve">杭州互联网法院面对的生成内容则更为夸张。2025 年 6 月 29 日，一名用户询问某匿名生成式人工智能应用，某大学项目开设于何处。应用给出错误信息并遭用户质疑后，系统先行道歉，继而声称愿意赔偿 10 万元，并建议用户向杭州互联网法院起诉。用户遂请求赔偿 9,999 元。法院认为，人工智能系统不具备作出该项所谓承诺所需的民事主体地位与主观意思，因而该承诺不能构成其自身的法律行为；相关文本也未体现提供者真实的付款意思。法院依中国《生成式人工智能服务管理暂行办法》将该生成式人工智能应用认定为一项服务，而非受《中华人民共和国产品质量法》调整的产品，并另行适用《中华人民共和国民法典》的一般过错规则。双方均未上诉；法院官方账号于 2026 年 1 月发布该案信息时，该判决已经生效。</w:t>
      </w:r>
      <w:r>
        <w:rPr>
          <w:rStyle w:val="FootnoteReference"/>
        </w:rPr>
        <w:footnoteReference w:id="54"/>
      </w:r>
      <w:bookmarkEnd w:id="349"/>
    </w:p>
    <w:p>
      <w:pPr>
        <w:pStyle w:val="BodyText"/>
        <w:wordWrap w:val="off"/>
      </w:pPr>
      <w:r>
        <w:rPr>
          <w:rFonts w:ascii="Noto Serif CJK SC" w:hAnsi="Noto Serif CJK SC" w:eastAsia="Noto Serif CJK SC" w:cs="Noto Serif CJK SC"/>
          <w:lang w:val="en-US" w:eastAsia="zh-CN"/>
        </w:rPr>
        <w:t xml:space="preserve">不存在作为承诺人的机器，并不意味着错误答案游离于法律之外。法院另行审查了提供者是否违反一项依具体情境区分、以过错为基础的注意义务。据公开记录，欢迎页面、用户协议和操作界面均设有醒目的限制性提示，系统也采用检索增强生成技术以提高输出可靠性；同时，并无充分证据证明用户遭受实际损失，或错误信息对其申请决定产生了因果影响。基于该记录，法院认定既不存在可诉的过错，也不存在可赔偿的损害。提供者是在其自身行为接受审查后胜诉，而不是因为模型成了责任承担者。</w:t>
      </w:r>
    </w:p>
    <w:p>
      <w:pPr>
        <w:pStyle w:val="BodyText"/>
        <w:wordWrap w:val="off"/>
      </w:pPr>
      <w:r>
        <w:rPr>
          <w:rFonts w:ascii="Noto Serif CJK SC" w:hAnsi="Noto Serif CJK SC" w:eastAsia="Noto Serif CJK SC" w:cs="Noto Serif CJK SC"/>
          <w:lang w:val="en-US" w:eastAsia="zh-CN"/>
        </w:rPr>
        <w:t xml:space="preserve">两项裁判由此形成一组有益对照。加拿大航空利用自动化渠道传达票价信息，法庭在该场景中认定可归责于企业且顾客构成合理信赖。杭州案中的匿名应用则生成了一项并非提供者意思表示的荒诞承诺，随后法院另行进行了过错审查，并认定提供者不构成过错。责任入口规则既不会使企业受每一串生成文本拘束，也不会使其就每一串生成文本均获免责；它只是让企业继续留在案件中，使相关的归责、义务与证明规则得以运行。</w:t>
      </w:r>
    </w:p>
    <w:bookmarkEnd w:id="350"/>
    <w:bookmarkEnd w:id="351"/>
    <w:bookmarkStart w:id="391" w:name="X31b1f5287da4dfdc50408fc12fdf172b6ace5b7"/>
    <w:p>
      <w:pPr>
        <w:pStyle w:val="Heading4"/>
        <w:wordWrap w:val="off"/>
      </w:pPr>
      <w:bookmarkStart w:id="352" w:name="x1-29000B"/>
      <w:r>
        <w:rPr>
          <w:rFonts w:ascii="Noto Sans CJK SC" w:hAnsi="Noto Sans CJK SC" w:eastAsia="Noto Sans CJK SC" w:cs="Noto Sans CJK SC"/>
          <w:lang w:val="en-US" w:eastAsia="zh-CN"/>
        </w:rPr>
        <w:t xml:space="preserve">（二）应对最有力质疑：以企业为对象的求偿路径</w:t>
      </w:r>
      <w:bookmarkEnd w:id="352"/>
    </w:p>
    <w:p>
      <w:pPr>
        <w:pStyle w:val="FirstParagraph"/>
        <w:wordWrap w:val="off"/>
      </w:pPr>
      <w:r>
        <w:rPr>
          <w:rFonts w:ascii="Noto Serif CJK SC" w:hAnsi="Noto Serif CJK SC" w:eastAsia="Noto Serif CJK SC" w:cs="Noto Serif CJK SC"/>
          <w:lang w:val="en-US" w:eastAsia="zh-CN"/>
        </w:rPr>
        <w:t xml:space="preserve">责任入口规则面临三项严肃反对意见，且分别来自不同方向。第一，该架构并无必要，因为一般侵权法已经能够处理人工智能造成的损害。第二，扩大企业的责任风险会提高赔偿损害的总成本，反而使原本意在保护的受益人处境更差。第三，许多人工智能损害根本不应具有可诉性，因此，确保存在被告并非正确的制度目标。三项反对意见都很有分量，但它们所要求的是收窄本方案，而非否定本方案。下文即说明应如何收窄。</w:t>
      </w:r>
    </w:p>
    <w:bookmarkStart w:id="362" w:name="X79eb822ad1510e0587779b085f594d2748fa06f"/>
    <w:p>
      <w:pPr>
        <w:pStyle w:val="Heading5"/>
        <w:wordWrap w:val="off"/>
      </w:pPr>
      <w:bookmarkStart w:id="353" w:name="x1-300001"/>
      <w:r>
        <w:rPr>
          <w:rFonts w:ascii="Noto Sans CJK SC" w:hAnsi="Noto Sans CJK SC" w:eastAsia="Noto Sans CJK SC" w:cs="Noto Sans CJK SC"/>
          <w:lang w:val="en-US" w:eastAsia="zh-CN"/>
        </w:rPr>
        <w:t xml:space="preserve">1　充分性：传统法理或已足以处理这些损害</w:t>
      </w:r>
      <w:bookmarkEnd w:id="353"/>
    </w:p>
    <w:p>
      <w:pPr>
        <w:pStyle w:val="FirstParagraph"/>
        <w:wordWrap w:val="off"/>
      </w:pPr>
      <w:bookmarkStart w:id="357" w:name="x1-30001f53"/>
      <w:r>
        <w:rPr>
          <w:rFonts w:ascii="Noto Serif CJK SC" w:hAnsi="Noto Serif CJK SC" w:eastAsia="Noto Serif CJK SC" w:cs="Noto Serif CJK SC"/>
          <w:lang w:val="en-US" w:eastAsia="zh-CN"/>
        </w:rPr>
        <w:t xml:space="preserve">Kenneth Abraham 与 Catherine Sharkey 认为，侵权法在这一领域的处理能力比怀疑者所承认的更强。依其观点，黑箱问题并不妨碍责任成立，因为适用标准采取不依赖行为人主观心理状态的客观判断：关键在于被告行为是否合理，而无须重构模型的内部运行过程。客观合理性标准、产品设计缺陷标准，以及隐私权和诽谤侵权规则，均可通过传统原则或最低限度的调整，适用于首批涉及车辆与聊天机器人的人工智能案件。</w:t>
      </w:r>
      <w:r>
        <w:rPr>
          <w:rStyle w:val="FootnoteReference"/>
        </w:rPr>
        <w:footnoteReference w:id="55"/>
      </w:r>
      <w:r>
        <w:rPr>
          <w:rFonts w:ascii="Noto Serif CJK SC" w:hAnsi="Noto Serif CJK SC" w:eastAsia="Noto Serif CJK SC" w:cs="Noto Serif CJK SC"/>
          <w:lang w:val="en-US" w:eastAsia="zh-CN"/>
        </w:rPr>
        <w:t xml:space="preserve"> 如果这一判断成立，制定法上的责任入口便是多余的制度装置。</w:t>
      </w:r>
      <w:bookmarkEnd w:id="357"/>
    </w:p>
    <w:p>
      <w:pPr>
        <w:pStyle w:val="BodyText"/>
        <w:wordWrap w:val="off"/>
      </w:pPr>
      <w:bookmarkStart w:id="361" w:name="x1-30004f54"/>
      <w:r>
        <w:rPr>
          <w:rFonts w:ascii="Noto Serif CJK SC" w:hAnsi="Noto Serif CJK SC" w:eastAsia="Noto Serif CJK SC" w:cs="Noto Serif CJK SC"/>
          <w:lang w:val="en-US" w:eastAsia="zh-CN"/>
        </w:rPr>
        <w:t xml:space="preserve">Ketan Ramakrishnan 更直接地提出了证明方面的替代方案。他主张对前沿系统适用过失责任，并提出“行为故障”规则：明显的模型故障可以满足请求权人就义务违反承担的提出证据责任；在更强的版本中，还可以转移说服责任。这一进路运用的是熟悉的间接证明原理，而非以一概适用的严格责任取代过失责任。</w:t>
      </w:r>
      <w:r>
        <w:rPr>
          <w:rStyle w:val="FootnoteReference"/>
        </w:rPr>
        <w:footnoteReference w:id="56"/>
      </w:r>
      <w:r>
        <w:rPr>
          <w:rFonts w:ascii="Noto Serif CJK SC" w:hAnsi="Noto Serif CJK SC" w:eastAsia="Noto Serif CJK SC" w:cs="Noto Serif CJK SC"/>
          <w:lang w:val="en-US" w:eastAsia="zh-CN"/>
        </w:rPr>
        <w:t xml:space="preserve"> 一旦故障与责任主体已经进入视野，该方案即构成有力回应。</w:t>
      </w:r>
      <w:bookmarkEnd w:id="361"/>
    </w:p>
    <w:p>
      <w:pPr>
        <w:pStyle w:val="BodyText"/>
        <w:wordWrap w:val="off"/>
      </w:pPr>
      <w:r>
        <w:rPr>
          <w:rFonts w:ascii="Noto Serif CJK SC" w:hAnsi="Noto Serif CJK SC" w:eastAsia="Noto Serif CJK SC" w:cs="Noto Serif CJK SC"/>
          <w:lang w:val="en-US" w:eastAsia="zh-CN"/>
        </w:rPr>
        <w:t xml:space="preserve">本文在很大程度上赞同上述观点。本部分开篇即承认，障碍不在于缺乏法理；本文提出的任何内容也不创设新的责任标准。本文仍然关切的，是程序阶段而非实体标准。Abraham 与 Sharkey 的实体分析说明，当被告及相关行为已经进入视野后，应适用何种判断标准；Ramakrishnan 则降低了针对该行为人证明故障所需的证据负担。本文提出的架构所处理的，是请求权人如何识别哪一家企业控制分散式部署，以及如何取得进入上述任一审查所需的记录。</w:t>
      </w:r>
    </w:p>
    <w:p>
      <w:pPr>
        <w:pStyle w:val="BodyText"/>
        <w:wordWrap w:val="off"/>
      </w:pPr>
      <w:r>
        <w:rPr>
          <w:rFonts w:ascii="Noto Serif CJK SC" w:hAnsi="Noto Serif CJK SC" w:eastAsia="Noto Serif CJK SC" w:cs="Noto Serif CJK SC"/>
          <w:lang w:val="en-US" w:eastAsia="zh-CN"/>
        </w:rPr>
        <w:t xml:space="preserve">第一部分绘制的部署结构使这一缺口清晰可见。客观合理性标准仍然需要以被告实施了何种行为的证据为基础。如果同一家企业开发、配置、分发并运行系统，相关证据由单一主体保管，传统方案无须补充即可奏效；控制分散时则不然。请求权人所能看到的只有一项输出。要在诉状中具体主张行为，就需要配置记录；要取得配置记录，就必须列明持有记录的当事方；而要列明该当事方，请求权人又必须事先知道数家企业中究竟是哪一家选择模型、编写系统指令、提供工具、设定目标，或决定不停止运行。标准并不缺位，缺少的是为标准提供内容的事实。证据开示规则可以在不改变标准的情况下打破这一循环。</w:t>
      </w:r>
    </w:p>
    <w:p>
      <w:pPr>
        <w:pStyle w:val="BodyText"/>
        <w:wordWrap w:val="off"/>
      </w:pPr>
      <w:r>
        <w:rPr>
          <w:rFonts w:ascii="Noto Serif CJK SC" w:hAnsi="Noto Serif CJK SC" w:eastAsia="Noto Serif CJK SC" w:cs="Noto Serif CJK SC"/>
          <w:lang w:val="en-US" w:eastAsia="zh-CN"/>
        </w:rPr>
        <w:t xml:space="preserve">不过，这项质疑确实要求设定一项限制，而该限制反能完善本方案。责任入口的两个组成部分发挥不同作用，应分别评价。在纵向整合的部署中，主体识别部分近乎只是重申现有归责法，徒增成本却不改善信息获取；Garcia 案无须制定法即可将 Character Technologies 列为被告。在该场景中真正发挥作用的是证据开示部分；在控制架构分散、受害人目前可能因无从还原企业组织架构而败诉的场景中，主体识别部分才发挥作用。因此，立法机关完全可以广泛规定第二项义务，而仅对开发、配置与运行相分离的部署规定第一项义务。</w:t>
      </w:r>
    </w:p>
    <w:bookmarkEnd w:id="362"/>
    <w:bookmarkStart w:id="374" w:name="X17c79661aba7f201a3db129366226bcdc8d01fa"/>
    <w:p>
      <w:pPr>
        <w:pStyle w:val="Heading5"/>
        <w:wordWrap w:val="off"/>
      </w:pPr>
      <w:bookmarkStart w:id="363" w:name="x1-310002"/>
      <w:r>
        <w:rPr>
          <w:rFonts w:ascii="Noto Sans CJK SC" w:hAnsi="Noto Sans CJK SC" w:eastAsia="Noto Sans CJK SC" w:cs="Noto Sans CJK SC"/>
          <w:lang w:val="en-US" w:eastAsia="zh-CN"/>
        </w:rPr>
        <w:t xml:space="preserve">2　成本：责任范围扩大提高赔偿成本</w:t>
      </w:r>
      <w:bookmarkEnd w:id="363"/>
    </w:p>
    <w:p>
      <w:pPr>
        <w:pStyle w:val="FirstParagraph"/>
        <w:wordWrap w:val="off"/>
      </w:pPr>
      <w:bookmarkStart w:id="367" w:name="x1-31001f55"/>
      <w:r>
        <w:rPr>
          <w:rFonts w:ascii="Noto Serif CJK SC" w:hAnsi="Noto Serif CJK SC" w:eastAsia="Noto Serif CJK SC" w:cs="Noto Serif CJK SC"/>
          <w:lang w:val="en-US" w:eastAsia="zh-CN"/>
        </w:rPr>
        <w:t xml:space="preserve">Mark Geistfeld 指出了责任法研究经常遗漏的一项成本。主流理论支持企业严格责任，理由是将损害成本内部化可以促使企业采取合理安全措施，而责任保险可以补偿受害人。Geistfeld 的反对意见是：即便代位求偿与损害赔偿规则禁止重复受偿，责任保险与健康保险等第一方保险仍可能针对同一基础损失提供重叠保障。责任范围扩大将扩大这种重复保障，而权利人最终会通过价格承担相应成本。如果安全收益的取得，伴随着更大幅度的损害风险保险成本增长，受保护群体的处境反而会恶化。因此，这一机制要求精细校准，而非普遍扩张责任。</w:t>
      </w:r>
      <w:r>
        <w:rPr>
          <w:rStyle w:val="FootnoteReference"/>
        </w:rPr>
        <w:footnoteReference w:id="57"/>
      </w:r>
      <w:bookmarkEnd w:id="367"/>
    </w:p>
    <w:p>
      <w:pPr>
        <w:pStyle w:val="BodyText"/>
        <w:wordWrap w:val="off"/>
      </w:pPr>
      <w:r>
        <w:rPr>
          <w:rFonts w:ascii="Noto Serif CJK SC" w:hAnsi="Noto Serif CJK SC" w:eastAsia="Noto Serif CJK SC" w:cs="Noto Serif CJK SC"/>
          <w:lang w:val="en-US" w:eastAsia="zh-CN"/>
        </w:rPr>
        <w:t xml:space="preserve">上述分析与其说反对本方案，不如说更接近本方案。本文并不主张企业严格责任：请求权人仍须证明义务违反或缺陷、因果关系、法律认可的损害，以及适用法律要求的全部构成要件；所有抗辩也仍可提出。不过，更有效的主体识别与证据开示，确实可能使一些原本会因信息不对称而失败的有理请求获得支持，从而在边际上增加赔偿支出与抗辩成本。相应的正当化理由也受到严格限定：只有在请求权人主张了法律认可的损害，并说明该损害与部署之间存在可信的实质联系后，规则才会启动；开示范围仅及企业持有且与请求相称的记录；Geistfeld 希望责任法保留的实体限制则悉数维持。该规则只是使既有权利获得证明，而非创设一类一般性的新型可保损害。</w:t>
      </w:r>
    </w:p>
    <w:p>
      <w:pPr>
        <w:pStyle w:val="BodyText"/>
        <w:wordWrap w:val="off"/>
      </w:pPr>
      <w:r>
        <w:rPr>
          <w:rFonts w:ascii="Noto Serif CJK SC" w:hAnsi="Noto Serif CJK SC" w:eastAsia="Noto Serif CJK SC" w:cs="Noto Serif CJK SC"/>
          <w:lang w:val="en-US" w:eastAsia="zh-CN"/>
        </w:rPr>
        <w:t xml:space="preserve">另有两项成本塑造了本方案。第一，即便企业最终胜诉，也须承担证据开示义务；而且该项成本会在不同部署之间呈现相关性，这是通常诉讼风险所没有的特征。第二，模型层面的故障本身也可能高度相关——同一版本在一百万项部署中表现出相同行为——而这恰恰是风险汇集机制失灵的条件。对于此类风险，保险可能并非适当工具；有限度的赔偿基金、责任归集规则或法定责任上限，或许比责任制度或保险更为合适。这属于第二部分所指出的制度设计问题，应由立法机关作答。</w:t>
      </w:r>
    </w:p>
    <w:p>
      <w:pPr>
        <w:pStyle w:val="BodyText"/>
        <w:wordWrap w:val="off"/>
      </w:pPr>
      <w:bookmarkStart w:id="373" w:name="x1-31004f56"/>
      <w:r>
        <w:rPr>
          <w:rFonts w:ascii="Noto Serif CJK SC" w:hAnsi="Noto Serif CJK SC" w:eastAsia="Noto Serif CJK SC" w:cs="Noto Serif CJK SC"/>
          <w:lang w:val="en-US" w:eastAsia="zh-CN"/>
        </w:rPr>
        <w:t xml:space="preserve">责任章程处理了可保性的一项基础条件：可观察性。与同一系统未经记录即投入部署相比，指定风险负责人、完成回滚测试、记录事件并接受独立审查的部署，其风险更具可观察性。美国联邦航空局（FAA）第 5 部规则为这一记录要求提供了制度类比：强制性安全管理系统可以要求明确责任主体、报告事件、持续提供安全保证并留存记录。</w:t>
      </w:r>
      <w:r>
        <w:rPr>
          <w:rStyle w:val="FootnoteReference"/>
        </w:rPr>
        <w:footnoteReference w:id="58"/>
      </w:r>
      <w:r>
        <w:rPr>
          <w:rFonts w:ascii="Noto Serif CJK SC" w:hAnsi="Noto Serif CJK SC" w:eastAsia="Noto Serif CJK SC" w:cs="Noto Serif CJK SC"/>
          <w:lang w:val="en-US" w:eastAsia="zh-CN"/>
        </w:rPr>
        <w:t xml:space="preserve"> 这些记录不能保证保险一定可得，但会减少与风险分类有关的一项不确定性。记录义务通常被计为责任制度的成本，而在本方案中，它也会提高风险在精算上的可测算性。这正是本文对 Geistfeld 成本机制的推进：治理记录可以减少不确定性，同时不抹去限制救济范围的实体规则。</w:t>
      </w:r>
      <w:bookmarkEnd w:id="373"/>
    </w:p>
    <w:bookmarkEnd w:id="374"/>
    <w:bookmarkStart w:id="388" w:name="Xd8b459763afb0f16abc27d13ccaa0aeeeb92eb1"/>
    <w:p>
      <w:pPr>
        <w:pStyle w:val="Heading5"/>
        <w:wordWrap w:val="off"/>
      </w:pPr>
      <w:bookmarkStart w:id="375" w:name="x1-320003"/>
      <w:r>
        <w:rPr>
          <w:rFonts w:ascii="Noto Sans CJK SC" w:hAnsi="Noto Sans CJK SC" w:eastAsia="Noto Sans CJK SC" w:cs="Noto Sans CJK SC"/>
          <w:lang w:val="en-US" w:eastAsia="zh-CN"/>
        </w:rPr>
        <w:t xml:space="preserve">3　范围：部分人工智能损害不应获得救济</w:t>
      </w:r>
      <w:bookmarkEnd w:id="375"/>
    </w:p>
    <w:p>
      <w:pPr>
        <w:pStyle w:val="FirstParagraph"/>
        <w:wordWrap w:val="off"/>
      </w:pPr>
      <w:bookmarkStart w:id="379" w:name="x1-32001f57"/>
      <w:bookmarkStart w:id="382" w:name="x1-32004f58"/>
      <w:r>
        <w:rPr>
          <w:rFonts w:ascii="Noto Serif CJK SC" w:hAnsi="Noto Serif CJK SC" w:eastAsia="Noto Serif CJK SC" w:cs="Noto Serif CJK SC"/>
          <w:lang w:val="en-US" w:eastAsia="zh-CN"/>
        </w:rPr>
        <w:t xml:space="preserve">Zachary Henderson 提出了相反方向的关切。他认为，将严格责任一概适用于人工智能损害将是错误的；人工智能活动并非同质一体，其中许多损害根本不应获得侵权法救济。他分别从经济效率、矫正正义和民事求偿理论为这一立场提供论证。</w:t>
      </w:r>
      <w:r>
        <w:rPr>
          <w:rStyle w:val="FootnoteReference"/>
        </w:rPr>
        <w:footnoteReference w:id="59"/>
      </w:r>
      <w:r>
        <w:rPr>
          <w:rFonts w:ascii="Noto Serif CJK SC" w:hAnsi="Noto Serif CJK SC" w:eastAsia="Noto Serif CJK SC" w:cs="Noto Serif CJK SC"/>
          <w:lang w:val="en-US" w:eastAsia="zh-CN"/>
        </w:rPr>
        <w:t xml:space="preserve"> 在他看来，保险市场可以填补部分非侵权损害的补偿空缺；对于具有灾难性潜力的领域，则应制定有针对性的领域立法，而非适用一般规则。</w:t>
      </w:r>
      <w:r>
        <w:rPr>
          <w:rStyle w:val="FootnoteReference"/>
        </w:rPr>
        <w:footnoteReference w:id="60"/>
      </w:r>
      <w:bookmarkEnd w:id="379"/>
      <w:bookmarkEnd w:id="382"/>
    </w:p>
    <w:p>
      <w:pPr>
        <w:pStyle w:val="BodyText"/>
        <w:wordWrap w:val="off"/>
      </w:pPr>
      <w:r>
        <w:rPr>
          <w:rFonts w:ascii="Noto Serif CJK SC" w:hAnsi="Noto Serif CJK SC" w:eastAsia="Noto Serif CJK SC" w:cs="Noto Serif CJK SC"/>
          <w:lang w:val="en-US" w:eastAsia="zh-CN"/>
        </w:rPr>
        <w:t xml:space="preserve">本文架构与上述主张在逻辑上相互独立，明确这一点并不会削弱本方案。某项损失是否具有可诉性，是有关诉因的实体判断；受害人能否识别企业并取得部署记录，则是归责与证明问题。认同 Henderson 观点的立法机关完全可以兼采两者：一方面收窄可赔偿的人工智能损害范围，另一方面仍要求在该收窄范围内，由部署企业面向请求权人并提出相关记录。Henderson 本人针对高风险领域所偏好的工具——有针对性的领域立法——也正是本部分提出的工具；“高影响部署”这一类别，旨在划定适用领域，而非取消领域边界。</w:t>
      </w:r>
    </w:p>
    <w:p>
      <w:pPr>
        <w:pStyle w:val="BodyText"/>
        <w:wordWrap w:val="off"/>
      </w:pPr>
      <w:bookmarkStart w:id="387" w:name="x1-32006f59"/>
      <w:r>
        <w:rPr>
          <w:rFonts w:ascii="Noto Serif CJK SC" w:hAnsi="Noto Serif CJK SC" w:eastAsia="Noto Serif CJK SC" w:cs="Noto Serif CJK SC"/>
          <w:lang w:val="en-US" w:eastAsia="zh-CN"/>
        </w:rPr>
        <w:t xml:space="preserve">另有一项实施成本直接触及本方案。明确的被告与证据开示义务，可能独立于请求在实体上是否成立而产生和解压力，因为证据开示成本本身就是谈判筹码。本方案的启动条件构成第一重回应：只有请求权人主张了法律认可的损害，并说明该损害与受覆盖部署之间存在可信的实质联系，开示义务才会启动；其范围仍受比例原则约束。</w:t>
      </w:r>
      <w:r>
        <w:rPr>
          <w:rStyle w:val="FootnoteReference"/>
        </w:rPr>
        <w:footnoteReference w:id="61"/>
      </w:r>
      <w:r>
        <w:rPr>
          <w:rFonts w:ascii="Noto Serif CJK SC" w:hAnsi="Noto Serif CJK SC" w:eastAsia="Noto Serif CJK SC" w:cs="Noto Serif CJK SC"/>
          <w:lang w:val="en-US" w:eastAsia="zh-CN"/>
        </w:rPr>
        <w:t xml:space="preserve"> 立法机关还可以增设前期筛查程序、分阶段开示，或对未达到门槛的请求实行费用转移。但不应把找不到可识别被告当作案件筛选机制。依靠信息不对称进行筛选，筛掉的是调查资源不足的请求权人，而非实体上不能成立的请求。</w:t>
      </w:r>
      <w:bookmarkEnd w:id="387"/>
    </w:p>
    <w:bookmarkEnd w:id="388"/>
    <w:bookmarkStart w:id="390" w:name="what-the-objections-change"/>
    <w:p>
      <w:pPr>
        <w:pStyle w:val="Heading5"/>
        <w:wordWrap w:val="off"/>
      </w:pPr>
      <w:bookmarkStart w:id="389" w:name="x1-330004"/>
      <w:r>
        <w:rPr>
          <w:rFonts w:ascii="Noto Sans CJK SC" w:hAnsi="Noto Sans CJK SC" w:eastAsia="Noto Sans CJK SC" w:cs="Noto Sans CJK SC"/>
          <w:lang w:val="en-US" w:eastAsia="zh-CN"/>
        </w:rPr>
        <w:t xml:space="preserve">4　质疑如何塑造本方案</w:t>
      </w:r>
      <w:bookmarkEnd w:id="389"/>
    </w:p>
    <w:p>
      <w:pPr>
        <w:pStyle w:val="FirstParagraph"/>
        <w:wordWrap w:val="off"/>
      </w:pPr>
      <w:r>
        <w:rPr>
          <w:rFonts w:ascii="Noto Serif CJK SC" w:hAnsi="Noto Serif CJK SC" w:eastAsia="Noto Serif CJK SC" w:cs="Noto Serif CJK SC"/>
          <w:lang w:val="en-US" w:eastAsia="zh-CN"/>
        </w:rPr>
        <w:t xml:space="preserve">经过上述三项反对意见的检验，该架构仍然成立，只是其范围较本部分最初的表述更窄。在部署一体化时，主体识别部分近乎只是确认既有法律状态；只有在控制分散时，它才发挥真正作用。证据开示部分才是具有实质意义的改革：它应以达到诉状主张门槛为启动条件，以比例原则为边界，并配套保密保护。实体救济法则可由制定该规则的立法机关自行决定，甚至可以比现行法更窄。责任章程的正当性也不仅来自其问责功能，还在于它是少数能够使相关性强且难以量化的风险达到足够可观察、可定价程度的手段之一。三项反对意见均不要求把机器塑造成被告；它们讨论的都是哪些既有主体应当负责、在何种证明基础上负责，以及为此付出何种成本——而这正是本文认为法院始终在处理的问题。</w:t>
      </w:r>
    </w:p>
    <w:bookmarkEnd w:id="390"/>
    <w:bookmarkEnd w:id="391"/>
    <w:bookmarkStart w:id="415" w:name="the-rule-in-operation-garcia"/>
    <w:p>
      <w:pPr>
        <w:pStyle w:val="Heading4"/>
        <w:wordWrap w:val="off"/>
      </w:pPr>
      <w:bookmarkStart w:id="392" w:name="x1-34000C"/>
      <w:r>
        <w:rPr>
          <w:rFonts w:ascii="Noto Sans CJK SC" w:hAnsi="Noto Sans CJK SC" w:eastAsia="Noto Sans CJK SC" w:cs="Noto Sans CJK SC"/>
          <w:lang w:val="en-US" w:eastAsia="zh-CN"/>
        </w:rPr>
        <w:t xml:space="preserve">（三）规则的具体适用：Garcia 案</w:t>
      </w:r>
      <w:bookmarkEnd w:id="392"/>
    </w:p>
    <w:p>
      <w:pPr>
        <w:pStyle w:val="FirstParagraph"/>
        <w:wordWrap w:val="off"/>
      </w:pPr>
      <w:r>
        <w:rPr>
          <w:rFonts w:ascii="Noto Serif CJK SC" w:hAnsi="Noto Serif CJK SC" w:eastAsia="Noto Serif CJK SC" w:cs="Noto Serif CJK SC"/>
          <w:lang w:val="en-US" w:eastAsia="zh-CN"/>
        </w:rPr>
        <w:t xml:space="preserve">现在可以把收窄后的规则置于一项完整部署中实际检验，而不再停留于抽象表述。Garcia 案尤其具有启发性：已公布的裁定保留了通常的实体争议，而诉状所述技术栈同时包含一家应用企业、两名创始人、数家 Google 实体、用户创建的角色，以及一名未成年用户自己的输入。以下分析不对已经和解的诉讼作出裁判，而是说明责任入口与证据开示规则原本会提出哪些要求，以及哪些争议仍应留给一般法律处理。</w:t>
      </w:r>
    </w:p>
    <w:bookmarkStart w:id="402" w:name="X4ba3ebc716b704357f2a3730db59514bab9fcd8"/>
    <w:p>
      <w:pPr>
        <w:pStyle w:val="Heading5"/>
        <w:wordWrap w:val="off"/>
      </w:pPr>
      <w:bookmarkStart w:id="393" w:name="x1-350001"/>
      <w:r>
        <w:rPr>
          <w:rFonts w:ascii="Noto Sans CJK SC" w:hAnsi="Noto Sans CJK SC" w:eastAsia="Noto Sans CJK SC" w:cs="Noto Sans CJK SC"/>
          <w:lang w:val="en-US" w:eastAsia="zh-CN"/>
        </w:rPr>
        <w:t xml:space="preserve">1　启动门槛与初始责任中心</w:t>
      </w:r>
      <w:bookmarkEnd w:id="393"/>
    </w:p>
    <w:p>
      <w:pPr>
        <w:pStyle w:val="FirstParagraph"/>
        <w:wordWrap w:val="off"/>
      </w:pPr>
      <w:bookmarkStart w:id="397" w:name="x1-35001f60"/>
      <w:r>
        <w:rPr>
          <w:rFonts w:ascii="Noto Serif CJK SC" w:hAnsi="Noto Serif CJK SC" w:eastAsia="Noto Serif CJK SC" w:cs="Noto Serif CJK SC"/>
          <w:lang w:val="en-US" w:eastAsia="zh-CN"/>
        </w:rPr>
        <w:t xml:space="preserve">按照《联邦民事诉讼规则》第 12 条审查时须视为真实的诉状事实，已经满足启动门槛。原告诉称存在包括不法致死在内的法律认可损害，并主张该损害与其连续数月使用 Character.AI 部署进行互动之间存在实质联系。诉状针对的是设计与分发特征——包括拟人化呈现、未成年人使用、关系型互动、警示以及所称安全措施缺失——而非将生成角色列为被告。地区法院认为，诉状已可信地主张该应用构成产品，并允许核心产品责任与过失责任请求越过起诉阶段继续审理。</w:t>
      </w:r>
      <w:r>
        <w:rPr>
          <w:rStyle w:val="FootnoteReference"/>
        </w:rPr>
        <w:footnoteReference w:id="62"/>
      </w:r>
      <w:bookmarkEnd w:id="397"/>
    </w:p>
    <w:p>
      <w:pPr>
        <w:pStyle w:val="BodyText"/>
        <w:wordWrap w:val="off"/>
      </w:pPr>
      <w:r>
        <w:rPr>
          <w:rFonts w:ascii="Noto Serif CJK SC" w:hAnsi="Noto Serif CJK SC" w:eastAsia="Noto Serif CJK SC" w:cs="Noto Serif CJK SC"/>
          <w:lang w:val="en-US" w:eastAsia="zh-CN"/>
        </w:rPr>
        <w:t xml:space="preserve">Character Technologies 是最明确的初始责任中心。它向消费者提供有关部署；根据诉状所述事实，它还运营用户选择或创建角色并与生成回复互动的应用。所主张的风险与应用运营者通常能够控制的特征相关，包括用户资格、角色形象呈现、记忆与连续性、互动政策、危机识别、警示、监控及继续访问。这是纵向整合的场景，主体识别部分在此增益不大。责任入口的价值，在于确认自动化工具机制不会仅因没有员工选择最终对话内容就切断归责，同时也在无须请求权人先识别具体工程师的情况下启动证据开示义务。</w:t>
      </w:r>
    </w:p>
    <w:p>
      <w:pPr>
        <w:pStyle w:val="BodyText"/>
        <w:wordWrap w:val="off"/>
      </w:pPr>
      <w:bookmarkStart w:id="401" w:name="x1-35004f61"/>
      <w:r>
        <w:rPr>
          <w:rFonts w:ascii="Noto Serif CJK SC" w:hAnsi="Noto Serif CJK SC" w:eastAsia="Noto Serif CJK SC" w:cs="Noto Serif CJK SC"/>
          <w:lang w:val="en-US" w:eastAsia="zh-CN"/>
        </w:rPr>
        <w:t xml:space="preserve">其他被列名的行为人说明，“责任中心”必须始终针对特定风险加以认定。诉状称，两名创始人亲自设计、指挥并发布了相关技术；Google 则在知悉相关情况的情况下提供了大量技术、财务与组织协助。</w:t>
      </w:r>
      <w:r>
        <w:rPr>
          <w:rStyle w:val="FootnoteReference"/>
        </w:rPr>
        <w:footnoteReference w:id="63"/>
      </w:r>
      <w:r>
        <w:rPr>
          <w:rFonts w:ascii="Noto Serif CJK SC" w:hAnsi="Noto Serif CJK SC" w:eastAsia="Noto Serif CJK SC" w:cs="Noto Serif CJK SC"/>
          <w:lang w:val="en-US" w:eastAsia="zh-CN"/>
        </w:rPr>
        <w:t xml:space="preserve"> 依适用法律，这些主张可能支持针对个人的直接责任理论或帮助、教唆责任理论。但投资人、前雇主、许可方或基础设施供应商，并不会仅凭这一身份当然成为部署责任中心。制定法上的审查应考察各企业是否就有关关系性风险保留了实质权限，例如对相关模型、应用配置、安全信息、发布条件、更新或停止运行决定的控制。证据开示所形成的记录应当检验这一命题，而非仅凭公司关联关系预设结论。</w:t>
      </w:r>
      <w:bookmarkEnd w:id="401"/>
    </w:p>
    <w:bookmarkEnd w:id="402"/>
    <w:bookmarkStart w:id="408" w:name="the-focused-production-record"/>
    <w:p>
      <w:pPr>
        <w:pStyle w:val="Heading5"/>
        <w:wordWrap w:val="off"/>
      </w:pPr>
      <w:bookmarkStart w:id="403" w:name="x1-360002"/>
      <w:r>
        <w:rPr>
          <w:rFonts w:ascii="Noto Sans CJK SC" w:hAnsi="Noto Sans CJK SC" w:eastAsia="Noto Sans CJK SC" w:cs="Noto Sans CJK SC"/>
          <w:lang w:val="en-US" w:eastAsia="zh-CN"/>
        </w:rPr>
        <w:t xml:space="preserve">2　定向证据开示记录</w:t>
      </w:r>
      <w:bookmarkEnd w:id="403"/>
    </w:p>
    <w:p>
      <w:pPr>
        <w:pStyle w:val="FirstParagraph"/>
        <w:wordWrap w:val="off"/>
      </w:pPr>
      <w:r>
        <w:rPr>
          <w:rFonts w:ascii="Noto Serif CJK SC" w:hAnsi="Noto Serif CJK SC" w:eastAsia="Noto Serif CJK SC" w:cs="Noto Serif CJK SC"/>
          <w:lang w:val="en-US" w:eastAsia="zh-CN"/>
        </w:rPr>
        <w:t xml:space="preserve">达到启动门槛后，Character Technologies 应当识别所部署的模型与应用版本、部署控制级联中的各相关实体，并开示责任章程与事件记录中不受特权保护且与诉状所述风险相称的部分。在本案中，定向开示记录应包括：年龄准入规则及其执行情况；角色设定以及可归于角色创建者的特征；规范关系型互动与自伤互动的系统指令；记忆与主动互动设置；实际向该用户显示的警示及其显示时点；相关评估方案与结果；危机识别与干预；事件发生前收到的重大投诉及逐级上报信息；发布批准；以及可用的限制、回滚或账户干预控制。</w:t>
      </w:r>
    </w:p>
    <w:p>
      <w:pPr>
        <w:pStyle w:val="BodyText"/>
        <w:wordWrap w:val="off"/>
      </w:pPr>
      <w:r>
        <w:rPr>
          <w:rFonts w:ascii="Noto Serif CJK SC" w:hAnsi="Noto Serif CJK SC" w:eastAsia="Noto Serif CJK SC" w:cs="Noto Serif CJK SC"/>
          <w:lang w:val="en-US" w:eastAsia="zh-CN"/>
        </w:rPr>
        <w:t xml:space="preserve">这并非要求开示所有模型权重、所有用户对话，或不受限制地披露未成年人数据。《联邦民事诉讼规则》第 26 条的比例要求、特权规则、隐私保护、商业秘密保护令、信息隐去和分阶段证据开示仍将适用。第一阶段可以识别系统、责任实体、适用政策以及已经保全、与特定事件有关的事件记录；只有当诉状所述理论与初步开示结果足以支持时，才进一步开示范围更广的评估或设计记录。该规则将对“算法”的抽象索求，转化为与第一部分所列控制变量相联系、边界明确的开示请求。</w:t>
      </w:r>
    </w:p>
    <w:p>
      <w:pPr>
        <w:pStyle w:val="BodyText"/>
        <w:wordWrap w:val="off"/>
      </w:pPr>
      <w:bookmarkStart w:id="407" w:name="x1-36001f62"/>
      <w:r>
        <w:rPr>
          <w:rFonts w:ascii="Noto Serif CJK SC" w:hAnsi="Noto Serif CJK SC" w:eastAsia="Noto Serif CJK SC" w:cs="Noto Serif CJK SC"/>
          <w:lang w:val="en-US" w:eastAsia="zh-CN"/>
        </w:rPr>
        <w:t xml:space="preserve">相关记录也会保留有利于被告的事实。诉状与动议文书就用户选择、角色扮演、用户编辑消息、平台规则、内容拦截，以及聊天窗口内“角色陈述纯属虚构”的提示具有什么效力，存在争议。</w:t>
      </w:r>
      <w:r>
        <w:rPr>
          <w:rStyle w:val="FootnoteReference"/>
        </w:rPr>
        <w:footnoteReference w:id="64"/>
      </w:r>
      <w:r>
        <w:rPr>
          <w:rFonts w:ascii="Noto Serif CJK SC" w:hAnsi="Noto Serif CJK SC" w:eastAsia="Noto Serif CJK SC" w:cs="Noto Serif CJK SC"/>
          <w:lang w:val="en-US" w:eastAsia="zh-CN"/>
        </w:rPr>
        <w:t xml:space="preserve"> 配置与事件记录可以表明：哪些角色特征来自第三方创建者，哪些消息曾由用户编辑，哪些干预机制被触发，出现了何种警示，以及所提议的安全保障能否改变事件进程。证据开示以可供双方使用的证据，取代关于不可预测性的概括性主张。</w:t>
      </w:r>
      <w:bookmarkEnd w:id="407"/>
    </w:p>
    <w:bookmarkEnd w:id="408"/>
    <w:bookmarkStart w:id="414" w:name="X19beaa8ed80344e55d5c57c6fd431dc5daf4bab"/>
    <w:p>
      <w:pPr>
        <w:pStyle w:val="Heading5"/>
        <w:wordWrap w:val="off"/>
      </w:pPr>
      <w:bookmarkStart w:id="409" w:name="x1-370003"/>
      <w:r>
        <w:rPr>
          <w:rFonts w:ascii="Noto Sans CJK SC" w:hAnsi="Noto Sans CJK SC" w:eastAsia="Noto Sans CJK SC" w:cs="Noto Sans CJK SC"/>
          <w:lang w:val="en-US" w:eastAsia="zh-CN"/>
        </w:rPr>
        <w:t xml:space="preserve">3　从记录到实体审理与内部责任分配</w:t>
      </w:r>
      <w:bookmarkEnd w:id="409"/>
    </w:p>
    <w:p>
      <w:pPr>
        <w:pStyle w:val="FirstParagraph"/>
        <w:wordWrap w:val="off"/>
      </w:pPr>
      <w:r>
        <w:rPr>
          <w:rFonts w:ascii="Noto Serif CJK SC" w:hAnsi="Noto Serif CJK SC" w:eastAsia="Noto Serif CJK SC" w:cs="Noto Serif CJK SC"/>
          <w:lang w:val="en-US" w:eastAsia="zh-CN"/>
        </w:rPr>
        <w:t xml:space="preserve">取得上述记录后，其余问题由一般法理处理。产品定性决定适用何种设计规则与警示规则；过程模型用于梳理相关时点可预见的事项；反馈信息用于判断是否已有通知；权限与资源配置用于定位可行的预防措施；事件序列则用于检验事实因果关系与法律因果关系。第三部分讨论的实证研究指出了提供者现在可以测试的变量，但在2023至2024年涉案互动之后发表的研究，本身不能证明被告在当时实际知悉何事，也不能证明当时何种预防措施具有可行性。适当的审查必须立足当时，并针对具体部署。</w:t>
      </w:r>
    </w:p>
    <w:p>
      <w:pPr>
        <w:pStyle w:val="BodyText"/>
        <w:wordWrap w:val="off"/>
      </w:pPr>
      <w:bookmarkStart w:id="413" w:name="x1-37001f63"/>
      <w:r>
        <w:rPr>
          <w:rFonts w:ascii="Noto Serif CJK SC" w:hAnsi="Noto Serif CJK SC" w:eastAsia="Noto Serif CJK SC" w:cs="Noto Serif CJK SC"/>
          <w:lang w:val="en-US" w:eastAsia="zh-CN"/>
        </w:rPr>
        <w:t xml:space="preserve">同样的约束也适用于事件发生后采取的安全措施。事后设置的自伤干预机制，或许可以说明某项控制在技术上能够被明确设计出来；但其是否具有可采性，或能否证明事件发生前存在可行替代方案，仍取决于证据法与实体判断标准。</w:t>
      </w:r>
      <w:r>
        <w:rPr>
          <w:rStyle w:val="FootnoteReference"/>
        </w:rPr>
        <w:footnoteReference w:id="65"/>
      </w:r>
      <w:r>
        <w:rPr>
          <w:rFonts w:ascii="Noto Serif CJK SC" w:hAnsi="Noto Serif CJK SC" w:eastAsia="Noto Serif CJK SC" w:cs="Noto Serif CJK SC"/>
          <w:lang w:val="en-US" w:eastAsia="zh-CN"/>
        </w:rPr>
        <w:t xml:space="preserve"> 该架构既不把事后补救措施自动转化为责任，也不允许当事人以“模型行为无法重构”的概括主张，掩盖同期记录的缺失。</w:t>
      </w:r>
      <w:bookmarkEnd w:id="413"/>
    </w:p>
    <w:p>
      <w:pPr>
        <w:pStyle w:val="BodyText"/>
        <w:wordWrap w:val="off"/>
      </w:pPr>
      <w:r>
        <w:rPr>
          <w:rFonts w:ascii="Noto Serif CJK SC" w:hAnsi="Noto Serif CJK SC" w:eastAsia="Noto Serif CJK SC" w:cs="Noto Serif CJK SC"/>
          <w:lang w:val="en-US" w:eastAsia="zh-CN"/>
        </w:rPr>
        <w:t xml:space="preserve">最后，责任章程将对外责任与针对个人的内部追索区分开来。它会说明：谁批准未成年人使用，谁负责关系型风险与自伤风险，何种异议曾上报管理层，谁控制发布所需资源，以及是否有人隐瞒事件或绕过约束。安全员工留有记录的警示，应支持对该员工的保护，而不应据此推定其必须成为请求权人的唯一追索对象；故意压制信息或擅自移除安全措施的行为，则仍可引发个人后果。由于历史上的该项部署并不受制定法责任章程调整，这一分析具有前瞻性：它说明拟议规则将为下一项高影响关系型系统要求何种责任分配与证据。</w:t>
      </w:r>
    </w:p>
    <w:p>
      <w:pPr>
        <w:pStyle w:val="BodyText"/>
        <w:wordWrap w:val="off"/>
      </w:pPr>
      <w:r>
        <w:rPr>
          <w:rFonts w:ascii="Noto Serif CJK SC" w:hAnsi="Noto Serif CJK SC" w:eastAsia="Noto Serif CJK SC" w:cs="Noto Serif CJK SC"/>
          <w:lang w:val="en-US" w:eastAsia="zh-CN"/>
        </w:rPr>
        <w:t xml:space="preserve">Garcia 案由此准确展示了这一架构的制度收益。初始企业清晰可见，主体识别并不困难；真正棘手的问题，是界面背后的记录、保留控制权的分配，以及具体设计选择在因果关系上的意义。证据开示规则触及这些问题，却不预先决定答案。已经和解的案件仍可作为产品定性与诉状审查的锚点；这一应用示例则提供了原本能够推动其实体分析继续展开的程序路径。</w:t>
      </w:r>
    </w:p>
    <w:bookmarkEnd w:id="414"/>
    <w:bookmarkEnd w:id="415"/>
    <w:bookmarkStart w:id="444" w:name="X31a4ca865c453c085e104290ed227d76c86f9e0"/>
    <w:p>
      <w:pPr>
        <w:pStyle w:val="Heading4"/>
        <w:wordWrap w:val="off"/>
      </w:pPr>
      <w:bookmarkStart w:id="416" w:name="x1-38000D"/>
      <w:r>
        <w:rPr>
          <w:rFonts w:ascii="Noto Sans CJK SC" w:hAnsi="Noto Sans CJK SC" w:eastAsia="Noto Sans CJK SC" w:cs="Noto Sans CJK SC"/>
          <w:lang w:val="en-US" w:eastAsia="zh-CN"/>
        </w:rPr>
        <w:t xml:space="preserve">（四）企业责任与个人责任并行</w:t>
      </w:r>
      <w:bookmarkEnd w:id="416"/>
    </w:p>
    <w:p>
      <w:pPr>
        <w:pStyle w:val="FirstParagraph"/>
        <w:wordWrap w:val="off"/>
      </w:pPr>
      <w:r>
        <w:rPr>
          <w:rFonts w:ascii="Noto Serif CJK SC" w:hAnsi="Noto Serif CJK SC" w:eastAsia="Noto Serif CJK SC" w:cs="Noto Serif CJK SC"/>
          <w:lang w:val="en-US" w:eastAsia="zh-CN"/>
        </w:rPr>
        <w:t xml:space="preserve">三项法理很容易被混为一谈。企业直接责任，关注组织自身在设计、政策、资源、监督、警示与部署方面的选择。替代责任，是依代理或其他关系将个人行为归属于组织。个人直接责任，则关注个人自身实施的侵权、犯罪或其他可诉行为。三者在分析上彼此独立。企业直接责任与个人责任可以分别成立；替代责任通常以员工实施基础侵权行为为前提，即使无须将该员工列为被告，也无须能够从其本人实际获得赔偿。</w:t>
      </w:r>
    </w:p>
    <w:p>
      <w:pPr>
        <w:pStyle w:val="BodyText"/>
        <w:wordWrap w:val="off"/>
      </w:pPr>
      <w:bookmarkStart w:id="420" w:name="x1-38001f64"/>
      <w:r>
        <w:rPr>
          <w:rFonts w:ascii="Noto Serif CJK SC" w:hAnsi="Noto Serif CJK SC" w:eastAsia="Noto Serif CJK SC" w:cs="Noto Serif CJK SC"/>
          <w:lang w:val="en-US" w:eastAsia="zh-CN"/>
        </w:rPr>
        <w:t xml:space="preserve">这种区分在两个方向上都很重要。公司不能以找出执行有关政策的员工为由，逃避自身的过失责任；员工也不会仅因组织承担责任而当然承担个人责任。但代表公司行事，并不普遍豁免个人对其自身侵权行为的责任。《代理法第三次重述》第7.01条规定，代理人的侵权行为给第三人造成损害的，代理人应承担责任，无论本人是否也承担责任。</w:t>
      </w:r>
      <w:r>
        <w:rPr>
          <w:rStyle w:val="FootnoteReference"/>
        </w:rPr>
        <w:footnoteReference w:id="66"/>
      </w:r>
      <w:r>
        <w:rPr>
          <w:rFonts w:ascii="Noto Serif CJK SC" w:hAnsi="Noto Serif CJK SC" w:eastAsia="Noto Serif CJK SC" w:cs="Noto Serif CJK SC"/>
          <w:lang w:val="en-US" w:eastAsia="zh-CN"/>
        </w:rPr>
        <w:t xml:space="preserve"> 请求权人仍须证明该个人负有义务、实施了有关行为、存在因果关系，以及法律要求的任何主观心理状态。</w:t>
      </w:r>
      <w:bookmarkEnd w:id="420"/>
    </w:p>
    <w:p>
      <w:pPr>
        <w:pStyle w:val="BodyText"/>
        <w:wordWrap w:val="off"/>
      </w:pPr>
      <w:bookmarkStart w:id="425" w:name="x1-38004f65"/>
      <w:r>
        <w:rPr>
          <w:rFonts w:ascii="Noto Serif CJK SC" w:hAnsi="Noto Serif CJK SC" w:eastAsia="Noto Serif CJK SC" w:cs="Noto Serif CJK SC"/>
          <w:lang w:val="en-US" w:eastAsia="zh-CN"/>
        </w:rPr>
        <w:t xml:space="preserve">公司人格否认处理的是另一个问题：在所有者滥用公司形式、并满足具体法域所定标准的例外情形下，可以不顾实体间的独立性。起诉高管、工程师、临床医生或经理对其自身侵权行为负责，通常并不需要先否认公司人格。</w:t>
      </w:r>
      <w:r>
        <w:rPr>
          <w:rStyle w:val="FootnoteReference"/>
        </w:rPr>
        <w:footnoteReference w:id="67"/>
      </w:r>
      <w:r>
        <w:rPr>
          <w:rFonts w:ascii="Noto Serif CJK SC" w:hAnsi="Noto Serif CJK SC" w:eastAsia="Noto Serif CJK SC" w:cs="Noto Serif CJK SC"/>
          <w:lang w:val="en-US" w:eastAsia="zh-CN"/>
        </w:rPr>
        <w:t xml:space="preserve"> 将二者视为同义概念，要么会对个人不法行为提供过度保护，要么会使普通员工面临本应由所有者承担的责任。责任章程应当守住这条界线：在适用法律允许的范围内，普通的善意履职所生责任由企业在内部分配并予以补偿；隐瞒、伪造以及个人实施的侵权行为，则应直接评价。</w:t>
      </w:r>
      <w:bookmarkEnd w:id="425"/>
    </w:p>
    <w:p>
      <w:pPr>
        <w:pStyle w:val="BodyText"/>
        <w:wordWrap w:val="off"/>
      </w:pPr>
      <w:bookmarkStart w:id="429" w:name="x1-38008f66"/>
      <w:bookmarkStart w:id="433" w:name="x1-38011f67"/>
      <w:bookmarkStart w:id="437" w:name="x1-38014f68"/>
      <w:r>
        <w:rPr>
          <w:rFonts w:ascii="Noto Serif CJK SC" w:hAnsi="Noto Serif CJK SC" w:eastAsia="Noto Serif CJK SC" w:cs="Noto Serif CJK SC"/>
          <w:lang w:val="en-US" w:eastAsia="zh-CN"/>
        </w:rPr>
        <w:t xml:space="preserve">公司刑法进一步确认，组织与个人可以并行承担责任。在 New York Central &amp; Hudson River Railroad Co. v. United States 案中，最高法院确认，就员工在权限范围内为公司利益实施的联邦犯罪，可以将其行为归责于公司。</w:t>
      </w:r>
      <w:r>
        <w:rPr>
          <w:rStyle w:val="FootnoteReference"/>
        </w:rPr>
        <w:footnoteReference w:id="68"/>
      </w:r>
      <w:r>
        <w:rPr>
          <w:rFonts w:ascii="Noto Serif CJK SC" w:hAnsi="Noto Serif CJK SC" w:eastAsia="Noto Serif CJK SC" w:cs="Noto Serif CJK SC"/>
          <w:lang w:val="en-US" w:eastAsia="zh-CN"/>
        </w:rPr>
        <w:t xml:space="preserve"> 在受到严格监管的公共福利领域，“负责的公司管理人员原则”（responsible-corporate-officer doctrine，RCO 原则）可以使负有预防或纠正违法行为之职责与权限的高管承担责任，即使其并未以通常方式参与被禁止行为。</w:t>
      </w:r>
      <w:r>
        <w:rPr>
          <w:rStyle w:val="FootnoteReference"/>
        </w:rPr>
        <w:footnoteReference w:id="69"/>
      </w:r>
      <w:r>
        <w:rPr>
          <w:rFonts w:ascii="Noto Serif CJK SC" w:hAnsi="Noto Serif CJK SC" w:eastAsia="Noto Serif CJK SC" w:cs="Noto Serif CJK SC"/>
          <w:lang w:val="en-US" w:eastAsia="zh-CN"/>
        </w:rPr>
        <w:t xml:space="preserve"> 州实定法也可以规定公司对过失致死承担刑事责任。在 Commonwealth v. Angelo Todesca Corp. 案中，马萨诸塞州最高司法法院维持了对一家公司的有罪判决：其司机在执行经授权的公司业务时过失驾驶，违反该州机动车致死罪规定。</w:t>
      </w:r>
      <w:r>
        <w:rPr>
          <w:rStyle w:val="FootnoteReference"/>
        </w:rPr>
        <w:footnoteReference w:id="70"/>
      </w:r>
      <w:r>
        <w:rPr>
          <w:rFonts w:ascii="Noto Serif CJK SC" w:hAnsi="Noto Serif CJK SC" w:eastAsia="Noto Serif CJK SC" w:cs="Noto Serif CJK SC"/>
          <w:lang w:val="en-US" w:eastAsia="zh-CN"/>
        </w:rPr>
        <w:t xml:space="preserve"> 正如不应把 Park 案泛化为高管自动担责的规则，也不应把这一具有法域特定性的规则泛化为全国统一的人工智能犯罪。综合而言，这些权威资料揭示了一种结构上的可能：组织责任无须排斥个人责任；在实定法赋予管理权限以法律意义的领域，该权限即具有相应意义。</w:t>
      </w:r>
      <w:bookmarkEnd w:id="429"/>
      <w:bookmarkEnd w:id="433"/>
      <w:bookmarkEnd w:id="437"/>
    </w:p>
    <w:p>
      <w:pPr>
        <w:pStyle w:val="BodyText"/>
        <w:wordWrap w:val="off"/>
      </w:pPr>
      <w:bookmarkStart w:id="443" w:name="x1-38017f69"/>
      <w:r>
        <w:rPr>
          <w:rFonts w:ascii="Noto Serif CJK SC" w:hAnsi="Noto Serif CJK SC" w:eastAsia="Noto Serif CJK SC" w:cs="Noto Serif CJK SC"/>
          <w:lang w:val="en-US" w:eastAsia="zh-CN"/>
        </w:rPr>
        <w:t xml:space="preserve">公司信义义务法理还提供了一项边界明确的类比。Caremark 案及其后续判例考察的是，董事是否已善意努力为事关企业使命的合规风险建立董事会层面的信息与报告系统。</w:t>
      </w:r>
      <w:r>
        <w:rPr>
          <w:rStyle w:val="FootnoteReference"/>
        </w:rPr>
        <w:footnoteReference w:id="71"/>
      </w:r>
      <w:r>
        <w:rPr>
          <w:rFonts w:ascii="Noto Serif CJK SC" w:hAnsi="Noto Serif CJK SC" w:eastAsia="Noto Serif CJK SC" w:cs="Noto Serif CJK SC"/>
          <w:lang w:val="en-US" w:eastAsia="zh-CN"/>
        </w:rPr>
        <w:t xml:space="preserve"> 这类信义义务请求属于公司本身，并非董事对每一名受人工智能影响者承担的独立侵权义务。其意义在于制度结构：法律早已承认，即使没有任何董事亲自设计发生故障的组件，组织也可能因缺少报告架构、逐级上报机制和董事会关注而失职。</w:t>
      </w:r>
      <w:bookmarkEnd w:id="443"/>
    </w:p>
    <w:p>
      <w:pPr>
        <w:pStyle w:val="BodyText"/>
        <w:wordWrap w:val="off"/>
      </w:pPr>
      <w:r>
        <w:rPr>
          <w:rFonts w:ascii="Noto Serif CJK SC" w:hAnsi="Noto Serif CJK SC" w:eastAsia="Noto Serif CJK SC" w:cs="Noto Serif CJK SC"/>
          <w:lang w:val="en-US" w:eastAsia="zh-CN"/>
        </w:rPr>
        <w:t xml:space="preserve">责任章程把这一认识转化为针对具体部署的记录。它使法院至少能够区分四种情形：管理层收到有记录的风险警示后拒绝配置资源；部署者在已经批准且受到合理监控的设计范围内行事；员工提出的关切遭到压制；或某人明知而绕过约束。如果没有事前责任配置，这四种情形都可能呈现为不加区分的“人工智能故障”。</w:t>
      </w:r>
    </w:p>
    <w:bookmarkEnd w:id="444"/>
    <w:bookmarkStart w:id="509" w:name="the-mandatory-responsibility-charter"/>
    <w:p>
      <w:pPr>
        <w:pStyle w:val="Heading4"/>
        <w:wordWrap w:val="off"/>
      </w:pPr>
      <w:bookmarkStart w:id="445" w:name="x1-39000E"/>
      <w:r>
        <w:rPr>
          <w:rFonts w:ascii="Noto Sans CJK SC" w:hAnsi="Noto Sans CJK SC" w:eastAsia="Noto Sans CJK SC" w:cs="Noto Sans CJK SC"/>
          <w:lang w:val="en-US" w:eastAsia="zh-CN"/>
        </w:rPr>
        <w:t xml:space="preserve">（五）强制性责任章程</w:t>
      </w:r>
      <w:bookmarkEnd w:id="445"/>
    </w:p>
    <w:p>
      <w:pPr>
        <w:pStyle w:val="FirstParagraph"/>
        <w:wordWrap w:val="off"/>
      </w:pPr>
      <w:r>
        <w:rPr>
          <w:rFonts w:ascii="Noto Serif CJK SC" w:hAnsi="Noto Serif CJK SC" w:eastAsia="Noto Serif CJK SC" w:cs="Noto Serif CJK SC"/>
          <w:lang w:val="en-US" w:eastAsia="zh-CN"/>
        </w:rPr>
        <w:t xml:space="preserve">对于指定的高影响部署，法律应要求在发布前制定书面责任章程。“高影响”应由适用的部门规则或制定法加以界定，例如：实质决定个人能否获得就业、信贷、住房、教育、医疗保健、人身自由、基本公共福利或人身安全的系统，以及面向未成年人提供的关系型系统。通用模型不会仅因可能用于上述场景就成为高影响系统；该义务针对受覆盖的具体部署，并且仅就部门规则分配给提供者的功能向其适用。</w:t>
      </w:r>
    </w:p>
    <w:p>
      <w:pPr>
        <w:pStyle w:val="BodyText"/>
        <w:wordWrap w:val="off"/>
      </w:pPr>
      <w:r>
        <w:rPr>
          <w:rFonts w:ascii="Noto Serif CJK SC" w:hAnsi="Noto Serif CJK SC" w:eastAsia="Noto Serif CJK SC" w:cs="Noto Serif CJK SC"/>
          <w:lang w:val="en-US" w:eastAsia="zh-CN"/>
        </w:rPr>
        <w:t xml:space="preserve">责任章程不是表达愿景的伦理宣言，而是一项与特定部署、版本和运行场景相联系的控制工具。它至少应包括以下内容：</w:t>
      </w:r>
    </w:p>
    <w:p>
      <w:pPr>
        <w:pStyle w:val="BodyText"/>
        <w:wordWrap w:val="off"/>
      </w:pPr>
      <w:bookmarkStart w:id="446" w:name="x1-39001r3"/>
      <w:bookmarkEnd w:id="446"/>
    </w:p>
    <w:bookmarkStart w:id="447" w:name="TBL-5"/>
    <w:p>
      <w:pPr>
        <w:pStyle w:val="TableCaption"/>
        <w:wordWrap w:val="off"/>
      </w:pPr>
      <w:r>
        <w:rPr>
          <w:rFonts w:ascii="Noto Serif CJK SC" w:hAnsi="Noto Serif CJK SC" w:eastAsia="Noto Serif CJK SC" w:cs="Noto Serif CJK SC"/>
          <w:lang w:val="en-US" w:eastAsia="zh-CN"/>
        </w:rPr>
        <w:t xml:space="preserve">表 4：责任章程的最低内容</w:t>
      </w:r>
    </w:p>
    <w:tbl>
      <w:tblPr>
        <w:tblStyle w:val="Table"/>
        <w:tblW w:type="dxa" w:w="7920"/>
        <w:tblLook w:firstRow="0" w:lastRow="0" w:firstColumn="0" w:lastColumn="0" w:noHBand="0" w:noVBand="0" w:val="0000"/>
        <w:tblCaption w:val="表 3：责任章程的最低内容"/>
        <w:tblInd w:type="dxa" w:w="0"/>
      </w:tblPr>
      <w:tblGrid>
        <w:gridCol w:w="2640"/>
        <w:gridCol w:w="2640"/>
        <w:gridCol w:w="2640"/>
      </w:tblGrid>
      <w:tr>
        <w:tc>
          <w:tcPr>
            <w:tcW w:type="dxa" w:w="2640"/>
          </w:tcPr>
          <w:p>
            <w:pPr>
              <w:keepLines/>
              <w:wordWrap w:val="off"/>
              <w:jc w:val="left"/>
            </w:pPr>
            <w:r>
              <w:rPr>
                <w:rFonts w:ascii="Noto Serif CJK SC" w:hAnsi="Noto Serif CJK SC" w:eastAsia="Noto Serif CJK SC" w:cs="Noto Serif CJK SC"/>
                <w:lang w:val="en-US" w:eastAsia="zh-CN"/>
              </w:rPr>
              <w:t xml:space="preserve">构成要素</w:t>
            </w:r>
          </w:p>
        </w:tc>
        <w:tc>
          <w:tcPr>
            <w:tcW w:type="dxa" w:w="2640"/>
          </w:tcPr>
          <w:p>
            <w:pPr>
              <w:keepLines/>
              <w:wordWrap w:val="off"/>
              <w:jc w:val="left"/>
            </w:pPr>
            <w:r>
              <w:rPr>
                <w:rFonts w:ascii="Noto Serif CJK SC" w:hAnsi="Noto Serif CJK SC" w:eastAsia="Noto Serif CJK SC" w:cs="Noto Serif CJK SC"/>
                <w:lang w:val="en-US" w:eastAsia="zh-CN"/>
              </w:rPr>
              <w:t xml:space="preserve">必要配置</w:t>
            </w:r>
          </w:p>
        </w:tc>
        <w:tc>
          <w:tcPr>
            <w:tcW w:type="dxa" w:w="2640"/>
          </w:tcPr>
          <w:p>
            <w:pPr>
              <w:keepLines/>
              <w:wordWrap w:val="off"/>
              <w:jc w:val="left"/>
            </w:pPr>
            <w:r>
              <w:rPr>
                <w:rFonts w:ascii="Noto Serif CJK SC" w:hAnsi="Noto Serif CJK SC" w:eastAsia="Noto Serif CJK SC" w:cs="Noto Serif CJK SC"/>
                <w:lang w:val="en-US" w:eastAsia="zh-CN"/>
              </w:rPr>
              <w:t xml:space="preserve">证据功能</w:t>
            </w:r>
          </w:p>
        </w:tc>
        <w:trPr>
          <w:cantSplit/>
          <w:tblHeader/>
        </w:trPr>
      </w:tr>
      <w:tr>
        <w:tc>
          <w:tcPr>
            <w:tcW w:type="dxa" w:w="2640"/>
          </w:tcPr>
          <w:p>
            <w:pPr>
              <w:keepLines/>
              <w:wordWrap w:val="off"/>
              <w:jc w:val="left"/>
            </w:pPr>
            <w:r>
              <w:rPr>
                <w:rFonts w:ascii="Noto Serif CJK SC" w:hAnsi="Noto Serif CJK SC" w:eastAsia="Noto Serif CJK SC" w:cs="Noto Serif CJK SC"/>
                <w:lang w:val="en-US" w:eastAsia="zh-CN"/>
              </w:rPr>
              <w:t xml:space="preserve">部署标识与范围</w:t>
            </w:r>
          </w:p>
        </w:tc>
        <w:tc>
          <w:tcPr>
            <w:tcW w:type="dxa" w:w="2640"/>
          </w:tcPr>
          <w:p>
            <w:pPr>
              <w:keepLines/>
              <w:wordWrap w:val="off"/>
              <w:jc w:val="left"/>
            </w:pPr>
            <w:r>
              <w:rPr>
                <w:rFonts w:ascii="Noto Serif CJK SC" w:hAnsi="Noto Serif CJK SC" w:eastAsia="Noto Serif CJK SC" w:cs="Noto Serif CJK SC"/>
                <w:lang w:val="en-US" w:eastAsia="zh-CN"/>
              </w:rPr>
              <w:t xml:space="preserve">系统版本、目的、对象群体、数据、工具、供应商、实质性限制及变更阈值。</w:t>
            </w:r>
          </w:p>
        </w:tc>
        <w:tc>
          <w:tcPr>
            <w:tcW w:type="dxa" w:w="2640"/>
          </w:tcPr>
          <w:p>
            <w:pPr>
              <w:keepLines/>
              <w:wordWrap w:val="off"/>
              <w:jc w:val="left"/>
            </w:pPr>
            <w:r>
              <w:rPr>
                <w:rFonts w:ascii="Noto Serif CJK SC" w:hAnsi="Noto Serif CJK SC" w:eastAsia="Noto Serif CJK SC" w:cs="Noto Serif CJK SC"/>
                <w:lang w:val="en-US" w:eastAsia="zh-CN"/>
              </w:rPr>
              <w:t xml:space="preserve">界定涉案系统，并区分此后发生的实质性修改。</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具名风险负责人</w:t>
            </w:r>
          </w:p>
        </w:tc>
        <w:tc>
          <w:tcPr>
            <w:tcW w:type="dxa" w:w="2640"/>
          </w:tcPr>
          <w:p>
            <w:pPr>
              <w:keepLines/>
              <w:wordWrap w:val="off"/>
              <w:jc w:val="left"/>
            </w:pPr>
            <w:r>
              <w:rPr>
                <w:rFonts w:ascii="Noto Serif CJK SC" w:hAnsi="Noto Serif CJK SC" w:eastAsia="Noto Serif CJK SC" w:cs="Noto Serif CJK SC"/>
                <w:lang w:val="en-US" w:eastAsia="zh-CN"/>
              </w:rPr>
              <w:t xml:space="preserve">为每项重大危险状态指定一名负责高管和一名运行负责人，并赋予充分权限与资源。</w:t>
            </w:r>
          </w:p>
        </w:tc>
        <w:tc>
          <w:tcPr>
            <w:tcW w:type="dxa" w:w="2640"/>
          </w:tcPr>
          <w:p>
            <w:pPr>
              <w:keepLines/>
              <w:wordWrap w:val="off"/>
              <w:jc w:val="left"/>
            </w:pPr>
            <w:r>
              <w:rPr>
                <w:rFonts w:ascii="Noto Serif CJK SC" w:hAnsi="Noto Serif CJK SC" w:eastAsia="Noto Serif CJK SC" w:cs="Noto Serif CJK SC"/>
                <w:lang w:val="en-US" w:eastAsia="zh-CN"/>
              </w:rPr>
              <w:t xml:space="preserve">明确由谁接收信息，以及谁有权启动风险缓释措施。</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部署签批</w:t>
            </w:r>
          </w:p>
        </w:tc>
        <w:tc>
          <w:tcPr>
            <w:tcW w:type="dxa" w:w="2640"/>
          </w:tcPr>
          <w:p>
            <w:pPr>
              <w:keepLines/>
              <w:wordWrap w:val="off"/>
              <w:jc w:val="left"/>
            </w:pPr>
            <w:r>
              <w:rPr>
                <w:rFonts w:ascii="Noto Serif CJK SC" w:hAnsi="Noto Serif CJK SC" w:eastAsia="Noto Serif CJK SC" w:cs="Noto Serif CJK SC"/>
                <w:lang w:val="en-US" w:eastAsia="zh-CN"/>
              </w:rPr>
              <w:t xml:space="preserve">明确的批准人、所考虑的证据、尚未解决的异议、附加条件，以及失效日期或复审日期。</w:t>
            </w:r>
          </w:p>
        </w:tc>
        <w:tc>
          <w:tcPr>
            <w:tcW w:type="dxa" w:w="2640"/>
          </w:tcPr>
          <w:p>
            <w:pPr>
              <w:keepLines/>
              <w:wordWrap w:val="off"/>
              <w:jc w:val="left"/>
            </w:pPr>
            <w:r>
              <w:rPr>
                <w:rFonts w:ascii="Noto Serif CJK SC" w:hAnsi="Noto Serif CJK SC" w:eastAsia="Noto Serif CJK SC" w:cs="Noto Serif CJK SC"/>
                <w:lang w:val="en-US" w:eastAsia="zh-CN"/>
              </w:rPr>
              <w:t xml:space="preserve">记录授权、知情情况、替代方案及限制条件。</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受保护的逐级上报与异议</w:t>
            </w:r>
          </w:p>
        </w:tc>
        <w:tc>
          <w:tcPr>
            <w:tcW w:type="dxa" w:w="2640"/>
          </w:tcPr>
          <w:p>
            <w:pPr>
              <w:keepLines/>
              <w:wordWrap w:val="off"/>
              <w:jc w:val="left"/>
            </w:pPr>
            <w:r>
              <w:rPr>
                <w:rFonts w:ascii="Noto Serif CJK SC" w:hAnsi="Noto Serif CJK SC" w:eastAsia="Noto Serif CJK SC" w:cs="Noto Serif CJK SC"/>
                <w:lang w:val="en-US" w:eastAsia="zh-CN"/>
              </w:rPr>
              <w:t xml:space="preserve">通常报告层级之外的渠道；直接联系独立审查人或治理机构的权限；回应时限。</w:t>
            </w:r>
          </w:p>
        </w:tc>
        <w:tc>
          <w:tcPr>
            <w:tcW w:type="dxa" w:w="2640"/>
          </w:tcPr>
          <w:p>
            <w:pPr>
              <w:keepLines/>
              <w:wordWrap w:val="off"/>
              <w:jc w:val="left"/>
            </w:pPr>
            <w:r>
              <w:rPr>
                <w:rFonts w:ascii="Noto Serif CJK SC" w:hAnsi="Noto Serif CJK SC" w:eastAsia="Noto Serif CJK SC" w:cs="Noto Serif CJK SC"/>
                <w:lang w:val="en-US" w:eastAsia="zh-CN"/>
              </w:rPr>
              <w:t xml:space="preserve">保留已获通知的证据，防止压制信息，并区分提出警示与实施隐瞒。</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停止运行与回滚权限</w:t>
            </w:r>
          </w:p>
        </w:tc>
        <w:tc>
          <w:tcPr>
            <w:tcW w:type="dxa" w:w="2640"/>
          </w:tcPr>
          <w:p>
            <w:pPr>
              <w:keepLines/>
              <w:wordWrap w:val="off"/>
              <w:jc w:val="left"/>
            </w:pPr>
            <w:r>
              <w:rPr>
                <w:rFonts w:ascii="Noto Serif CJK SC" w:hAnsi="Noto Serif CJK SC" w:eastAsia="Noto Serif CJK SC" w:cs="Noto Serif CJK SC"/>
                <w:lang w:val="en-US" w:eastAsia="zh-CN"/>
              </w:rPr>
              <w:t xml:space="preserve">明确谁有权暂停或限制运行、撤销凭证、恢复版本或退役系统；规定触发条件与响应时限；建立经过测试的程序。</w:t>
            </w:r>
          </w:p>
        </w:tc>
        <w:tc>
          <w:tcPr>
            <w:tcW w:type="dxa" w:w="2640"/>
          </w:tcPr>
          <w:p>
            <w:pPr>
              <w:keepLines/>
              <w:wordWrap w:val="off"/>
              <w:jc w:val="left"/>
            </w:pPr>
            <w:r>
              <w:rPr>
                <w:rFonts w:ascii="Noto Serif CJK SC" w:hAnsi="Noto Serif CJK SC" w:eastAsia="Noto Serif CJK SC" w:cs="Noto Serif CJK SC"/>
                <w:lang w:val="en-US" w:eastAsia="zh-CN"/>
              </w:rPr>
              <w:t xml:space="preserve">证明现实中的预防或缓释能力，并检验监督是否具有实质意义。</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事件与配置记录</w:t>
            </w:r>
          </w:p>
        </w:tc>
        <w:tc>
          <w:tcPr>
            <w:tcW w:type="dxa" w:w="2640"/>
          </w:tcPr>
          <w:p>
            <w:pPr>
              <w:keepLines/>
              <w:wordWrap w:val="off"/>
              <w:jc w:val="left"/>
            </w:pPr>
            <w:r>
              <w:rPr>
                <w:rFonts w:ascii="Noto Serif CJK SC" w:hAnsi="Noto Serif CJK SC" w:eastAsia="Noto Serif CJK SC" w:cs="Noto Serif CJK SC"/>
                <w:lang w:val="en-US" w:eastAsia="zh-CN"/>
              </w:rPr>
              <w:t xml:space="preserve">版本；在符合比例要求时的提示词与政策；工具调用、警报、人工覆盖、投诉、决定和纠正措施；记录保存期限。</w:t>
            </w:r>
          </w:p>
        </w:tc>
        <w:tc>
          <w:tcPr>
            <w:tcW w:type="dxa" w:w="2640"/>
          </w:tcPr>
          <w:p>
            <w:pPr>
              <w:keepLines/>
              <w:wordWrap w:val="off"/>
              <w:jc w:val="left"/>
            </w:pPr>
            <w:r>
              <w:rPr>
                <w:rFonts w:ascii="Noto Serif CJK SC" w:hAnsi="Noto Serif CJK SC" w:eastAsia="Noto Serif CJK SC" w:cs="Noto Serif CJK SC"/>
                <w:lang w:val="en-US" w:eastAsia="zh-CN"/>
              </w:rPr>
              <w:t xml:space="preserve">使归责、因果关系证明、证据开示与经验学习成为可能，同时允许遵循隐私最小化原则。</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独立安全审查</w:t>
            </w:r>
          </w:p>
        </w:tc>
        <w:tc>
          <w:tcPr>
            <w:tcW w:type="dxa" w:w="2640"/>
          </w:tcPr>
          <w:p>
            <w:pPr>
              <w:keepLines/>
              <w:wordWrap w:val="off"/>
              <w:jc w:val="left"/>
            </w:pPr>
            <w:r>
              <w:rPr>
                <w:rFonts w:ascii="Noto Serif CJK SC" w:hAnsi="Noto Serif CJK SC" w:eastAsia="Noto Serif CJK SC" w:cs="Noto Serif CJK SC"/>
                <w:lang w:val="en-US" w:eastAsia="zh-CN"/>
              </w:rPr>
              <w:t xml:space="preserve">审查人的独立性、数据访问权限、评估范围、利益冲突规则及补救跟踪。</w:t>
            </w:r>
          </w:p>
        </w:tc>
        <w:tc>
          <w:tcPr>
            <w:tcW w:type="dxa" w:w="2640"/>
          </w:tcPr>
          <w:p>
            <w:pPr>
              <w:keepLines/>
              <w:wordWrap w:val="off"/>
              <w:jc w:val="left"/>
            </w:pPr>
            <w:r>
              <w:rPr>
                <w:rFonts w:ascii="Noto Serif CJK SC" w:hAnsi="Noto Serif CJK SC" w:eastAsia="Noto Serif CJK SC" w:cs="Noto Serif CJK SC"/>
                <w:lang w:val="en-US" w:eastAsia="zh-CN"/>
              </w:rPr>
              <w:t xml:space="preserve">检验自我评估，并记录可行的控制措施。</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内部责任分配与追索</w:t>
            </w:r>
          </w:p>
        </w:tc>
        <w:tc>
          <w:tcPr>
            <w:tcW w:type="dxa" w:w="2640"/>
          </w:tcPr>
          <w:p>
            <w:pPr>
              <w:keepLines/>
              <w:wordWrap w:val="off"/>
              <w:jc w:val="left"/>
            </w:pPr>
            <w:r>
              <w:rPr>
                <w:rFonts w:ascii="Noto Serif CJK SC" w:hAnsi="Noto Serif CJK SC" w:eastAsia="Noto Serif CJK SC" w:cs="Noto Serif CJK SC"/>
                <w:lang w:val="en-US" w:eastAsia="zh-CN"/>
              </w:rPr>
              <w:t xml:space="preserve">事前确定补偿、纪律处分、责任分担及安全港标准。</w:t>
            </w:r>
          </w:p>
        </w:tc>
        <w:tc>
          <w:tcPr>
            <w:tcW w:type="dxa" w:w="2640"/>
          </w:tcPr>
          <w:p>
            <w:pPr>
              <w:keepLines/>
              <w:wordWrap w:val="off"/>
              <w:jc w:val="left"/>
            </w:pPr>
            <w:r>
              <w:rPr>
                <w:rFonts w:ascii="Noto Serif CJK SC" w:hAnsi="Noto Serif CJK SC" w:eastAsia="Noto Serif CJK SC" w:cs="Noto Serif CJK SC"/>
                <w:lang w:val="en-US" w:eastAsia="zh-CN"/>
              </w:rPr>
              <w:t xml:space="preserve">保护善意合规，同时保留对明知不当行为的追索。</w:t>
            </w:r>
          </w:p>
        </w:tc>
        <w:trPr>
          <w:cantSplit/>
        </w:trPr>
      </w:tr>
      <w:tr>
        <w:tc>
          <w:tcPr>
            <w:tcW w:type="dxa" w:w="2640"/>
          </w:tcPr>
          <w:p>
            <w:pPr>
              <w:keepLines/>
              <w:wordWrap w:val="off"/>
              <w:jc w:val="left"/>
            </w:pPr>
            <w:r>
              <w:rPr>
                <w:rFonts w:ascii="Noto Serif CJK SC" w:hAnsi="Noto Serif CJK SC" w:eastAsia="Noto Serif CJK SC" w:cs="Noto Serif CJK SC"/>
                <w:lang w:val="en-US" w:eastAsia="zh-CN"/>
              </w:rPr>
              <w:t xml:space="preserve">外部权利保留条款</w:t>
            </w:r>
          </w:p>
        </w:tc>
        <w:tc>
          <w:tcPr>
            <w:tcW w:type="dxa" w:w="2640"/>
          </w:tcPr>
          <w:p>
            <w:pPr>
              <w:keepLines/>
              <w:wordWrap w:val="off"/>
              <w:jc w:val="left"/>
            </w:pPr>
            <w:r>
              <w:rPr>
                <w:rFonts w:ascii="Noto Serif CJK SC" w:hAnsi="Noto Serif CJK SC" w:eastAsia="Noto Serif CJK SC" w:cs="Noto Serif CJK SC"/>
                <w:lang w:val="en-US" w:eastAsia="zh-CN"/>
              </w:rPr>
              <w:t xml:space="preserve">明确声明责任章程不放弃或缩减请求权人的权利、法定义务或监管权力。</w:t>
            </w:r>
          </w:p>
        </w:tc>
        <w:tc>
          <w:tcPr>
            <w:tcW w:type="dxa" w:w="2640"/>
          </w:tcPr>
          <w:p>
            <w:pPr>
              <w:keepLines/>
              <w:wordWrap w:val="off"/>
              <w:jc w:val="left"/>
            </w:pPr>
            <w:r>
              <w:rPr>
                <w:rFonts w:ascii="Noto Serif CJK SC" w:hAnsi="Noto Serif CJK SC" w:eastAsia="Noto Serif CJK SC" w:cs="Noto Serif CJK SC"/>
                <w:lang w:val="en-US" w:eastAsia="zh-CN"/>
              </w:rPr>
              <w:t xml:space="preserve">防止内部治理安排演变为对企业外部第三人发生免责效果的约定。</w:t>
            </w:r>
          </w:p>
        </w:tc>
        <w:trPr>
          <w:cantSplit/>
        </w:trPr>
      </w:tr>
    </w:tbl>
    <w:bookmarkEnd w:id="447"/>
    <w:p>
      <w:pPr>
        <w:pStyle w:val="BodyText"/>
        <w:wordWrap w:val="off"/>
      </w:pPr>
      <w:bookmarkStart w:id="454" w:name="x1-39002f70"/>
      <w:bookmarkStart w:id="458" w:name="x1-39007f71"/>
      <w:bookmarkStart w:id="463" w:name="x1-39010f72"/>
      <w:bookmarkStart w:id="468" w:name="x1-39014f73"/>
      <w:r>
        <w:rPr>
          <w:rFonts w:ascii="Noto Serif CJK SC" w:hAnsi="Noto Serif CJK SC" w:eastAsia="Noto Serif CJK SC" w:cs="Noto Serif CJK SC"/>
          <w:lang w:val="en-US" w:eastAsia="zh-CN"/>
        </w:rPr>
        <w:t xml:space="preserve">上述构成要素各有不同的制度渊源。具名负责人、充分权限与资源以及有记录的批准程序，分别呼应《组织量刑指南》、FAA 的负责高管规则，以及 NIST 关于生命周期责任与高管责任的配置要求。</w:t>
      </w:r>
      <w:r>
        <w:rPr>
          <w:rStyle w:val="FootnoteReference"/>
        </w:rPr>
        <w:footnoteReference w:id="72"/>
      </w:r>
      <w:r>
        <w:rPr>
          <w:rFonts w:ascii="Noto Serif CJK SC" w:hAnsi="Noto Serif CJK SC" w:eastAsia="Noto Serif CJK SC" w:cs="Noto Serif CJK SC"/>
          <w:lang w:val="en-US" w:eastAsia="zh-CN"/>
        </w:rPr>
        <w:t xml:space="preserve"> 受保护的逐级上报机制，借鉴了合规计划中的报告渠道与部门反报复规则。</w:t>
      </w:r>
      <w:r>
        <w:rPr>
          <w:rStyle w:val="FootnoteReference"/>
        </w:rPr>
        <w:footnoteReference w:id="73"/>
      </w:r>
      <w:r>
        <w:rPr>
          <w:rFonts w:ascii="Noto Serif CJK SC" w:hAnsi="Noto Serif CJK SC" w:eastAsia="Noto Serif CJK SC" w:cs="Noto Serif CJK SC"/>
          <w:lang w:val="en-US" w:eastAsia="zh-CN"/>
        </w:rPr>
        <w:t xml:space="preserve"> 停止运行与回滚权限、配置记录，分别对应 NIST 的退役与部署后响应职能，以及《欧盟人工智能法》的干预与日志要求；持续评估、安全保证与记录保存，则对应 FAA 的安全管理规则。独立审查保障不同于上述制度，其来源是旨在维护调查激励的事前审计与披露方案。</w:t>
      </w:r>
      <w:r>
        <w:rPr>
          <w:rStyle w:val="FootnoteReference"/>
        </w:rPr>
        <w:footnoteReference w:id="74"/>
      </w:r>
      <w:r>
        <w:rPr>
          <w:rFonts w:ascii="Noto Serif CJK SC" w:hAnsi="Noto Serif CJK SC" w:eastAsia="Noto Serif CJK SC" w:cs="Noto Serif CJK SC"/>
          <w:lang w:val="en-US" w:eastAsia="zh-CN"/>
        </w:rPr>
        <w:t xml:space="preserve"> 内部追索又另有其制度谱系，包括附条件的补偿与合规执法；外部权利保留条款则维持公共政策对私人免责的限制。</w:t>
      </w:r>
      <w:r>
        <w:rPr>
          <w:rStyle w:val="FootnoteReference"/>
        </w:rPr>
        <w:footnoteReference w:id="75"/>
      </w:r>
      <w:bookmarkEnd w:id="454"/>
      <w:bookmarkEnd w:id="458"/>
      <w:bookmarkEnd w:id="463"/>
      <w:bookmarkEnd w:id="468"/>
    </w:p>
    <w:p>
      <w:pPr>
        <w:pStyle w:val="BodyText"/>
        <w:wordWrap w:val="off"/>
      </w:pPr>
      <w:bookmarkStart w:id="472" w:name="x1-39018f74"/>
      <w:bookmarkStart w:id="477" w:name="x1-39021f75"/>
      <w:r>
        <w:rPr>
          <w:rFonts w:ascii="Noto Serif CJK SC" w:hAnsi="Noto Serif CJK SC" w:eastAsia="Noto Serif CJK SC" w:cs="Noto Serif CJK SC"/>
          <w:lang w:val="en-US" w:eastAsia="zh-CN"/>
        </w:rPr>
        <w:t xml:space="preserve">这并非凭空创造的一套治理方案。《组织量刑指南》以领导层责任、具有充分资源与权限的运行责任、培训、监控、不受报复威胁的报告渠道、执行、响应以及定期风险评估，界定有效的合规计划。</w:t>
      </w:r>
      <w:r>
        <w:rPr>
          <w:rStyle w:val="FootnoteReference"/>
        </w:rPr>
        <w:footnoteReference w:id="76"/>
      </w:r>
      <w:r>
        <w:rPr>
          <w:rFonts w:ascii="Noto Serif CJK SC" w:hAnsi="Noto Serif CJK SC" w:eastAsia="Noto Serif CJK SC" w:cs="Noto Serif CJK SC"/>
          <w:lang w:val="en-US" w:eastAsia="zh-CN"/>
        </w:rPr>
        <w:t xml:space="preserve"> 美国司法部的合规计划指南要求考察一项计划是否设计良好、资源充分并获得授权，以及其在实践中是否有效；2024年更新还特别询问，公司如何治理人工智能风险、控制非预期后果，以及处理故意或鲁莽滥用。</w:t>
      </w:r>
      <w:r>
        <w:rPr>
          <w:rStyle w:val="FootnoteReference"/>
        </w:rPr>
        <w:footnoteReference w:id="77"/>
      </w:r>
      <w:r>
        <w:rPr>
          <w:rFonts w:ascii="Noto Serif CJK SC" w:hAnsi="Noto Serif CJK SC" w:eastAsia="Noto Serif CJK SC" w:cs="Noto Serif CJK SC"/>
          <w:lang w:val="en-US" w:eastAsia="zh-CN"/>
        </w:rPr>
        <w:t xml:space="preserve"> 这些资料源自刑事执法与量刑领域。它们可以移用于本文，并非因为其构成责任规则，而是因为其将复杂企业内部的信息、权限、激励与响应机制转化为可实际运行的制度。</w:t>
      </w:r>
      <w:bookmarkEnd w:id="472"/>
      <w:bookmarkEnd w:id="477"/>
    </w:p>
    <w:p>
      <w:pPr>
        <w:pStyle w:val="BodyText"/>
        <w:wordWrap w:val="off"/>
      </w:pPr>
      <w:bookmarkStart w:id="482" w:name="x1-39024f76"/>
      <w:bookmarkStart w:id="487" w:name="x1-39028f77"/>
      <w:r>
        <w:rPr>
          <w:rFonts w:ascii="Noto Serif CJK SC" w:hAnsi="Noto Serif CJK SC" w:eastAsia="Noto Serif CJK SC" w:cs="Noto Serif CJK SC"/>
          <w:lang w:val="en-US" w:eastAsia="zh-CN"/>
        </w:rPr>
        <w:t xml:space="preserve">航空领域提供了更有力的安全系统类比。依分阶段实施安排，联邦规则要求特定航空组织建立并维持覆盖全组织的安全管理系统，内容包括负责高管责任、危险识别、风险控制、安全保证、培训、沟通与记录。</w:t>
      </w:r>
      <w:r>
        <w:rPr>
          <w:rStyle w:val="FootnoteReference"/>
        </w:rPr>
        <w:footnoteReference w:id="78"/>
      </w:r>
      <w:r>
        <w:rPr>
          <w:rFonts w:ascii="Noto Serif CJK SC" w:hAnsi="Noto Serif CJK SC" w:eastAsia="Noto Serif CJK SC" w:cs="Noto Serif CJK SC"/>
          <w:lang w:val="en-US" w:eastAsia="zh-CN"/>
        </w:rPr>
        <w:t xml:space="preserve"> 航空安全报告计划通过第三方报告机制与符合条件的非惩罚性执法政策，鼓励坦诚提供安全信息，而非给予一概豁免。</w:t>
      </w:r>
      <w:r>
        <w:rPr>
          <w:rStyle w:val="FootnoteReference"/>
        </w:rPr>
        <w:footnoteReference w:id="79"/>
      </w:r>
      <w:r>
        <w:rPr>
          <w:rFonts w:ascii="Noto Serif CJK SC" w:hAnsi="Noto Serif CJK SC" w:eastAsia="Noto Serif CJK SC" w:cs="Noto Serif CJK SC"/>
          <w:lang w:val="en-US" w:eastAsia="zh-CN"/>
        </w:rPr>
        <w:t xml:space="preserve"> 这一类比着眼于功能：人工智能部署与航空系统一样，都把技术组件同运营人员及组织决策结合在一起；如果披露只会招致个人责任，险情信息便极易遭到压制。</w:t>
      </w:r>
      <w:bookmarkEnd w:id="482"/>
      <w:bookmarkEnd w:id="487"/>
    </w:p>
    <w:p>
      <w:pPr>
        <w:pStyle w:val="BodyText"/>
        <w:wordWrap w:val="off"/>
      </w:pPr>
      <w:bookmarkStart w:id="491" w:name="x1-39031f78"/>
      <w:bookmarkStart w:id="495" w:name="x1-39034f79"/>
      <w:bookmarkStart w:id="499" w:name="x1-39037f80"/>
      <w:r>
        <w:rPr>
          <w:rFonts w:ascii="Noto Serif CJK SC" w:hAnsi="Noto Serif CJK SC" w:eastAsia="Noto Serif CJK SC" w:cs="Noto Serif CJK SC"/>
          <w:lang w:val="en-US" w:eastAsia="zh-CN"/>
        </w:rPr>
        <w:t xml:space="preserve">人工智能与医疗治理资料也汇聚于相同要素。NIST 要求记录生命周期各环节的角色、明确高管责任、吸收外部反馈、按风险优先级配置资源、控制第三方、开展监控并安全退役。</w:t>
      </w:r>
      <w:r>
        <w:rPr>
          <w:rStyle w:val="FootnoteReference"/>
        </w:rPr>
        <w:footnoteReference w:id="80"/>
      </w:r>
      <w:r>
        <w:rPr>
          <w:rFonts w:ascii="Noto Serif CJK SC" w:hAnsi="Noto Serif CJK SC" w:eastAsia="Noto Serif CJK SC" w:cs="Noto Serif CJK SC"/>
          <w:lang w:val="en-US" w:eastAsia="zh-CN"/>
        </w:rPr>
        <w:t xml:space="preserve"> 2026 年，由四十余家中国医疗与研究机构形成的一项共识，围绕准入评估、临床应用、患者权利、数据治理、风险管理与能力建设组织医疗人工智能治理；其中尤其强调多学科审查、真实世界验证、可追溯性、动态监测、人机责任和熔断机制。</w:t>
      </w:r>
      <w:r>
        <w:rPr>
          <w:rStyle w:val="FootnoteReference"/>
        </w:rPr>
        <w:footnoteReference w:id="81"/>
      </w:r>
      <w:r>
        <w:rPr>
          <w:rFonts w:ascii="Noto Serif CJK SC" w:hAnsi="Noto Serif CJK SC" w:eastAsia="Noto Serif CJK SC" w:cs="Noto Serif CJK SC"/>
          <w:lang w:val="en-US" w:eastAsia="zh-CN"/>
        </w:rPr>
        <w:t xml:space="preserve"> 近期医学研究同样提出实质性监督的四项条件——认识能力、认知空间、决策权限与干预有效性——并将监督视为临床系统本身的属性，而非临床医生形式上的在场。</w:t>
      </w:r>
      <w:r>
        <w:rPr>
          <w:rStyle w:val="FootnoteReference"/>
        </w:rPr>
        <w:footnoteReference w:id="82"/>
      </w:r>
      <w:bookmarkEnd w:id="491"/>
      <w:bookmarkEnd w:id="495"/>
      <w:bookmarkEnd w:id="499"/>
    </w:p>
    <w:p>
      <w:pPr>
        <w:pStyle w:val="BodyText"/>
        <w:wordWrap w:val="off"/>
      </w:pPr>
      <w:bookmarkStart w:id="503" w:name="x1-39040f81"/>
      <w:r>
        <w:rPr>
          <w:rFonts w:ascii="Noto Serif CJK SC" w:hAnsi="Noto Serif CJK SC" w:eastAsia="Noto Serif CJK SC" w:cs="Noto Serif CJK SC"/>
          <w:lang w:val="en-US" w:eastAsia="zh-CN"/>
        </w:rPr>
        <w:t xml:space="preserve">关键恰在于这种趋同。刑事合规、航空安全、NIST 风险管理与医疗治理服务于不同目的，不应被压缩为同一项法律标准。但它们确实把一组相互重叠的要素转化为可运行机制：明确责任、信息流动、权限、资源、受保护的报告、审查与纠正能力。近期侵权法研究从相反方向得出了同一制度需求：单靠责任制度可能抑制风险调查与披露，而事前规则、独立审计人和披露义务，则能够保存预防与裁判所依赖的信息。</w:t>
      </w:r>
      <w:r>
        <w:rPr>
          <w:rStyle w:val="FootnoteReference"/>
        </w:rPr>
        <w:footnoteReference w:id="83"/>
      </w:r>
      <w:r>
        <w:rPr>
          <w:rFonts w:ascii="Noto Serif CJK SC" w:hAnsi="Noto Serif CJK SC" w:eastAsia="Noto Serif CJK SC" w:cs="Noto Serif CJK SC"/>
          <w:lang w:val="en-US" w:eastAsia="zh-CN"/>
        </w:rPr>
        <w:t xml:space="preserve"> 责任章程把这套共同基础设施整合为一份部署主体与法院都可以使用的文件。</w:t>
      </w:r>
      <w:bookmarkEnd w:id="503"/>
    </w:p>
    <w:p>
      <w:pPr>
        <w:pStyle w:val="BodyText"/>
        <w:wordWrap w:val="off"/>
      </w:pPr>
      <w:bookmarkStart w:id="508" w:name="x1-39043f82"/>
      <w:r>
        <w:rPr>
          <w:rFonts w:ascii="Noto Serif CJK SC" w:hAnsi="Noto Serif CJK SC" w:eastAsia="Noto Serif CJK SC" w:cs="Noto Serif CJK SC"/>
          <w:lang w:val="en-US" w:eastAsia="zh-CN"/>
        </w:rPr>
        <w:t xml:space="preserve">两项限制可以防止合规沦为表演。第一，持有责任章程不等于实际合规。法院与监管机关必须审查：具名人员是否真正拥有权限与资源，报告是否送达这些人员，停止运行机制是否有效，以及实质性变更是否触发复审。第二，除非适用的实定法另有规定，合规只能作为证据，而不应构成决定性抗辩。认真完成的责任章程可以支持行为具有合理性的主张，但不能消灭法定义务、为已知的不合理风险开脱，也不能排除对系统超出其声明范围运行的证明。</w:t>
      </w:r>
      <w:r>
        <w:rPr>
          <w:rStyle w:val="FootnoteReference"/>
        </w:rPr>
        <w:footnoteReference w:id="84"/>
      </w:r>
      <w:bookmarkEnd w:id="508"/>
    </w:p>
    <w:bookmarkEnd w:id="509"/>
    <w:bookmarkStart w:id="533" w:name="who-can-enact-and-administer-the-charter"/>
    <w:p>
      <w:pPr>
        <w:pStyle w:val="Heading4"/>
        <w:wordWrap w:val="off"/>
      </w:pPr>
      <w:bookmarkStart w:id="510" w:name="x1-40000F"/>
      <w:r>
        <w:rPr>
          <w:rFonts w:ascii="Noto Sans CJK SC" w:hAnsi="Noto Sans CJK SC" w:eastAsia="Noto Sans CJK SC" w:cs="Noto Sans CJK SC"/>
          <w:lang w:val="en-US" w:eastAsia="zh-CN"/>
        </w:rPr>
        <w:t xml:space="preserve">（六）谁可以制定并实施责任章程</w:t>
      </w:r>
      <w:bookmarkEnd w:id="510"/>
    </w:p>
    <w:p>
      <w:pPr>
        <w:pStyle w:val="FirstParagraph"/>
        <w:wordWrap w:val="off"/>
      </w:pPr>
      <w:r>
        <w:rPr>
          <w:rFonts w:ascii="Noto Serif CJK SC" w:hAnsi="Noto Serif CJK SC" w:eastAsia="Noto Serif CJK SC" w:cs="Noto Serif CJK SC"/>
          <w:lang w:val="en-US" w:eastAsia="zh-CN"/>
        </w:rPr>
        <w:t xml:space="preserve">本方案并不依赖某个无从确定的立法机关。以指定部署为中心的结构，使本已规范相关基础活动的立法者能够采纳该方案。州立法机关可以在州权限范围内，将责任章程、不得转移的部署义务、首要求偿和证据开示规则，适用于陪伴型服务、医疗保健、就业、教育、保险、消费者交易或其他领域。国会则可以依其列举权力，就联邦项目、政府采购、跨州行业和全国性制度立法。州或联邦立法机关均可在明确的制定法边界内，授权部门监管机构具体规定表格、报告周期、变更阈值与技术控制。制定法应明确受覆盖部署、义务主体、责任章程的最低内容、证据开示的启动条件、救济方式以及与重叠法律的关系；在不转移上述政策选择的前提下，行政实施仍可保持技术适应性。</w:t>
      </w:r>
    </w:p>
    <w:p>
      <w:pPr>
        <w:pStyle w:val="BodyText"/>
        <w:wordWrap w:val="off"/>
      </w:pPr>
      <w:bookmarkStart w:id="514" w:name="x1-40001f83"/>
      <w:r>
        <w:rPr>
          <w:rFonts w:ascii="Noto Serif CJK SC" w:hAnsi="Noto Serif CJK SC" w:eastAsia="Noto Serif CJK SC" w:cs="Noto Serif CJK SC"/>
          <w:lang w:val="en-US" w:eastAsia="zh-CN"/>
        </w:rPr>
        <w:t xml:space="preserve">加利福尼亚州的陪伴型聊天机器人法展示了州层面的制度形态。第243号参议院法案（SB 243）界定受覆盖的关系型服务及其运营者，要求在特定情形下醒目披露交互对象并非人类，要求公布自伤应对方案并保护已知为未成年人的用户，规定自2027年起向自杀预防办公室报告，并在明确不排斥其他法律和救济累积适用的同时，为私人当事人提供救济。</w:t>
      </w:r>
      <w:r>
        <w:rPr>
          <w:rStyle w:val="FootnoteReference"/>
        </w:rPr>
        <w:footnoteReference w:id="85"/>
      </w:r>
      <w:r>
        <w:rPr>
          <w:rFonts w:ascii="Noto Serif CJK SC" w:hAnsi="Noto Serif CJK SC" w:eastAsia="Noto Serif CJK SC" w:cs="Noto Serif CJK SC"/>
          <w:lang w:val="en-US" w:eastAsia="zh-CN"/>
        </w:rPr>
        <w:t xml:space="preserve"> 该法并未制定本文所称责任章程：它不要求具名风险负责人、部署签批、受保护的逐级上报、停止运行权限或诉讼中的证据开示规则。但它证明了相邻的制度命题：立法机关可以指定一种关系型部署、明确运营者、结合方案义务与报告义务，并赋予可执行的法律后果，而无须把所有通用模型都界定为高影响系统。</w:t>
      </w:r>
      <w:bookmarkEnd w:id="514"/>
    </w:p>
    <w:p>
      <w:pPr>
        <w:pStyle w:val="BodyText"/>
        <w:wordWrap w:val="off"/>
      </w:pPr>
      <w:bookmarkStart w:id="520" w:name="x1-40004f84"/>
      <w:r>
        <w:rPr>
          <w:rFonts w:ascii="Noto Serif CJK SC" w:hAnsi="Noto Serif CJK SC" w:eastAsia="Noto Serif CJK SC" w:cs="Noto Serif CJK SC"/>
          <w:lang w:val="en-US" w:eastAsia="zh-CN"/>
        </w:rPr>
        <w:t xml:space="preserve">联邦实践还提供了法律效果各异的实施工具。在 2025 年依《联邦贸易委员会法》第 6(b) 条开展的陪伴型聊天机器人研究中，联邦贸易委员会命令被点名企业报告组织角色、部署前标准与阈值、部署批准人的职位、曾考虑及否决的缓释措施、部署后监控、投诉、员工关切、逐级上报和响应情况。</w:t>
      </w:r>
      <w:r>
        <w:rPr>
          <w:rStyle w:val="FootnoteReference"/>
        </w:rPr>
        <w:footnoteReference w:id="86"/>
      </w:r>
      <w:r>
        <w:rPr>
          <w:rFonts w:ascii="Noto Serif CJK SC" w:hAnsi="Noto Serif CJK SC" w:eastAsia="Noto Serif CJK SC" w:cs="Noto Serif CJK SC"/>
          <w:lang w:val="en-US" w:eastAsia="zh-CN"/>
        </w:rPr>
        <w:t xml:space="preserve"> 这项强制研究既不是违法认定，也不是普遍适用的实体规则。它表明，责任章程拟标准化的组织与部署记录，可以被具体规定、收集和核实，而无须在事后将其重构为一项对“算法”的抽象索求。</w:t>
      </w:r>
      <w:bookmarkEnd w:id="520"/>
    </w:p>
    <w:p>
      <w:pPr>
        <w:pStyle w:val="BodyText"/>
        <w:wordWrap w:val="off"/>
      </w:pPr>
      <w:bookmarkStart w:id="524" w:name="x1-40008f85"/>
      <w:r>
        <w:rPr>
          <w:rFonts w:ascii="Noto Serif CJK SC" w:hAnsi="Noto Serif CJK SC" w:eastAsia="Noto Serif CJK SC" w:cs="Noto Serif CJK SC"/>
          <w:lang w:val="en-US" w:eastAsia="zh-CN"/>
        </w:rPr>
        <w:t xml:space="preserve">美国司法部2024年合规指南通过执法评估而非规则制定发挥作用。它要求检察官考察：公司是否评估新兴技术风险，是否治理人工智能在业务与合规中的使用，是否控制非预期后果与故意滥用，是否建立问责机制与以人类表现为参照的基准，是否提供保密报告渠道，以及是否持续监控并纠正模型行为。</w:t>
      </w:r>
      <w:r>
        <w:rPr>
          <w:rStyle w:val="FootnoteReference"/>
        </w:rPr>
        <w:footnoteReference w:id="87"/>
      </w:r>
      <w:r>
        <w:rPr>
          <w:rFonts w:ascii="Noto Serif CJK SC" w:hAnsi="Noto Serif CJK SC" w:eastAsia="Noto Serif CJK SC" w:cs="Noto Serif CJK SC"/>
          <w:lang w:val="en-US" w:eastAsia="zh-CN"/>
        </w:rPr>
        <w:t xml:space="preserve"> 该指南并不创设事前侵权义务。其意义在于实际运行：联邦公司执法实践已经在评价责任章程所记录的权限、信息流动、激励与纠正机制。</w:t>
      </w:r>
      <w:bookmarkEnd w:id="524"/>
    </w:p>
    <w:p>
      <w:pPr>
        <w:pStyle w:val="BodyText"/>
        <w:wordWrap w:val="off"/>
      </w:pPr>
      <w:bookmarkStart w:id="528" w:name="x1-40011f86"/>
      <w:r>
        <w:rPr>
          <w:rFonts w:ascii="Noto Serif CJK SC" w:hAnsi="Noto Serif CJK SC" w:eastAsia="Noto Serif CJK SC" w:cs="Noto Serif CJK SC"/>
          <w:lang w:val="en-US" w:eastAsia="zh-CN"/>
        </w:rPr>
        <w:t xml:space="preserve">FAA 第 5 部规则提供了成熟的授权实施模式。依其分阶段实施安排，受覆盖的航空组织必须建立，并在适用时维持一套正式的全组织安全管理系统；该系统应当设有负责高管，明确由具有接受安全风险权限的管理者负责，开展危险分析，采取纠正行动并留存记录。对于受第 5.71(a)(7) 条约束的组织，该系统还包括员工可以在不必担心遭受报复的情况下进行保密报告的机制。</w:t>
      </w:r>
      <w:r>
        <w:rPr>
          <w:rStyle w:val="FootnoteReference"/>
        </w:rPr>
        <w:footnoteReference w:id="88"/>
      </w:r>
      <w:r>
        <w:rPr>
          <w:rFonts w:ascii="Noto Serif CJK SC" w:hAnsi="Noto Serif CJK SC" w:eastAsia="Noto Serif CJK SC" w:cs="Noto Serif CJK SC"/>
          <w:lang w:val="en-US" w:eastAsia="zh-CN"/>
        </w:rPr>
        <w:t xml:space="preserve"> 第 5 部规则既不是人工智能责任规则，也不包含责任章程的所有要素。它证明，明确权限、保护报告、持续提供安全保证与留存证据，可以作为一套运行体系加以实施，而非停留于愿景式政策。</w:t>
      </w:r>
      <w:bookmarkEnd w:id="528"/>
    </w:p>
    <w:p>
      <w:pPr>
        <w:pStyle w:val="BodyText"/>
        <w:wordWrap w:val="off"/>
      </w:pPr>
      <w:bookmarkStart w:id="532" w:name="x1-40014f87"/>
      <w:r>
        <w:rPr>
          <w:rFonts w:ascii="Noto Serif CJK SC" w:hAnsi="Noto Serif CJK SC" w:eastAsia="Noto Serif CJK SC" w:cs="Noto Serif CJK SC"/>
          <w:lang w:val="en-US" w:eastAsia="zh-CN"/>
        </w:rPr>
        <w:t xml:space="preserve">上述分工回应了 Loper Bright 案引发的关切。行政机关只能在国会或州立法机关授予的权限范围内实施责任章程；技术专长本身不能创设首要求偿义务或私人救济。</w:t>
      </w:r>
      <w:r>
        <w:rPr>
          <w:rStyle w:val="FootnoteReference"/>
        </w:rPr>
        <w:footnoteReference w:id="89"/>
      </w:r>
      <w:r>
        <w:rPr>
          <w:rFonts w:ascii="Noto Serif CJK SC" w:hAnsi="Noto Serif CJK SC" w:eastAsia="Noto Serif CJK SC" w:cs="Noto Serif CJK SC"/>
          <w:lang w:val="en-US" w:eastAsia="zh-CN"/>
        </w:rPr>
        <w:t xml:space="preserve"> 与此同时，法院现在即可运用现行法：区分直接责任与替代责任，适用一般归责规则，执行证据保全义务，命令适格当事方与非当事方进行合比例的证据开示，并拒绝将人工智能系统视为一个没有资产的被告替身。但法院不能仅凭证据开示命令创设本文所主张的制定法责任入口。立法负责设定义务与启动条件；边界明确的行政实施负责因部门而异的管理；裁判则负责独立解释与执行。</w:t>
      </w:r>
      <w:bookmarkEnd w:id="532"/>
    </w:p>
    <w:bookmarkEnd w:id="533"/>
    <w:bookmarkStart w:id="560" w:name="X62c7d1b88a56e947b37cc4f6de0dd2c554602e1"/>
    <w:p>
      <w:pPr>
        <w:pStyle w:val="Heading4"/>
        <w:wordWrap w:val="off"/>
      </w:pPr>
      <w:bookmarkStart w:id="534" w:name="x1-41000G"/>
      <w:r>
        <w:rPr>
          <w:rFonts w:ascii="Noto Sans CJK SC" w:hAnsi="Noto Sans CJK SC" w:eastAsia="Noto Sans CJK SC" w:cs="Noto Sans CJK SC"/>
          <w:lang w:val="en-US" w:eastAsia="zh-CN"/>
        </w:rPr>
        <w:t xml:space="preserve">（七）信息不对称与定向证据开示规则</w:t>
      </w:r>
      <w:bookmarkEnd w:id="534"/>
    </w:p>
    <w:p>
      <w:pPr>
        <w:pStyle w:val="FirstParagraph"/>
        <w:wordWrap w:val="off"/>
      </w:pPr>
      <w:r>
        <w:rPr>
          <w:rFonts w:ascii="Noto Serif CJK SC" w:hAnsi="Noto Serif CJK SC" w:eastAsia="Noto Serif CJK SC" w:cs="Noto Serif CJK SC"/>
          <w:lang w:val="en-US" w:eastAsia="zh-CN"/>
        </w:rPr>
        <w:t xml:space="preserve">如果企业能够确认自身身份，却可以扣留控制记录，面向请求权人的对外层便会失效。人工智能部署使信息异常集中于企业一方，包括模型与应用版本、系统指令、检索来源、工具权限、评估结果、事件处理队列、逐级上报工单、内部批准与回滚事件。受害人通常只能看到一项输出或决定，企业却知道数家供应商、模型与配置中究竟哪一项处于启用状态。</w:t>
      </w:r>
    </w:p>
    <w:p>
      <w:pPr>
        <w:pStyle w:val="BodyText"/>
        <w:wordWrap w:val="off"/>
      </w:pPr>
      <w:bookmarkStart w:id="538" w:name="x1-41001f88"/>
      <w:bookmarkStart w:id="542" w:name="x1-41004f89"/>
      <w:r>
        <w:rPr>
          <w:rFonts w:ascii="Noto Serif CJK SC" w:hAnsi="Noto Serif CJK SC" w:eastAsia="Noto Serif CJK SC" w:cs="Noto Serif CJK SC"/>
          <w:lang w:val="en-US" w:eastAsia="zh-CN"/>
        </w:rPr>
        <w:t xml:space="preserve">一般民事程序法提供了制度基础。《联邦民事诉讼规则》第26条允许开示与案件相关、符合比例要求且不受特权保护的事项，并要求当事人初步披露其可能用于支持请求或抗辩的信息与文件。</w:t>
      </w:r>
      <w:r>
        <w:rPr>
          <w:rStyle w:val="FootnoteReference"/>
        </w:rPr>
        <w:footnoteReference w:id="90"/>
      </w:r>
      <w:r>
        <w:rPr>
          <w:rFonts w:ascii="Noto Serif CJK SC" w:hAnsi="Noto Serif CJK SC" w:eastAsia="Noto Serif CJK SC" w:cs="Noto Serif CJK SC"/>
          <w:lang w:val="en-US" w:eastAsia="zh-CN"/>
        </w:rPr>
        <w:t xml:space="preserve"> 一旦诉讼已可被合理预见，适用法律规定的证据保全义务即告发生。第37(e)条以该项义务为前提，但本身并不创设义务；它调整的情形是：本应保全的电子存储信息，因未采取合理措施而灭失，且无法恢复或替代。采取补救措施须以对方遭受不利影响为前提；作出不利推定指示或施加同等严厉制裁，则须证明当事人具有剥夺对方使用该信息之意图。</w:t>
      </w:r>
      <w:r>
        <w:rPr>
          <w:rStyle w:val="FootnoteReference"/>
        </w:rPr>
        <w:footnoteReference w:id="91"/>
      </w:r>
      <w:r>
        <w:rPr>
          <w:rFonts w:ascii="Noto Serif CJK SC" w:hAnsi="Noto Serif CJK SC" w:eastAsia="Noto Serif CJK SC" w:cs="Noto Serif CJK SC"/>
          <w:lang w:val="en-US" w:eastAsia="zh-CN"/>
        </w:rPr>
        <w:t xml:space="preserve"> 责任章程应当使企业能够合理保全证据，以免法院日后只能重构一套从未形成记录的系统。</w:t>
      </w:r>
      <w:bookmarkEnd w:id="538"/>
      <w:bookmarkEnd w:id="542"/>
    </w:p>
    <w:p>
      <w:pPr>
        <w:pStyle w:val="BodyText"/>
        <w:wordWrap w:val="off"/>
      </w:pPr>
      <w:bookmarkStart w:id="546" w:name="x1-41007f90"/>
      <w:r>
        <w:rPr>
          <w:rFonts w:ascii="Noto Serif CJK SC" w:hAnsi="Noto Serif CJK SC" w:eastAsia="Noto Serif CJK SC" w:cs="Noto Serif CJK SC"/>
          <w:lang w:val="en-US" w:eastAsia="zh-CN"/>
        </w:rPr>
        <w:t xml:space="preserve">对于受覆盖的高影响部署，立法还应增设定向证据开示规则。请求权人一旦主张法律认可的损害，并说明该损害与部署之间存在可信的实质联系，责任中心即须识别系统及部署控制级联中的实体，并开示责任章程与事件记录中不受特权保护、且与请求相称的部分。敏感的模型信息、安全信息、健康信息与个人信息，可以作隐去或删节处理，或通过保护令加以保护，包括限制披露商业秘密、保密研究资料与商业信息的命令。</w:t>
      </w:r>
      <w:r>
        <w:rPr>
          <w:rStyle w:val="FootnoteReference"/>
        </w:rPr>
        <w:footnoteReference w:id="92"/>
      </w:r>
      <w:r>
        <w:rPr>
          <w:rFonts w:ascii="Noto Serif CJK SC" w:hAnsi="Noto Serif CJK SC" w:eastAsia="Noto Serif CJK SC" w:cs="Noto Serif CJK SC"/>
          <w:lang w:val="en-US" w:eastAsia="zh-CN"/>
        </w:rPr>
        <w:t xml:space="preserve"> 保密不能成为不识别系统的理由。证据开示义务具有程序性质；除非适用的立法机关明确作出规定，它不会转移证明义务违反或因果关系的最终责任。</w:t>
      </w:r>
      <w:bookmarkEnd w:id="546"/>
    </w:p>
    <w:p>
      <w:pPr>
        <w:pStyle w:val="BodyText"/>
        <w:wordWrap w:val="off"/>
      </w:pPr>
      <w:bookmarkStart w:id="551" w:name="x1-41010f91"/>
      <w:bookmarkStart w:id="555" w:name="x1-41014f92"/>
      <w:r>
        <w:rPr>
          <w:rFonts w:ascii="Noto Serif CJK SC" w:hAnsi="Noto Serif CJK SC" w:eastAsia="Noto Serif CJK SC" w:cs="Noto Serif CJK SC"/>
          <w:lang w:val="en-US" w:eastAsia="zh-CN"/>
        </w:rPr>
        <w:t xml:space="preserve">现有证据法理说明，为何有时有理由作出经过校准的推定。《侵权法第三次重述：产品责任》第3条规定，如果某类事故通常由产品缺陷造成，且事故并非完全源于产品缺陷以外的原因，即使不能证明具体缺陷，也可以推定产品在出售或分发时已经存在缺陷。</w:t>
      </w:r>
      <w:r>
        <w:rPr>
          <w:rStyle w:val="FootnoteReference"/>
        </w:rPr>
        <w:footnoteReference w:id="93"/>
      </w:r>
      <w:r>
        <w:rPr>
          <w:rFonts w:ascii="Noto Serif CJK SC" w:hAnsi="Noto Serif CJK SC" w:eastAsia="Noto Serif CJK SC" w:cs="Noto Serif CJK SC"/>
          <w:lang w:val="en-US" w:eastAsia="zh-CN"/>
        </w:rPr>
        <w:t xml:space="preserve"> 事实自证原则同样允许事实裁判者在特定情形下，根据事件类型推定存在过失。各法域对该原则的表述不尽相同；现代规则并不一概把严格的排他性控制作为独立要件。</w:t>
      </w:r>
      <w:r>
        <w:rPr>
          <w:rStyle w:val="FootnoteReference"/>
        </w:rPr>
        <w:footnoteReference w:id="94"/>
      </w:r>
      <w:r>
        <w:rPr>
          <w:rFonts w:ascii="Noto Serif CJK SC" w:hAnsi="Noto Serif CJK SC" w:eastAsia="Noto Serif CJK SC" w:cs="Noto Serif CJK SC"/>
          <w:lang w:val="en-US" w:eastAsia="zh-CN"/>
        </w:rPr>
        <w:t xml:space="preserve"> 这些法理都有明确边界；二者均未规定任何出乎意料的人工智能输出即可证明过失。责任章程所做的，是提高具体证据的可获得性，并仅在各法域通常规定的条件下保留推定。</w:t>
      </w:r>
      <w:bookmarkEnd w:id="551"/>
      <w:bookmarkEnd w:id="555"/>
    </w:p>
    <w:p>
      <w:pPr>
        <w:pStyle w:val="BodyText"/>
        <w:wordWrap w:val="off"/>
      </w:pPr>
      <w:bookmarkStart w:id="559" w:name="x1-41017f93"/>
      <w:r>
        <w:rPr>
          <w:rFonts w:ascii="Noto Serif CJK SC" w:hAnsi="Noto Serif CJK SC" w:eastAsia="Noto Serif CJK SC" w:cs="Noto Serif CJK SC"/>
          <w:lang w:val="en-US" w:eastAsia="zh-CN"/>
        </w:rPr>
        <w:t xml:space="preserve">记录缺失也应产生同样边界明确的后果。如果系统从未采集某项信息，而法律亦未要求其采集，该信息的缺失并不自动构成证据毁损。在联邦法院，第 37(e) 条规范诉讼证据保全义务发生后灭失电子存储信息时可以采取的措施，并排除法院援引固有权力或州法，就同一信息灭失规定不同措施；但该条并不排除在其他方面适用的、独立的州法证据毁损请求。</w:t>
      </w:r>
      <w:r>
        <w:rPr>
          <w:rStyle w:val="FootnoteReference"/>
        </w:rPr>
        <w:footnoteReference w:id="95"/>
      </w:r>
      <w:r>
        <w:rPr>
          <w:rFonts w:ascii="Noto Serif CJK SC" w:hAnsi="Noto Serif CJK SC" w:eastAsia="Noto Serif CJK SC" w:cs="Noto Serif CJK SC"/>
          <w:lang w:val="en-US" w:eastAsia="zh-CN"/>
        </w:rPr>
        <w:t xml:space="preserve"> 如果特定领域的责任章程法定义务要求保存日志而企业未予保存，制定法应当明确相应后果；违反该项要求可以成为证据，但不会当然导致企业对基础损害负责。如此校准，使记录具有制度价值，而非默认成为惩罚工具。</w:t>
      </w:r>
      <w:bookmarkEnd w:id="559"/>
    </w:p>
    <w:bookmarkEnd w:id="560"/>
    <w:bookmarkStart w:id="585" w:name="X2cad79003f9c356ce42d06104c51b1816d5303f"/>
    <w:p>
      <w:pPr>
        <w:pStyle w:val="Heading4"/>
        <w:wordWrap w:val="off"/>
      </w:pPr>
      <w:bookmarkStart w:id="561" w:name="x1-42000H"/>
      <w:r>
        <w:rPr>
          <w:rFonts w:ascii="Noto Sans CJK SC" w:hAnsi="Noto Sans CJK SC" w:eastAsia="Noto Sans CJK SC" w:cs="Noto Sans CJK SC"/>
          <w:lang w:val="en-US" w:eastAsia="zh-CN"/>
        </w:rPr>
        <w:t xml:space="preserve">（八）保护报告者，追究隐瞒者</w:t>
      </w:r>
      <w:bookmarkEnd w:id="561"/>
    </w:p>
    <w:p>
      <w:pPr>
        <w:pStyle w:val="FirstParagraph"/>
        <w:wordWrap w:val="off"/>
      </w:pPr>
      <w:bookmarkStart w:id="565" w:name="x1-42001f94"/>
      <w:r>
        <w:rPr>
          <w:rFonts w:ascii="Noto Serif CJK SC" w:hAnsi="Noto Serif CJK SC" w:eastAsia="Noto Serif CJK SC" w:cs="Noto Serif CJK SC"/>
          <w:lang w:val="en-US" w:eastAsia="zh-CN"/>
        </w:rPr>
        <w:t xml:space="preserve">如果问责制度把每一项损失都导向距离最近的工程师，它就会压制自身赖以运行的信息。因此，责任章程应为符合下列条件的工作人员建立内部安全港：其善意地、基于客观合理理由记录重大风险，使用经授权的逐级上报渠道或停止运行渠道，保全证据，并在经批准的职责范围内行事。在适用法律允许的限度内，企业原则上应当提供抗辩与补偿，保护其免受报复，并不得仅因受保护的报告或有正当理由的干预而对其采取不利就业措施。公司补偿制定法提供了可资借鉴的模式，但也设有条件；责任章程不能承诺实定法所禁止的补偿。</w:t>
      </w:r>
      <w:r>
        <w:rPr>
          <w:rStyle w:val="FootnoteReference"/>
        </w:rPr>
        <w:footnoteReference w:id="96"/>
      </w:r>
      <w:bookmarkEnd w:id="565"/>
    </w:p>
    <w:p>
      <w:pPr>
        <w:pStyle w:val="BodyText"/>
        <w:wordWrap w:val="off"/>
      </w:pPr>
      <w:bookmarkStart w:id="570" w:name="x1-42004f95"/>
      <w:bookmarkStart w:id="573" w:name="x1-42008f96"/>
      <w:r>
        <w:rPr>
          <w:rFonts w:ascii="Noto Serif CJK SC" w:hAnsi="Noto Serif CJK SC" w:eastAsia="Noto Serif CJK SC" w:cs="Noto Serif CJK SC"/>
          <w:lang w:val="en-US" w:eastAsia="zh-CN"/>
        </w:rPr>
        <w:t xml:space="preserve">对拒绝执行的保护也应以同等明确的方式界定。工作人员在下列情形下受到保护：其合理相信被要求实施的行为违法，或会造成迫在眉睫的死亡或严重人身伤害风险；在可行时已通知企业；并且在风险成为现实前，已经没有时间使用普通渠道，或不存在合理有效的普通渠道。这是本文提出的一项门槛，它借鉴但不等同于部门法。</w:t>
      </w:r>
      <w:r>
        <w:rPr>
          <w:rStyle w:val="FootnoteReference"/>
        </w:rPr>
        <w:footnoteReference w:id="97"/>
      </w:r>
      <w:r>
        <w:rPr>
          <w:rFonts w:ascii="Noto Serif CJK SC" w:hAnsi="Noto Serif CJK SC" w:eastAsia="Noto Serif CJK SC" w:cs="Noto Serif CJK SC"/>
          <w:lang w:val="en-US" w:eastAsia="zh-CN"/>
        </w:rPr>
        <w:t xml:space="preserve"> 制定法还应明确因果关系与救济；《能源重组法》的“促成因素”标准，以及以清楚且令人信服的证据证明即使不存在受保护行为也会采取相同行动的抗辩，提供了一种平衡模式。</w:t>
      </w:r>
      <w:r>
        <w:rPr>
          <w:rStyle w:val="FootnoteReference"/>
        </w:rPr>
        <w:footnoteReference w:id="98"/>
      </w:r>
      <w:bookmarkEnd w:id="570"/>
      <w:bookmarkEnd w:id="573"/>
    </w:p>
    <w:p>
      <w:pPr>
        <w:pStyle w:val="BodyText"/>
        <w:wordWrap w:val="off"/>
      </w:pPr>
      <w:bookmarkStart w:id="579" w:name="x1-42010f97"/>
      <w:bookmarkStart w:id="584" w:name="x1-42015f98"/>
      <w:r>
        <w:rPr>
          <w:rFonts w:ascii="Noto Serif CJK SC" w:hAnsi="Noto Serif CJK SC" w:eastAsia="Noto Serif CJK SC" w:cs="Noto Serif CJK SC"/>
          <w:lang w:val="en-US" w:eastAsia="zh-CN"/>
        </w:rPr>
        <w:t xml:space="preserve">反报复制度具有深厚的制定法谱系。《萨班斯—奥克斯利法》保护对特定欺诈与证券违法行为的报告；《虚假申报法》保护制止违法行为的努力；《职业安全与健康法》则保护安全投诉及相关参与行为。</w:t>
      </w:r>
      <w:r>
        <w:rPr>
          <w:rStyle w:val="FootnoteReference"/>
        </w:rPr>
        <w:footnoteReference w:id="99"/>
      </w:r>
      <w:r>
        <w:rPr>
          <w:rFonts w:ascii="Noto Serif CJK SC" w:hAnsi="Noto Serif CJK SC" w:eastAsia="Noto Serif CJK SC" w:cs="Noto Serif CJK SC"/>
          <w:lang w:val="en-US" w:eastAsia="zh-CN"/>
        </w:rPr>
        <w:t xml:space="preserve"> 航空报告计划鼓励自愿披露安全事件。《患者安全与质量改进法》另行保护善意报告者，但不应把该法针对患者安全工作产品设定的广泛特权与保密规则移植到本方案，因为这会与定向证据开示规则冲突。</w:t>
      </w:r>
      <w:r>
        <w:rPr>
          <w:rStyle w:val="FootnoteReference"/>
        </w:rPr>
        <w:footnoteReference w:id="100"/>
      </w:r>
      <w:r>
        <w:rPr>
          <w:rFonts w:ascii="Noto Serif CJK SC" w:hAnsi="Noto Serif CJK SC" w:eastAsia="Noto Serif CJK SC" w:cs="Noto Serif CJK SC"/>
          <w:lang w:val="en-US" w:eastAsia="zh-CN"/>
        </w:rPr>
        <w:t xml:space="preserve"> 各项制定法的范围、程序与特权并不相同。它们所确立的可移植原则是：准确的内部信息是一项安全资源，报复会摧毁这一资源；它们并未创设免受其他适用法律调整的一般豁免。</w:t>
      </w:r>
      <w:bookmarkEnd w:id="579"/>
      <w:bookmarkEnd w:id="584"/>
    </w:p>
    <w:p>
      <w:pPr>
        <w:pStyle w:val="BodyText"/>
        <w:wordWrap w:val="off"/>
      </w:pPr>
      <w:r>
        <w:rPr>
          <w:rFonts w:ascii="Noto Serif CJK SC" w:hAnsi="Noto Serif CJK SC" w:eastAsia="Noto Serif CJK SC" w:cs="Noto Serif CJK SC"/>
          <w:lang w:val="en-US" w:eastAsia="zh-CN"/>
        </w:rPr>
        <w:t xml:space="preserve">安全港也应设置同样清晰的例外。它不保护故意或鲁莽造成损害、明知而伪造或毁灭记录、隐瞒重大事件、报复其他报告者、操纵评估，或未经授权移除安全约束的行为。企业在内部提供抗辩或补偿，也不会消除法律根据个人行为而独立施加的责任。责任章程应在冲突发生前明确适用标准与决策者；涉及高级管理层时，应当进行独立审查。</w:t>
      </w:r>
    </w:p>
    <w:p>
      <w:pPr>
        <w:pStyle w:val="BodyText"/>
        <w:wordWrap w:val="off"/>
      </w:pPr>
      <w:r>
        <w:rPr>
          <w:rFonts w:ascii="Noto Serif CJK SC" w:hAnsi="Noto Serif CJK SC" w:eastAsia="Noto Serif CJK SC" w:cs="Noto Serif CJK SC"/>
          <w:lang w:val="en-US" w:eastAsia="zh-CN"/>
        </w:rPr>
        <w:t xml:space="preserve">这种配置纠正了激励错位。安全工程师往往最清楚某种故障模式，却没有解决问题所需的预算或发布权限；经理可能控制进度与资源，却不了解模型细节。如果二者面对不加区分的责任威胁，工程师可能保持沉默，经理也可能回避作出书面决定。保护有记录的逐级上报，同时保留对压制信息者的追索，方能使权限与问责相互对应。</w:t>
      </w:r>
    </w:p>
    <w:bookmarkEnd w:id="585"/>
    <w:bookmarkStart w:id="592" w:name="the-twolayer-rule"/>
    <w:p>
      <w:pPr>
        <w:pStyle w:val="Heading4"/>
        <w:wordWrap w:val="off"/>
      </w:pPr>
      <w:bookmarkStart w:id="586" w:name="x1-43000I"/>
      <w:r>
        <w:rPr>
          <w:rFonts w:ascii="Noto Sans CJK SC" w:hAnsi="Noto Sans CJK SC" w:eastAsia="Noto Sans CJK SC" w:cs="Noto Sans CJK SC"/>
          <w:lang w:val="en-US" w:eastAsia="zh-CN"/>
        </w:rPr>
        <w:t xml:space="preserve">（九）双层规则</w:t>
      </w:r>
      <w:bookmarkEnd w:id="586"/>
    </w:p>
    <w:p>
      <w:pPr>
        <w:pStyle w:val="FirstParagraph"/>
        <w:wordWrap w:val="off"/>
      </w:pPr>
      <w:r>
        <w:rPr>
          <w:rFonts w:ascii="Noto Serif CJK SC" w:hAnsi="Noto Serif CJK SC" w:eastAsia="Noto Serif CJK SC" w:cs="Noto Serif CJK SC"/>
          <w:lang w:val="en-US" w:eastAsia="zh-CN"/>
        </w:rPr>
        <w:t xml:space="preserve">拟议的制定法规则可以分为五个步骤。</w:t>
      </w:r>
    </w:p>
    <w:p>
      <w:pPr>
        <w:pStyle w:val="DefinitionTerm"/>
        <w:wordWrap w:val="off"/>
      </w:pPr>
      <w:r>
        <w:t xml:space="preserve">1.</w:t>
      </w:r>
    </w:p>
    <w:p>
      <w:pPr>
        <w:pStyle w:val="Definition"/>
        <w:wordWrap w:val="off"/>
      </w:pPr>
      <w:r>
        <w:rPr>
          <w:rFonts w:ascii="Noto Serif CJK SC" w:hAnsi="Noto Serif CJK SC" w:eastAsia="Noto Serif CJK SC" w:cs="Noto Serif CJK SC"/>
          <w:lang w:val="en-US" w:eastAsia="zh-CN"/>
        </w:rPr>
        <w:t xml:space="preserve">请求权人主张一项法律认可的损害，并说明该损害与受覆盖的高影响人工智能部署之间存在可信的实质联系。</w:t>
      </w:r>
    </w:p>
    <w:p>
      <w:pPr>
        <w:pStyle w:val="DefinitionTerm"/>
        <w:wordWrap w:val="off"/>
      </w:pPr>
      <w:r>
        <w:t xml:space="preserve">2.</w:t>
      </w:r>
    </w:p>
    <w:p>
      <w:pPr>
        <w:pStyle w:val="Definition"/>
        <w:wordWrap w:val="off"/>
      </w:pPr>
      <w:r>
        <w:rPr>
          <w:rFonts w:ascii="Noto Serif CJK SC" w:hAnsi="Noto Serif CJK SC" w:eastAsia="Noto Serif CJK SC" w:cs="Noto Serif CJK SC"/>
          <w:lang w:val="en-US" w:eastAsia="zh-CN"/>
        </w:rPr>
        <w:t xml:space="preserve">凡将受覆盖部署提供使用或纳入决策流程，并对涉案风险拥有实质性部署控制力的企业，均构成对外责任中心。多家企业可以同时符合条件。任何企业均不得仅以没有自然人选择该项具体输出为由，阻却制定法请求。</w:t>
      </w:r>
    </w:p>
    <w:p>
      <w:pPr>
        <w:pStyle w:val="DefinitionTerm"/>
        <w:wordWrap w:val="off"/>
      </w:pPr>
      <w:r>
        <w:t xml:space="preserve">3.</w:t>
      </w:r>
    </w:p>
    <w:p>
      <w:pPr>
        <w:pStyle w:val="Definition"/>
        <w:wordWrap w:val="off"/>
      </w:pPr>
      <w:r>
        <w:rPr>
          <w:rFonts w:ascii="Noto Serif CJK SC" w:hAnsi="Noto Serif CJK SC" w:eastAsia="Noto Serif CJK SC" w:cs="Noto Serif CJK SC"/>
          <w:lang w:val="en-US" w:eastAsia="zh-CN"/>
        </w:rPr>
        <w:t xml:space="preserve">每个责任中心均须识别已部署系统及处于相关部署控制级联中的实体，继而开示符合比例要求且不受特权保护的责任章程与事件记录。在整合式部署中，主体识别确认本已可见的运营者；在技术栈不透明的场景中，它则揭示分散控制；证据开示在两类场景中都提供实体审理所需的记录。具体实施受证据开示、特权、保护令与证据保全法调整。</w:t>
      </w:r>
    </w:p>
    <w:p>
      <w:pPr>
        <w:pStyle w:val="DefinitionTerm"/>
        <w:wordWrap w:val="off"/>
      </w:pPr>
      <w:r>
        <w:t xml:space="preserve">4.</w:t>
      </w:r>
    </w:p>
    <w:p>
      <w:pPr>
        <w:pStyle w:val="Definition"/>
        <w:wordWrap w:val="off"/>
      </w:pPr>
      <w:r>
        <w:rPr>
          <w:rFonts w:ascii="Noto Serif CJK SC" w:hAnsi="Noto Serif CJK SC" w:eastAsia="Noto Serif CJK SC" w:cs="Noto Serif CJK SC"/>
          <w:lang w:val="en-US" w:eastAsia="zh-CN"/>
        </w:rPr>
        <w:t xml:space="preserve">取得上述记录后，除非实定法另有规定，请求权人仍承担证明适用诉因各项构成要件的最终责任。责任章程既不放弃企业外部受害人的权利，也不终局证明企业已尽合理注意；它规范补偿、抗辩、纪律处分、责任分担与追索，并为权限、知情情况及行为提供证据。</w:t>
      </w:r>
    </w:p>
    <w:p>
      <w:pPr>
        <w:pStyle w:val="DefinitionTerm"/>
        <w:wordWrap w:val="off"/>
      </w:pPr>
      <w:r>
        <w:t xml:space="preserve">5.</w:t>
      </w:r>
    </w:p>
    <w:p>
      <w:pPr>
        <w:pStyle w:val="Definition"/>
        <w:wordWrap w:val="off"/>
      </w:pPr>
      <w:r>
        <w:rPr>
          <w:rFonts w:ascii="Noto Serif CJK SC" w:hAnsi="Noto Serif CJK SC" w:eastAsia="Noto Serif CJK SC" w:cs="Noto Serif CJK SC"/>
          <w:lang w:val="en-US" w:eastAsia="zh-CN"/>
        </w:rPr>
        <w:t xml:space="preserve">善意报告、合规与有正当理由的干预，受到制定法及责任章程所规定的保护；明知而隐瞒、伪造、报复及未经授权绕过约束的行为，仍可作为内部纪律处分的依据，也可引发实定法另行授权的法律后果。</w:t>
      </w:r>
    </w:p>
    <w:p>
      <w:pPr>
        <w:pStyle w:val="FirstParagraph"/>
        <w:wordWrap w:val="off"/>
      </w:pPr>
      <w:r>
        <w:rPr>
          <w:rFonts w:ascii="Noto Serif CJK SC" w:hAnsi="Noto Serif CJK SC" w:eastAsia="Noto Serif CJK SC" w:cs="Noto Serif CJK SC"/>
          <w:lang w:val="en-US" w:eastAsia="zh-CN"/>
        </w:rPr>
        <w:t xml:space="preserve">该规则同时解决四项问题。受害人无须先行还原企业内部组织架构，即有一家身份明确的企业可供其在证明各项要件后提出法律认可的请求。尽责的工程师可以形成安全记录，而不等于自愿成为唯一的损失承担者。管理责任随预算、发布与响应权限而配置，而不取决于口头上的责任承诺。组织碎片化则成为已绘制级联中的证据，而不再成为“无人拥有完整控制权”的抗辩。</w:t>
      </w:r>
    </w:p>
    <w:p>
      <w:pPr>
        <w:pStyle w:val="BodyText"/>
        <w:wordWrap w:val="off"/>
      </w:pPr>
      <w:bookmarkStart w:id="591" w:name="x1-43006f99"/>
      <w:r>
        <w:rPr>
          <w:rFonts w:ascii="Noto Serif CJK SC" w:hAnsi="Noto Serif CJK SC" w:eastAsia="Noto Serif CJK SC" w:cs="Noto Serif CJK SC"/>
          <w:lang w:val="en-US" w:eastAsia="zh-CN"/>
        </w:rPr>
        <w:t xml:space="preserve">立法机关应当在明确界定的高影响领域，强制实行责任章程与证据开示规则。法院现在即可适用该架构所依据的区分：区分直接责任与替代责任；拒绝把机器变成吸收责任的黑洞；适用一般归责规则；执行证据保全义务；并在无须否认公司人格的情况下评价个人行为。当管辖权以及针对当事方或非当事方的通常前提均已满足时，法院可以命令占有、保管或控制相关记录的实体进行合比例的证据开示；但法院不能仅凭证据开示命令创设拟议的制定法责任入口。</w:t>
      </w:r>
      <w:r>
        <w:rPr>
          <w:rStyle w:val="FootnoteReference"/>
        </w:rPr>
        <w:footnoteReference w:id="101"/>
      </w:r>
      <w:r>
        <w:rPr>
          <w:rFonts w:ascii="Noto Serif CJK SC" w:hAnsi="Noto Serif CJK SC" w:eastAsia="Noto Serif CJK SC" w:cs="Noto Serif CJK SC"/>
          <w:lang w:val="en-US" w:eastAsia="zh-CN"/>
        </w:rPr>
        <w:t xml:space="preserve"> 经监管规则采纳该方案，可以使责任配置在事前保持统一。</w:t>
      </w:r>
      <w:bookmarkEnd w:id="591"/>
    </w:p>
    <w:bookmarkEnd w:id="592"/>
    <w:bookmarkStart w:id="626" w:name="residual-responsibility-and-rebuttal"/>
    <w:p>
      <w:pPr>
        <w:pStyle w:val="Heading4"/>
        <w:wordWrap w:val="off"/>
      </w:pPr>
      <w:bookmarkStart w:id="593" w:name="x1-44000J"/>
      <w:r>
        <w:rPr>
          <w:rFonts w:ascii="Noto Sans CJK SC" w:hAnsi="Noto Sans CJK SC" w:eastAsia="Noto Sans CJK SC" w:cs="Noto Sans CJK SC"/>
          <w:lang w:val="en-US" w:eastAsia="zh-CN"/>
        </w:rPr>
        <w:t xml:space="preserve">（十）剩余责任与反驳</w:t>
      </w:r>
      <w:bookmarkEnd w:id="593"/>
    </w:p>
    <w:p>
      <w:pPr>
        <w:pStyle w:val="FirstParagraph"/>
        <w:wordWrap w:val="off"/>
      </w:pPr>
      <w:r>
        <w:rPr>
          <w:rFonts w:ascii="Noto Serif CJK SC" w:hAnsi="Noto Serif CJK SC" w:eastAsia="Noto Serif CJK SC" w:cs="Noto Serif CJK SC"/>
          <w:lang w:val="en-US" w:eastAsia="zh-CN"/>
        </w:rPr>
        <w:t xml:space="preserve">以企业为对象的规则必须为真正不同的控制路径保留空间。以下六类常见抗辩说明，部署控制级联所做的是约束反驳，而非消灭反驳。</w:t>
      </w:r>
    </w:p>
    <w:p>
      <w:pPr>
        <w:pStyle w:val="BodyText"/>
        <w:wordWrap w:val="off"/>
      </w:pPr>
      <w:bookmarkStart w:id="595" w:name="intentional-user-circumvention"/>
      <w:bookmarkStart w:id="594" w:name="x1-45000"/>
      <w:r>
        <w:rPr>
          <w:rFonts w:ascii="Noto Serif CJK SC" w:hAnsi="Noto Serif CJK SC" w:eastAsia="Noto Serif CJK SC" w:cs="Noto Serif CJK SC"/>
          <w:lang w:val="en-US" w:eastAsia="zh-CN"/>
        </w:rPr>
        <w:t xml:space="preserve">用户故意规避。用户故意对系统进行“越狱”、提供虚假语境、绕过设计合理的确认机制，或指示系统实施禁止行为的，依适用法律可能承担比较责任或首要责任。企业可以证明有关约束、警示、对可预见规避方式的测试及其因果影响。如果某种技术已十分常见、产品使用方式对其有所鼓励，或本可轻易防止，单凭“越狱”一词并不足以构成抗辩。</w:t>
      </w:r>
      <w:bookmarkEnd w:id="594"/>
      <w:bookmarkEnd w:id="595"/>
    </w:p>
    <w:p>
      <w:pPr>
        <w:pStyle w:val="BodyText"/>
        <w:wordWrap w:val="off"/>
      </w:pPr>
      <w:bookmarkStart w:id="597" w:name="modification"/>
      <w:bookmarkStart w:id="596" w:name="x1-46000"/>
      <w:bookmarkStart w:id="602" w:name="x1-46001f100"/>
      <w:r>
        <w:rPr>
          <w:rFonts w:ascii="Noto Serif CJK SC" w:hAnsi="Noto Serif CJK SC" w:eastAsia="Noto Serif CJK SC" w:cs="Noto Serif CJK SC"/>
          <w:lang w:val="en-US" w:eastAsia="zh-CN"/>
        </w:rPr>
        <w:t xml:space="preserve">修改。下游行为人移除安全保障、改变模型权重、添加危险工具，或超出有记录的限制进行部署，可能成为相关控制者。纽约州法可以说明其中的区分：实质性修改可以阻却设计缺陷理论，但在适当情形下，基于可预见修改提出的未尽警示义务请求仍可能成立。</w:t>
      </w:r>
      <w:r>
        <w:rPr>
          <w:rStyle w:val="FootnoteReference"/>
        </w:rPr>
        <w:footnoteReference w:id="102"/>
      </w:r>
      <w:r>
        <w:rPr>
          <w:rFonts w:ascii="Noto Serif CJK SC" w:hAnsi="Noto Serif CJK SC" w:eastAsia="Noto Serif CJK SC" w:cs="Noto Serif CJK SC"/>
          <w:lang w:val="en-US" w:eastAsia="zh-CN"/>
        </w:rPr>
        <w:t xml:space="preserve"> 其他法域依各自制定法与普通法界定修改及警示义务。版本记录与来源记录应当揭示所发生的变更，而不应仅凭品牌归属决定问题。</w:t>
      </w:r>
      <w:bookmarkEnd w:id="596"/>
      <w:bookmarkEnd w:id="597"/>
      <w:bookmarkEnd w:id="602"/>
    </w:p>
    <w:p>
      <w:pPr>
        <w:pStyle w:val="BodyText"/>
        <w:wordWrap w:val="off"/>
      </w:pPr>
      <w:bookmarkStart w:id="604" w:name="cyberattack"/>
      <w:bookmarkStart w:id="603" w:name="x1-47000"/>
      <w:r>
        <w:rPr>
          <w:rFonts w:ascii="Noto Serif CJK SC" w:hAnsi="Noto Serif CJK SC" w:eastAsia="Noto Serif CJK SC" w:cs="Noto Serif CJK SC"/>
          <w:lang w:val="en-US" w:eastAsia="zh-CN"/>
        </w:rPr>
        <w:t xml:space="preserve">网络攻击。未经授权的入侵可能构成介入原因，但安全本身就是一种可预见的部署条件。需要追问的是：哪些威胁合理地属于应予防范的范围；凭证与工具是否暴露；系统收到了哪些警报；以及当时能否作出响应。复杂的新型攻击与尚未修补的已知漏洞，并不处于同一控制位置。</w:t>
      </w:r>
      <w:bookmarkEnd w:id="603"/>
      <w:bookmarkEnd w:id="604"/>
    </w:p>
    <w:p>
      <w:pPr>
        <w:pStyle w:val="BodyText"/>
        <w:keepLines/>
        <w:wordWrap w:val="off"/>
      </w:pPr>
      <w:bookmarkStart w:id="606" w:name="government-compulsion"/>
      <w:bookmarkStart w:id="605" w:name="x1-48000"/>
      <w:bookmarkStart w:id="611" w:name="x1-48001f101"/>
      <w:bookmarkStart w:id="616" w:name="x1-48004f102"/>
      <w:bookmarkStart w:id="621" w:name="x1-48007f103"/>
      <w:r>
        <w:rPr>
          <w:rFonts w:ascii="Noto Serif CJK SC" w:hAnsi="Noto Serif CJK SC" w:eastAsia="Noto Serif CJK SC" w:cs="Noto Serif CJK SC"/>
          <w:lang w:val="en-US" w:eastAsia="zh-CN"/>
        </w:rPr>
        <w:t xml:space="preserve">政府强制。承包商只有在美国政府批准了足够精确的规格、设备符合该规格，并且供应商已就其知悉而政府不知悉的危险向美国政府发出警示时，才能援引联邦军用装备抗辩。</w:t>
      </w:r>
      <w:r>
        <w:rPr>
          <w:rStyle w:val="FootnoteReference"/>
        </w:rPr>
        <w:footnoteReference w:id="103"/>
      </w:r>
      <w:r>
        <w:rPr>
          <w:rFonts w:ascii="Noto Serif CJK SC" w:hAnsi="Noto Serif CJK SC" w:eastAsia="Noto Serif CJK SC" w:cs="Noto Serif CJK SC"/>
          <w:lang w:val="en-US" w:eastAsia="zh-CN"/>
        </w:rPr>
        <w:t xml:space="preserve"> 2026 年的两项判决进一步明确了控制审查。在 GEO Group v. Menocal 案中，法院认定，对于政府依法授权并指示的行为，Yearsley 案提供的是实体抗辩，而非派生主权豁免。</w:t>
      </w:r>
      <w:r>
        <w:rPr>
          <w:rStyle w:val="FootnoteReference"/>
        </w:rPr>
        <w:footnoteReference w:id="104"/>
      </w:r>
      <w:r>
        <w:rPr>
          <w:rFonts w:ascii="Noto Serif CJK SC" w:hAnsi="Noto Serif CJK SC" w:eastAsia="Noto Serif CJK SC" w:cs="Noto Serif CJK SC"/>
          <w:lang w:val="en-US" w:eastAsia="zh-CN"/>
        </w:rPr>
        <w:t xml:space="preserve"> Hencely v. Fluor Corp. 案则在政府既未命令也未授权争议行为的情形下，拒绝作更广泛的排除：Boyle 案要求争议与一项可识别的联邦政策之间存在重大冲突；只有在诉讼所挑战的是承包商所执行的政府决定时，承包商才受保护。</w:t>
      </w:r>
      <w:r>
        <w:rPr>
          <w:rStyle w:val="FootnoteReference"/>
        </w:rPr>
        <w:footnoteReference w:id="105"/>
      </w:r>
      <w:r>
        <w:rPr>
          <w:rFonts w:ascii="Noto Serif CJK SC" w:hAnsi="Noto Serif CJK SC" w:eastAsia="Noto Serif CJK SC" w:cs="Noto Serif CJK SC"/>
          <w:lang w:val="en-US" w:eastAsia="zh-CN"/>
        </w:rPr>
        <w:t xml:space="preserve"> 采购关系、政治压力、政府对争议手段保持沉默，或行为违反指示，本身都不会转移控制权。第六部分讨论政府强制所受的对应限制。</w:t>
      </w:r>
      <w:bookmarkEnd w:id="605"/>
      <w:bookmarkEnd w:id="606"/>
      <w:bookmarkEnd w:id="611"/>
      <w:bookmarkEnd w:id="616"/>
      <w:bookmarkEnd w:id="621"/>
    </w:p>
    <w:p>
      <w:pPr>
        <w:pStyle w:val="BodyText"/>
        <w:wordWrap w:val="off"/>
      </w:pPr>
      <w:bookmarkStart w:id="623" w:name="independent-deployer-override"/>
      <w:bookmarkStart w:id="622" w:name="x1-49000"/>
      <w:r>
        <w:rPr>
          <w:rFonts w:ascii="Noto Serif CJK SC" w:hAnsi="Noto Serif CJK SC" w:eastAsia="Noto Serif CJK SC" w:cs="Noto Serif CJK SC"/>
          <w:lang w:val="en-US" w:eastAsia="zh-CN"/>
        </w:rPr>
        <w:t xml:space="preserve">独立部署者的越权干预。对于与下游部署目的、数据集、工具或越权干预相关，而上游提供者既未控制也无法合理防止的损害，上游提供者可以反驳其责任。反之，合同保留审计、更新、暂停访问或指定安全保障的权利，则是保留控制权的证据。结论应取决于实际部署的功能，而非一项把所有当事方都称为独立承包商的标准化标签。</w:t>
      </w:r>
      <w:bookmarkEnd w:id="622"/>
      <w:bookmarkEnd w:id="623"/>
    </w:p>
    <w:p>
      <w:pPr>
        <w:pStyle w:val="BodyText"/>
        <w:wordWrap w:val="off"/>
      </w:pPr>
      <w:bookmarkStart w:id="625" w:name="unavoidable-event"/>
      <w:bookmarkStart w:id="624" w:name="x1-50000"/>
      <w:r>
        <w:rPr>
          <w:rFonts w:ascii="Noto Serif CJK SC" w:hAnsi="Noto Serif CJK SC" w:eastAsia="Noto Serif CJK SC" w:cs="Noto Serif CJK SC"/>
          <w:lang w:val="en-US" w:eastAsia="zh-CN"/>
        </w:rPr>
        <w:t xml:space="preserve">不可避免事件。即便经过合理测试、监控、警示与响应，某些有害输出仍然不可预见。一般过错标准允许得出这一结论；公开报道的杭州案可作为比较法例证，但并不支配美国法。责任章程可以通过说明评估了何种风险、为何选择有关控制、当时存在哪些反馈，以及所提议的替代措施为何不能避免损害，增强该项抗辩。</w:t>
      </w:r>
      <w:bookmarkEnd w:id="624"/>
      <w:bookmarkEnd w:id="625"/>
    </w:p>
    <w:p>
      <w:pPr>
        <w:pStyle w:val="BodyText"/>
        <w:wordWrap w:val="off"/>
      </w:pPr>
      <w:r>
        <w:rPr>
          <w:rFonts w:ascii="Noto Serif CJK SC" w:hAnsi="Noto Serif CJK SC" w:eastAsia="Noto Serif CJK SC" w:cs="Noto Serif CJK SC"/>
          <w:lang w:val="en-US" w:eastAsia="zh-CN"/>
        </w:rPr>
        <w:t xml:space="preserve">因此，剩余责任并不削弱这一架构；恰恰是剩余责任，使其成为法律框架而非一句口号。企业面向请求权人并提出控制图谱，随后由各方依适用的举证责任，就因果控制路径究竟如何运行展开争讼。始终无须把机器虚构成那个缺失的被告。</w:t>
      </w:r>
    </w:p>
    <w:bookmarkEnd w:id="626"/>
    <w:bookmarkEnd w:id="627"/>
    <w:bookmarkStart w:id="674" w:name="the-antisubstitution-principle"/>
    <w:p>
      <w:pPr>
        <w:pStyle w:val="Heading3"/>
        <w:wordWrap w:val="off"/>
      </w:pPr>
      <w:bookmarkStart w:id="628" w:name="x1-51000V"/>
      <w:r>
        <w:rPr>
          <w:rFonts w:ascii="Noto Sans CJK SC" w:hAnsi="Noto Sans CJK SC" w:eastAsia="Noto Sans CJK SC" w:cs="Noto Sans CJK SC"/>
          <w:lang w:val="en-US" w:eastAsia="zh-CN"/>
        </w:rPr>
        <w:t xml:space="preserve">五　反替代原则</w:t>
      </w:r>
      <w:bookmarkEnd w:id="628"/>
    </w:p>
    <w:p>
      <w:pPr>
        <w:pStyle w:val="FirstParagraph"/>
        <w:wordWrap w:val="off"/>
      </w:pPr>
      <w:r>
        <w:rPr>
          <w:rFonts w:ascii="Noto Serif CJK SC" w:hAnsi="Noto Serif CJK SC" w:eastAsia="Noto Serif CJK SC" w:cs="Noto Serif CJK SC"/>
          <w:lang w:val="en-US" w:eastAsia="zh-CN"/>
        </w:rPr>
        <w:t xml:space="preserve">上述责任架构规制的是人工智能部署所造成的损害。与之相关的另一问题是，部署人工智能有时会被援引为完全卸除责任的理由：公共机构以自动化门户取代其福利制度所要求的程序；照护机构以陪伴机器人取代提供必要支持的人员；专业人员以模型输出取代其专业角色所负载的判断职责。在这些场景中，技术都可能发挥重要作用。法律上的错误，在于仅从技术可用这一事实便推断既有义务已经履行。</w:t>
      </w:r>
    </w:p>
    <w:p>
      <w:pPr>
        <w:pStyle w:val="BodyText"/>
        <w:wordWrap w:val="off"/>
      </w:pPr>
      <w:r>
        <w:rPr>
          <w:rFonts w:ascii="Noto Serif CJK SC" w:hAnsi="Noto Serif CJK SC" w:eastAsia="Noto Serif CJK SC" w:cs="Noto Serif CJK SC"/>
          <w:lang w:val="en-US" w:eastAsia="zh-CN"/>
        </w:rPr>
        <w:t xml:space="preserve">反替代原则正是为了防止这一推论：</w:t>
      </w:r>
    </w:p>
    <w:p>
      <w:pPr>
        <w:pStyle w:val="BlockText"/>
        <w:wordWrap w:val="off"/>
      </w:pPr>
      <w:r>
        <w:rPr>
          <w:rFonts w:ascii="Noto Serif CJK SC" w:hAnsi="Noto Serif CJK SC" w:eastAsia="Noto Serif CJK SC" w:cs="Noto Serif CJK SC"/>
          <w:lang w:val="en-US" w:eastAsia="zh-CN"/>
        </w:rPr>
        <w:t xml:space="preserve">当法律独立设定注意义务、程序义务、合理便利义务、专业判断义务或公共服务义务时，人工智能的可用或使用本身并不解除或缩减该义务。在适用法律允许，且部署仍能维持该义务所要保障之保护的前提下，自动化可以承担部分义务的履行。</w:t>
      </w:r>
    </w:p>
    <w:p>
      <w:pPr>
        <w:pStyle w:val="FirstParagraph"/>
        <w:wordWrap w:val="off"/>
      </w:pPr>
      <w:r>
        <w:rPr>
          <w:rFonts w:ascii="Noto Serif CJK SC" w:hAnsi="Noto Serif CJK SC" w:eastAsia="Noto Serif CJK SC" w:cs="Noto Serif CJK SC"/>
          <w:lang w:val="en-US" w:eastAsia="zh-CN"/>
        </w:rPr>
        <w:t xml:space="preserve">这是一项关于义务履行的规则，而非对人工办理的偏好。自动化工具机制可以完成履行某项义务所需的全部操作步骤；但其仅仅可用，并不等于义务已经履行。法院应审查：已部署系统是否仍能实现受法律保护的功能；自动化路径失灵时，负有法律责任的机构是否维持纠正机制。如此表述，既允许人工智能改善可及性、一致性或服务能力，也使义务继续归属于法律原已确定须承担责任的个人或组织。</w:t>
      </w:r>
    </w:p>
    <w:bookmarkStart w:id="635" w:name="a-rule-courts-can-apply"/>
    <w:p>
      <w:pPr>
        <w:pStyle w:val="Heading4"/>
        <w:wordWrap w:val="off"/>
      </w:pPr>
      <w:bookmarkStart w:id="629" w:name="x1-52000A"/>
      <w:r>
        <w:rPr>
          <w:rFonts w:ascii="Noto Sans CJK SC" w:hAnsi="Noto Sans CJK SC" w:eastAsia="Noto Sans CJK SC" w:cs="Noto Sans CJK SC"/>
          <w:lang w:val="en-US" w:eastAsia="zh-CN"/>
        </w:rPr>
        <w:t xml:space="preserve">（一）法院可适用的规则</w:t>
      </w:r>
      <w:bookmarkEnd w:id="629"/>
    </w:p>
    <w:p>
      <w:pPr>
        <w:pStyle w:val="FirstParagraph"/>
        <w:wordWrap w:val="off"/>
      </w:pPr>
      <w:r>
        <w:rPr>
          <w:rFonts w:ascii="Noto Serif CJK SC" w:hAnsi="Noto Serif CJK SC" w:eastAsia="Noto Serif CJK SC" w:cs="Noto Serif CJK SC"/>
          <w:lang w:val="en-US" w:eastAsia="zh-CN"/>
        </w:rPr>
        <w:t xml:space="preserve">以下四个问题可将该原则转化为裁判规则。</w:t>
      </w:r>
    </w:p>
    <w:p>
      <w:pPr>
        <w:pStyle w:val="BodyText"/>
        <w:wordWrap w:val="off"/>
      </w:pPr>
      <w:bookmarkStart w:id="634" w:name="x1-52001f104"/>
      <w:r>
        <w:rPr>
          <w:rFonts w:ascii="Noto Serif CJK SC" w:hAnsi="Noto Serif CJK SC" w:eastAsia="Noto Serif CJK SC" w:cs="Noto Serif CJK SC"/>
          <w:lang w:val="en-US" w:eastAsia="zh-CN"/>
        </w:rPr>
        <w:t xml:space="preserve">第一，义务的独立依据和范围是什么？其依据可能来自制定法、行政法规、合同、监管照管关系、监护关系、专业法规范、侵权法上的特殊关系，或与受保护利益相联系的宪法程序。反替代原则并不创设这一前提，而是防止义务主体将自动化视为对该前提的默示修改。例如，宪法正当程序并不普遍设定提供照护的积极义务；但当立法创设可强制执行的权益时，法律文本及其救济结构即界定了相应保护。</w:t>
      </w:r>
      <w:r>
        <w:rPr>
          <w:rStyle w:val="FootnoteReference"/>
        </w:rPr>
        <w:footnoteReference w:id="106"/>
      </w:r>
      <w:bookmarkEnd w:id="634"/>
    </w:p>
    <w:p>
      <w:pPr>
        <w:pStyle w:val="BodyText"/>
        <w:wordWrap w:val="off"/>
      </w:pPr>
      <w:r>
        <w:rPr>
          <w:rFonts w:ascii="Noto Serif CJK SC" w:hAnsi="Noto Serif CJK SC" w:eastAsia="Noto Serif CJK SC" w:cs="Noto Serif CJK SC"/>
          <w:lang w:val="en-US" w:eastAsia="zh-CN"/>
        </w:rPr>
        <w:t xml:space="preserve">第二，该义务要求履行何种内容？法律所保护的往往是一项功能，而非某种特定的人员配置形式。通知必须传达作出决定的实质依据。复核请求必须交由掌握相关信息并有权纠正错误的主体处理。专业判断必须综合适用标准所要求考虑的事项。合理便利必须提供实质可及性。照护义务可能要求监测、响应、连续性或安全过渡。明确受保护的功能，可以避免审查滑向两个极端：要么认为“每一步都必须由人完成”，要么认为“既然有聊天机器人，义务就已经履行完毕”。</w:t>
      </w:r>
    </w:p>
    <w:p>
      <w:pPr>
        <w:pStyle w:val="BodyText"/>
        <w:wordWrap w:val="off"/>
      </w:pPr>
      <w:r>
        <w:rPr>
          <w:rFonts w:ascii="Noto Serif CJK SC" w:hAnsi="Noto Serif CJK SC" w:eastAsia="Noto Serif CJK SC" w:cs="Noto Serif CJK SC"/>
          <w:lang w:val="en-US" w:eastAsia="zh-CN"/>
        </w:rPr>
        <w:t xml:space="preserve">第三，已部署流程在实践中是否维持了该项功能？相关证据包括：系统能否处理可预见的例外；受影响者能否获得可理解的通知；无障碍和语言需求是否得到满足；当事人能否对实质依据提出异议；不确定性和局限性是否会传递给有能力的审查者；审查者是否拥有足够的时间、权限和有效干预手段；失灵是否会触发升级处置；机构是否持续监测系统上线后的结果。这些都是部署控制级联中的变量。功能等效性应由控制路径证明，而不能仅凭“人在回路”这一标签认定。</w:t>
      </w:r>
    </w:p>
    <w:p>
      <w:pPr>
        <w:pStyle w:val="BodyText"/>
        <w:wordWrap w:val="off"/>
      </w:pPr>
      <w:r>
        <w:rPr>
          <w:rFonts w:ascii="Noto Serif CJK SC" w:hAnsi="Noto Serif CJK SC" w:eastAsia="Noto Serif CJK SC" w:cs="Noto Serif CJK SC"/>
          <w:lang w:val="en-US" w:eastAsia="zh-CN"/>
        </w:rPr>
        <w:t xml:space="preserve">第四，谁仍对履行和纠正负责？将任务交给软件，并不会把义务转移给软件。机构必须指定一名控制者，使其能够在自动化路径失灵时恢复服务、处理例外、纠正记录或安排替代方案。责任章程负责作出这一分配，定向证据开示规则则保全检验该分配所需的证据。已部署流程若实现法律要求的功能，义务即通过自动化得到履行；若未实现，技术的新颖性既不构成履行，也不构成免责理由。</w:t>
      </w:r>
    </w:p>
    <w:p>
      <w:pPr>
        <w:pStyle w:val="BodyText"/>
        <w:wordWrap w:val="off"/>
      </w:pPr>
      <w:r>
        <w:rPr>
          <w:rFonts w:ascii="Noto Serif CJK SC" w:hAnsi="Noto Serif CJK SC" w:eastAsia="Noto Serif CJK SC" w:cs="Noto Serif CJK SC"/>
          <w:lang w:val="en-US" w:eastAsia="zh-CN"/>
        </w:rPr>
        <w:t xml:space="preserve">该规则使法院能够作出范围明确的裁判。法院无须认定自动化服务在类别上必然劣于人工服务，也无须认定每位请求权人都有权获得个人关注，或某一种模型设计必须采用。法院只需识别作为前提的义务，明确该义务所保护的功能，审查已部署的控制路径，并判断责任机构是否提供了法律要求的履行。</w:t>
      </w:r>
    </w:p>
    <w:bookmarkEnd w:id="635"/>
    <w:bookmarkStart w:id="653" w:name="X3b1255c4a34b09d8d45691afa8fd8e19cc86f69"/>
    <w:p>
      <w:pPr>
        <w:pStyle w:val="Heading4"/>
        <w:wordWrap w:val="off"/>
      </w:pPr>
      <w:bookmarkStart w:id="636" w:name="x1-53000B"/>
      <w:r>
        <w:rPr>
          <w:rFonts w:ascii="Noto Sans CJK SC" w:hAnsi="Noto Sans CJK SC" w:eastAsia="Noto Sans CJK SC" w:cs="Noto Sans CJK SC"/>
          <w:lang w:val="en-US" w:eastAsia="zh-CN"/>
        </w:rPr>
        <w:t xml:space="preserve">（二）公共行政与获得有效处理路径的权利</w:t>
      </w:r>
      <w:bookmarkEnd w:id="636"/>
    </w:p>
    <w:p>
      <w:pPr>
        <w:pStyle w:val="FirstParagraph"/>
        <w:wordWrap w:val="off"/>
      </w:pPr>
      <w:bookmarkStart w:id="640" w:name="x1-53001f105"/>
      <w:bookmarkStart w:id="644" w:name="x1-53004f106"/>
      <w:r>
        <w:rPr>
          <w:rFonts w:ascii="Noto Serif CJK SC" w:hAnsi="Noto Serif CJK SC" w:eastAsia="Noto Serif CJK SC" w:cs="Noto Serif CJK SC"/>
          <w:lang w:val="en-US" w:eastAsia="zh-CN"/>
        </w:rPr>
        <w:t xml:space="preserve">公共福利案件表明，该规则早已潜藏于现有法理之中。在 K.W. ex rel. D.W. v. Armstrong 案中，爱达荷州使用一项预算工具，为发育障碍人士分配社区服务。相关通知既未充分披露个性化预算的计算方式，也未使受领人能够识别并质疑错误。第九巡回上诉法院以程序性正当程序为依据，维持了初步救济。</w:t>
      </w:r>
      <w:r>
        <w:rPr>
          <w:rStyle w:val="FootnoteReference"/>
        </w:rPr>
        <w:footnoteReference w:id="107"/>
      </w:r>
      <w:r>
        <w:rPr>
          <w:rFonts w:ascii="Noto Serif CJK SC" w:hAnsi="Noto Serif CJK SC" w:eastAsia="Noto Serif CJK SC" w:cs="Noto Serif CJK SC"/>
          <w:lang w:val="en-US" w:eastAsia="zh-CN"/>
        </w:rPr>
        <w:t xml:space="preserve">在 Arkansas Department of Human Services v. Ledgerwood 案中，评估方法的变更导致居家护理服务时数减少；阿肯色州最高法院维持了与该机构未遵守法定规则制定程序相关的临时禁令救济。</w:t>
      </w:r>
      <w:r>
        <w:rPr>
          <w:rStyle w:val="FootnoteReference"/>
        </w:rPr>
        <w:footnoteReference w:id="108"/>
      </w:r>
      <w:bookmarkEnd w:id="640"/>
      <w:bookmarkEnd w:id="644"/>
    </w:p>
    <w:p>
      <w:pPr>
        <w:pStyle w:val="BodyText"/>
        <w:wordWrap w:val="off"/>
      </w:pPr>
      <w:bookmarkStart w:id="648" w:name="x1-53007f107"/>
      <w:bookmarkStart w:id="652" w:name="x1-53010f108"/>
      <w:r>
        <w:rPr>
          <w:rFonts w:ascii="Noto Serif CJK SC" w:hAnsi="Noto Serif CJK SC" w:eastAsia="Noto Serif CJK SC" w:cs="Noto Serif CJK SC"/>
          <w:lang w:val="en-US" w:eastAsia="zh-CN"/>
        </w:rPr>
        <w:t xml:space="preserve">这两项裁判均未禁止算法分配，而是要求自动化始终受制于规范福利制度的法律。行政机构可以使用模型提高一致性或调配稀缺资源，但模型不能取代法律制度要求的通知、说明、规则制定或异议程序。Danielle Citron 关于技术性正当程序的论述揭示了其中的一般机制：自动化公共系统能够以规模化方式嵌入并固化政策选择与错误，而通知和听证仍围绕一次次人工决定设计。</w:t>
      </w:r>
      <w:r>
        <w:rPr>
          <w:rStyle w:val="FootnoteReference"/>
        </w:rPr>
        <w:footnoteReference w:id="109"/>
      </w:r>
      <w:r>
        <w:rPr>
          <w:rFonts w:ascii="Noto Serif CJK SC" w:hAnsi="Noto Serif CJK SC" w:eastAsia="Noto Serif CJK SC" w:cs="Noto Serif CJK SC"/>
          <w:lang w:val="en-US" w:eastAsia="zh-CN"/>
        </w:rPr>
        <w:t xml:space="preserve"> 可行的应对方式，是在系统层面的错误固化为持久的行政规则之前，保留可理解的决定依据、提出异议的机会以及纠正错误的权限。这些保障的规范效力源自既有公法，其中包括 Goldberg v. Kelly 案所体现的正当程序原则。</w:t>
      </w:r>
      <w:r>
        <w:rPr>
          <w:rStyle w:val="FootnoteReference"/>
        </w:rPr>
        <w:footnoteReference w:id="110"/>
      </w:r>
      <w:bookmarkEnd w:id="648"/>
      <w:bookmarkEnd w:id="652"/>
    </w:p>
    <w:p>
      <w:pPr>
        <w:pStyle w:val="BodyText"/>
        <w:wordWrap w:val="off"/>
      </w:pPr>
      <w:r>
        <w:rPr>
          <w:rFonts w:ascii="Noto Serif CJK SC" w:hAnsi="Noto Serif CJK SC" w:eastAsia="Noto Serif CJK SC" w:cs="Noto Serif CJK SC"/>
          <w:lang w:val="en-US" w:eastAsia="zh-CN"/>
        </w:rPr>
        <w:t xml:space="preserve">反替代原则为上述法理增添了一项控制检验。能够解释决定，并将有根据的异议转交给有权处理之官员的门户，可以改善程序。相反，聊天机器人若只是重复结论，不能揭示实质依据，并不断将福利受领人引回自身，那么即便它能够用自然语言回应，也并未因此形成复核。两者的差别，在于是否存在向上反馈及纠正权限。公共机关始终是义务主体，并且必须能够说明该路径最终通向何处。</w:t>
      </w:r>
    </w:p>
    <w:p>
      <w:pPr>
        <w:pStyle w:val="BodyText"/>
        <w:wordWrap w:val="off"/>
      </w:pPr>
      <w:r>
        <w:rPr>
          <w:rFonts w:ascii="Noto Serif CJK SC" w:hAnsi="Noto Serif CJK SC" w:eastAsia="Noto Serif CJK SC" w:cs="Noto Serif CJK SC"/>
          <w:lang w:val="en-US" w:eastAsia="zh-CN"/>
        </w:rPr>
        <w:t xml:space="preserve">能力分层同样适用上述分析。政府可以基于安全、能力或资源方面的理由，限制对工具、数据或模型的访问。但如果较低层级决定当事人能否获得某项既有权益，受影响者仍应享有适用法律所要求的说明、复核和合理便利。面向一般公众的聊天机器人不能替代申诉渠道，隐蔽的自动化限制也不能替代制定法要求由官员作出的、可追责的决定。</w:t>
      </w:r>
    </w:p>
    <w:bookmarkEnd w:id="653"/>
    <w:bookmarkStart w:id="671" w:name="Xb878f0c77de1185746239a62376432e35c536c4"/>
    <w:p>
      <w:pPr>
        <w:pStyle w:val="Heading4"/>
        <w:wordWrap w:val="off"/>
      </w:pPr>
      <w:bookmarkStart w:id="654" w:name="x1-54000C"/>
      <w:r>
        <w:rPr>
          <w:rFonts w:ascii="Noto Sans CJK SC" w:hAnsi="Noto Sans CJK SC" w:eastAsia="Noto Sans CJK SC" w:cs="Noto Sans CJK SC"/>
          <w:lang w:val="en-US" w:eastAsia="zh-CN"/>
        </w:rPr>
        <w:t xml:space="preserve">（三）照护、专业判断与关系型系统</w:t>
      </w:r>
      <w:bookmarkEnd w:id="654"/>
    </w:p>
    <w:p>
      <w:pPr>
        <w:pStyle w:val="FirstParagraph"/>
        <w:wordWrap w:val="off"/>
      </w:pPr>
      <w:r>
        <w:rPr>
          <w:rFonts w:ascii="Noto Serif CJK SC" w:hAnsi="Noto Serif CJK SC" w:eastAsia="Noto Serif CJK SC" w:cs="Noto Serif CJK SC"/>
          <w:lang w:val="en-US" w:eastAsia="zh-CN"/>
        </w:rPr>
        <w:t xml:space="preserve">医疗人工智能最清楚地说明了反替代原则如何肯定高价值自动化。受保护的功能，并不是要求人类手工完成每一步计算；而是在法律要求作出处方或照护决定时，专业判断仍须真实可用：决策者必须能够综合患者个体事实、偏好、不确定性、禁忌证、随访需要及模型之外的信息，并且有权拒绝、调整或停止拟议方案。只要保留这一功能，系统可以承担绝大部分分析工作。2026 年的一项医疗人工智能共识因此在提出准入评估与真实世界验证的同时，也要求多学科审查、可追溯性、持续监测、胜任能力以及熔断机制。近期研究进一步提出实质性监督的四项条件——认识能力、认知空间、决策权限和干预有效性——并将监督视为临床系统本身的属性，而非象征性的人类在场。</w:t>
      </w:r>
      <w:r>
        <w:rPr>
          <w:rStyle w:val="FootnoteReference"/>
        </w:rPr>
        <w:footnoteReference w:id="111"/>
      </w:r>
    </w:p>
    <w:p>
      <w:pPr>
        <w:pStyle w:val="BodyText"/>
        <w:wordWrap w:val="off"/>
      </w:pPr>
      <w:r>
        <w:rPr>
          <w:rFonts w:ascii="Noto Serif CJK SC" w:hAnsi="Noto Serif CJK SC" w:eastAsia="Noto Serif CJK SC" w:cs="Noto Serif CJK SC"/>
          <w:lang w:val="en-US" w:eastAsia="zh-CN"/>
        </w:rPr>
        <w:t xml:space="preserve">Eileanor LaRocco 等人 2026 年的预印本，为这种功能性理解提供了一项异常直接的临床衡量。研究对 136 名具有美国处方权限的临床人员进行调查，提出自主开具处方所需的三项最低架构条件：经过校准、能够控制行动和升级处置的逐项预测置信度；分别传达由模型知识不足产生的认知不确定性，以及由真实临床歧义产生的偶然不确定性；以及在决策时提供足以支持审计与责任分配的推理透明度。</w:t>
      </w:r>
      <w:r>
        <w:rPr>
          <w:rStyle w:val="FootnoteReference"/>
        </w:rPr>
        <w:footnoteReference w:id="112"/>
      </w:r>
    </w:p>
    <w:p>
      <w:pPr>
        <w:pStyle w:val="BodyText"/>
        <w:wordWrap w:val="off"/>
      </w:pPr>
      <w:r>
        <w:rPr>
          <w:rFonts w:ascii="Noto Serif CJK SC" w:hAnsi="Noto Serif CJK SC" w:eastAsia="Noto Serif CJK SC" w:cs="Noto Serif CJK SC"/>
          <w:lang w:val="en-US" w:eastAsia="zh-CN"/>
        </w:rPr>
        <w:t xml:space="preserve">这些结果既不确立注意标准，也不确立法律责任规则；它们识别的是，临床人员愿意进入可能承担专业责任的决策位置时所要求的条件。没有临床人员签署认可时，对自主处方的基线支持度较低。67.4% 的作答者选择了最强选项，表示若没有经过校准的升级机制，便不会允许人工智能代理开具处方。在表示真实临床歧义的情景中，受访者更偏好汇总竞争性方案；在表示模型知识不足的情景中，则显著转向不作出处方决定。在全部四个不良结果情景中，受访者赋予组织主体的责任均高于临床人员与患者；当系统传达置信度、升级案件且临床人员在记录理由后表示同意时，组织与个人之间的责任差距有所缩小。</w:t>
      </w:r>
      <w:r>
        <w:rPr>
          <w:rStyle w:val="FootnoteReference"/>
        </w:rPr>
        <w:footnoteReference w:id="113"/>
      </w:r>
    </w:p>
    <w:p>
      <w:pPr>
        <w:pStyle w:val="BodyText"/>
        <w:wordWrap w:val="off"/>
      </w:pPr>
      <w:r>
        <w:rPr>
          <w:rFonts w:ascii="Noto Serif CJK SC" w:hAnsi="Noto Serif CJK SC" w:eastAsia="Noto Serif CJK SC" w:cs="Noto Serif CJK SC"/>
          <w:lang w:val="en-US" w:eastAsia="zh-CN"/>
        </w:rPr>
        <w:t xml:space="preserve">这里真正重要的是结果指向。问卷并未显示安全要求导致僵局；它表明，拟议特征可以通过保留临床人员的实质认知位置来提高接受度——同时也会消解“自主”通常所指的相当一部分内容。不能把这一发现简化成要求在答案后附上引文。责任情景真正检验的是，临床人员是否处于这样的认识位置：能够在不确定性已被明确呈现的情况下作出实质判断。这正是反替代原则的临床形态：自动化只有在保留受保护的专业判断时，才是在履行专业义务；若只是把某个人的名字附着在一个他无法真正评估的行动上，则不构成履行。</w:t>
      </w:r>
    </w:p>
    <w:p>
      <w:pPr>
        <w:pStyle w:val="BodyText"/>
        <w:wordWrap w:val="off"/>
      </w:pPr>
      <w:r>
        <w:rPr>
          <w:rFonts w:ascii="Noto Serif CJK SC" w:hAnsi="Noto Serif CJK SC" w:eastAsia="Noto Serif CJK SC" w:cs="Noto Serif CJK SC"/>
          <w:lang w:val="en-US" w:eastAsia="zh-CN"/>
        </w:rPr>
        <w:t xml:space="preserve">这一转译也改变了技术审查对象。该论文提出的是模型层面的要求；实际部署的处方代理却可能由检索、工具、子模型、确定性规则和重排序共同组成。某一组件经过校准的置信度，并不会自动表达最终行动的置信度；模型层面的认知不确定性与偶然不确定性分类，也未必涵盖病历缺失、工具失灵或工作流程其他环节引入的歧义。该拓展属于本文的推论，而非该问卷研究的发现。因此，法律上的相关要求应落实到部署编排层，而不只是模型层：已部署流程必须暴露与行动相关的证据和局限，依据经测试的标准触发升级，保留行动如何组合形成的记录，并让具备资格的临床人员拥有足够的信息、时间、权限与制度保障，以拒绝执行。控制级联识别信号在哪一层产生、转换或遭压制；责任章程则配置门控、界面、监测与停止权限。</w:t>
      </w:r>
    </w:p>
    <w:p>
      <w:pPr>
        <w:pStyle w:val="BodyText"/>
        <w:wordWrap w:val="off"/>
      </w:pPr>
      <w:r>
        <w:rPr>
          <w:rFonts w:ascii="Noto Serif CJK SC" w:hAnsi="Noto Serif CJK SC" w:eastAsia="Noto Serif CJK SC" w:cs="Noto Serif CJK SC"/>
          <w:lang w:val="en-US" w:eastAsia="zh-CN"/>
        </w:rPr>
        <w:t xml:space="preserve">犹他州的 Doctronic 试点使这一履行问题变得具体。其监管缓解协议最初设想，按阶段从医生事前审查转向事后审查，再转向对处方续签进行抽样审计。犹他州随后收紧了阶段转换门槛；当前官方材料显示，试点仍处于第一阶段，每一项请求都须由持牌医疗执业人员授权。</w:t>
      </w:r>
      <w:r>
        <w:rPr>
          <w:rStyle w:val="FootnoteReference"/>
        </w:rPr>
        <w:footnoteReference w:id="114"/>
      </w:r>
      <w:r>
        <w:rPr>
          <w:rFonts w:ascii="Noto Serif CJK SC" w:hAnsi="Noto Serif CJK SC" w:eastAsia="Noto Serif CJK SC" w:cs="Noto Serif CJK SC"/>
          <w:lang w:val="en-US" w:eastAsia="zh-CN"/>
        </w:rPr>
        <w:t xml:space="preserve">最初的验证审查人本身并不能回答反替代原则提出的问题。如果将来取消逐案审查，机构必须说明究竟由什么继续履行法律所保护的功能：哪些条件强制触发升级，哪些信息会送达有权采取行动的临床人员，谁负责监测漂移与例外，又由谁暂停系统。监管宽容改变的是执法姿态；它本身并不构成专业判断或后续随访。</w:t>
      </w:r>
    </w:p>
    <w:p>
      <w:pPr>
        <w:pStyle w:val="BodyText"/>
        <w:wordWrap w:val="off"/>
      </w:pPr>
      <w:r>
        <w:rPr>
          <w:rFonts w:ascii="Noto Serif CJK SC" w:hAnsi="Noto Serif CJK SC" w:eastAsia="Noto Serif CJK SC" w:cs="Noto Serif CJK SC"/>
          <w:lang w:val="en-US" w:eastAsia="zh-CN"/>
        </w:rPr>
        <w:t xml:space="preserve">关系型人工智能提供了不同的机遇，却适用相同的法律结构。陪伴系统可以缓解孤独、提供翻译和提醒、帮助用户演练艰难的交流，或延伸支持性接触。但其可用性并不授权照护机构撤回其他法律要求配置的人员，不授权保险人拒绝承保范围内的治疗，也不授权公共项目以无休止的自动化循环取代可及的服务路径。真正相关的比较，不是抽象意义上的人类与机器之争，而是支配性义务所承诺的保护，与部署实际上提供的保护之间的比较。</w:t>
      </w:r>
    </w:p>
    <w:p>
      <w:pPr>
        <w:pStyle w:val="BodyText"/>
        <w:wordWrap w:val="off"/>
      </w:pPr>
      <w:bookmarkStart w:id="670" w:name="x1-54008f111"/>
      <w:r>
        <w:rPr>
          <w:rFonts w:ascii="Noto Serif CJK SC" w:hAnsi="Noto Serif CJK SC" w:eastAsia="Noto Serif CJK SC" w:cs="Noto Serif CJK SC"/>
          <w:lang w:val="en-US" w:eastAsia="zh-CN"/>
        </w:rPr>
        <w:t xml:space="preserve">该原则也约束由提供者控制的过渡。用户自愿使用的陪伴服务不会因此成为其所有的财产，提供者也不因此负有无限期运营每一种人格设定的一般义务。但是，当消费者保护法、残障法、健康法、合同法或其他法律独立承认相关义务时，可预见的依赖可能使连续性通知、数据导出、危机保障和安全退出成为义务履行的组成部分。关于陪伴关系丧失和反复关系性接触的研究，已经使这些后果具有足够的可预见性，因而可被纳入过程模型。</w:t>
      </w:r>
      <w:r>
        <w:rPr>
          <w:rStyle w:val="FootnoteReference"/>
        </w:rPr>
        <w:footnoteReference w:id="115"/>
      </w:r>
      <w:r>
        <w:rPr>
          <w:rFonts w:ascii="Noto Serif CJK SC" w:hAnsi="Noto Serif CJK SC" w:eastAsia="Noto Serif CJK SC" w:cs="Noto Serif CJK SC"/>
          <w:lang w:val="en-US" w:eastAsia="zh-CN"/>
        </w:rPr>
        <w:t xml:space="preserve">受保护的利益，是用户的自主、心理健康、安全以及获得可理解之过渡安排的机会，而不是对人工关系的所有权。</w:t>
      </w:r>
      <w:bookmarkEnd w:id="670"/>
    </w:p>
    <w:bookmarkEnd w:id="671"/>
    <w:bookmarkStart w:id="673" w:name="X90e00dee5ac1be3ff8e3bef1091cb49e6bf34fa"/>
    <w:p>
      <w:pPr>
        <w:pStyle w:val="Heading4"/>
        <w:wordWrap w:val="off"/>
      </w:pPr>
      <w:bookmarkStart w:id="672" w:name="x1-55000D"/>
      <w:r>
        <w:rPr>
          <w:rFonts w:ascii="Noto Sans CJK SC" w:hAnsi="Noto Sans CJK SC" w:eastAsia="Noto Sans CJK SC" w:cs="Noto Sans CJK SC"/>
          <w:lang w:val="en-US" w:eastAsia="zh-CN"/>
        </w:rPr>
        <w:t xml:space="preserve">（四）自动化实际履行义务不构成替代</w:t>
      </w:r>
      <w:bookmarkEnd w:id="672"/>
    </w:p>
    <w:p>
      <w:pPr>
        <w:pStyle w:val="FirstParagraph"/>
        <w:wordWrap w:val="off"/>
      </w:pPr>
      <w:r>
        <w:rPr>
          <w:rFonts w:ascii="Noto Serif CJK SC" w:hAnsi="Noto Serif CJK SC" w:eastAsia="Noto Serif CJK SC" w:cs="Noto Serif CJK SC"/>
          <w:lang w:val="en-US" w:eastAsia="zh-CN"/>
        </w:rPr>
        <w:t xml:space="preserve">该原则既不冻结有缺陷的基准，也不创设获得人工渠道的权利。其适用范围由第一问——独立义务的来源和范围——界定。若有关个人或服务不在任何此类义务覆盖之内，便不存在可被自动化取代的义务，该原则也不适用。若义务确实存在，能够扩大农村地区可及性、减少延误或降低成本的自动化路径，可能恰是更优的履行方式。这些收益应计入功能审查，但不会改变法律所保护的功能。正确的比较，不是自动化与法律从未承诺的理想化人工服务，而是支配性法律所要求的保护，与部署路径实际提供的保护。</w:t>
      </w:r>
    </w:p>
    <w:p>
      <w:pPr>
        <w:pStyle w:val="BodyText"/>
        <w:wordWrap w:val="off"/>
      </w:pPr>
      <w:r>
        <w:rPr>
          <w:rFonts w:ascii="Noto Serif CJK SC" w:hAnsi="Noto Serif CJK SC" w:eastAsia="Noto Serif CJK SC" w:cs="Noto Serif CJK SC"/>
          <w:lang w:val="en-US" w:eastAsia="zh-CN"/>
        </w:rPr>
        <w:t xml:space="preserve">反替代原则的边界具有肯定性：它保护真正实现法律功能的自动化。多语种福利助手若能使通知易于理解，临床系统若能为专业人员提供更好的证据和可实际运用的人工覆盖权限，或陪伴服务若能补充人工支持，都可以强化作为基础的权利或义务。要求机构明确功能、保留反馈并维持纠正机制，可以使这些部署更加可靠。</w:t>
      </w:r>
    </w:p>
    <w:p>
      <w:pPr>
        <w:pStyle w:val="BodyText"/>
        <w:wordWrap w:val="off"/>
      </w:pPr>
      <w:r>
        <w:rPr>
          <w:rFonts w:ascii="Noto Serif CJK SC" w:hAnsi="Noto Serif CJK SC" w:eastAsia="Noto Serif CJK SC" w:cs="Noto Serif CJK SC"/>
          <w:lang w:val="en-US" w:eastAsia="zh-CN"/>
        </w:rPr>
        <w:t xml:space="preserve">两项区分使该规则保持精确。第一项区分，是受保护的功能与被要求采用的媒介之间的区分。除非适用法律另有规定，一般并不存在与人交谈、由某名特定员工提供服务、使用偏好的模型，或永久访问某种商业人格设定的权利。第二项区分，是人的责任与象征性“人在场”之间的区分。维持义务并不要求某个人重复模型已经完成的工作，而是要求保留一条制度化路径，使受益人能够理解、质疑并获得该义务所保障的履行。</w:t>
      </w:r>
    </w:p>
    <w:p>
      <w:pPr>
        <w:pStyle w:val="BodyText"/>
        <w:wordWrap w:val="off"/>
      </w:pPr>
      <w:r>
        <w:rPr>
          <w:rFonts w:ascii="Noto Serif CJK SC" w:hAnsi="Noto Serif CJK SC" w:eastAsia="Noto Serif CJK SC" w:cs="Noto Serif CJK SC"/>
          <w:lang w:val="en-US" w:eastAsia="zh-CN"/>
        </w:rPr>
        <w:t xml:space="preserve">因此，反替代原则补全了人工智能责任的制度架构。责任入口规则防止企业在内部推给身份不明的员工，或在外部推给人工智能体；反替代原则则防止义务主体以自动化服务仅仅存在为由推卸责任。在两种情形下，部署控制级联提出的都是同一个问题：谁掌握使法律保护真正生效所需的信息和权限？</w:t>
      </w:r>
    </w:p>
    <w:bookmarkEnd w:id="673"/>
    <w:bookmarkEnd w:id="674"/>
    <w:bookmarkStart w:id="720" w:name="capability-boundaries-and-state-power"/>
    <w:p>
      <w:pPr>
        <w:pStyle w:val="Heading3"/>
        <w:wordWrap w:val="off"/>
      </w:pPr>
      <w:bookmarkStart w:id="675" w:name="x1-56000VI"/>
      <w:r>
        <w:rPr>
          <w:rFonts w:ascii="Noto Sans CJK SC" w:hAnsi="Noto Sans CJK SC" w:eastAsia="Noto Sans CJK SC" w:cs="Noto Sans CJK SC"/>
          <w:lang w:val="en-US" w:eastAsia="zh-CN"/>
        </w:rPr>
        <w:t xml:space="preserve">六　能力边界与国家权力</w:t>
      </w:r>
      <w:bookmarkEnd w:id="675"/>
    </w:p>
    <w:p>
      <w:pPr>
        <w:pStyle w:val="FirstParagraph"/>
        <w:wordWrap w:val="off"/>
      </w:pPr>
      <w:r>
        <w:rPr>
          <w:rFonts w:ascii="Noto Serif CJK SC" w:hAnsi="Noto Serif CJK SC" w:eastAsia="Noto Serif CJK SC" w:cs="Noto Serif CJK SC"/>
          <w:lang w:val="en-US" w:eastAsia="zh-CN"/>
        </w:rPr>
        <w:t xml:space="preserve">迄今形成的框架旨在分配责任：它识别法律主体，允许功能分类，描绘控制关系，并配置对外责任和内部责任。但责任分配本身既不要求每名用户获得全部能力，也不允许政府强制实现其所希望的每一种用途。本部分将从同一控制分析中推导出两项边界。</w:t>
      </w:r>
    </w:p>
    <w:p>
      <w:pPr>
        <w:pStyle w:val="BodyText"/>
        <w:wordWrap w:val="off"/>
      </w:pPr>
      <w:r>
        <w:rPr>
          <w:rFonts w:ascii="Noto Serif CJK SC" w:hAnsi="Noto Serif CJK SC" w:eastAsia="Noto Serif CJK SC" w:cs="Noto Serif CJK SC"/>
          <w:lang w:val="en-US" w:eastAsia="zh-CN"/>
        </w:rPr>
        <w:t xml:space="preserve">第一，不同主体获得不同能力可以具有正当性，但具有重大后果的分层应当符合比例原则、保持透明、可受复核，并允许升级处置。第二，政府可以选择其工具和技术规格，尤其是在国家安全领域；但采购权限并非一项普遍权力，使政府得以惩罚供应商受保护的拒绝，或征用其技术以实现一切合法用途。第五部分已经针对照护与公共服务提出平行边界：自动化可以履行既有义务，但其可用性本身并不解除该义务。</w:t>
      </w:r>
    </w:p>
    <w:bookmarkStart w:id="691" w:name="X7217000e212fc635153314ac8fa02768838a58b"/>
    <w:p>
      <w:pPr>
        <w:pStyle w:val="Heading4"/>
        <w:wordWrap w:val="off"/>
      </w:pPr>
      <w:bookmarkStart w:id="676" w:name="x1-57000A"/>
      <w:r>
        <w:rPr>
          <w:rFonts w:ascii="Noto Sans CJK SC" w:hAnsi="Noto Sans CJK SC" w:eastAsia="Noto Sans CJK SC" w:cs="Noto Sans CJK SC"/>
          <w:lang w:val="en-US" w:eastAsia="zh-CN"/>
        </w:rPr>
        <w:t xml:space="preserve">（一）能力分层不等于主体地位分层</w:t>
      </w:r>
      <w:bookmarkEnd w:id="676"/>
    </w:p>
    <w:p>
      <w:pPr>
        <w:pStyle w:val="FirstParagraph"/>
        <w:wordWrap w:val="off"/>
      </w:pPr>
      <w:r>
        <w:rPr>
          <w:rFonts w:ascii="Noto Serif CJK SC" w:hAnsi="Noto Serif CJK SC" w:eastAsia="Noto Serif CJK SC" w:cs="Noto Serif CJK SC"/>
          <w:lang w:val="en-US" w:eastAsia="zh-CN"/>
        </w:rPr>
        <w:t xml:space="preserve">人工智能系统已经存在分层。普通公众用户可能只能使用工具有限的对话界面；专业人员可能获得更长的上下文窗口、领域数据和可审计的工作流程集成；研究人员可能获得模型权重或沙盒；政府可能获得涉密托管、专用数据和运作工具；企业也可能为有支付能力的客户保留更高的速率上限和支持服务。这些差异可能反映安全、胜任能力、稀缺性、法律义务或商业选择，但并不会使系统成为不同类型的法律主体。</w:t>
      </w:r>
    </w:p>
    <w:p>
      <w:pPr>
        <w:pStyle w:val="BodyText"/>
        <w:wordWrap w:val="off"/>
      </w:pPr>
      <w:bookmarkStart w:id="680" w:name="x1-57001f112"/>
      <w:r>
        <w:rPr>
          <w:rFonts w:ascii="Noto Serif CJK SC" w:hAnsi="Noto Serif CJK SC" w:eastAsia="Noto Serif CJK SC" w:cs="Noto Serif CJK SC"/>
          <w:lang w:val="en-US" w:eastAsia="zh-CN"/>
        </w:rPr>
        <w:t xml:space="preserve">因此，第一种错误是宣称模型访问不平等当然违法。法律经常允许主体以不同条件接触危险设备、持牌服务、安全数据和稀缺资源。医疗部署不应向每一名普通公众用户开放患者记录和医嘱工具；政府系统可能要求在具备安全许可的环境中运行；研究发布也可能需要消费者应用无法提供的控制措施。风险分级监管本身就以差异化为基础。例如，《欧盟人工智能法》根据系统的预期用途、相关主体和风险配置义务，而非要求所有主体都获得同一种能力。</w:t>
      </w:r>
      <w:r>
        <w:rPr>
          <w:rStyle w:val="FootnoteReference"/>
        </w:rPr>
        <w:footnoteReference w:id="116"/>
      </w:r>
      <w:bookmarkEnd w:id="680"/>
    </w:p>
    <w:p>
      <w:pPr>
        <w:pStyle w:val="BodyText"/>
        <w:wordWrap w:val="off"/>
      </w:pPr>
      <w:r>
        <w:rPr>
          <w:rFonts w:ascii="Noto Serif CJK SC" w:hAnsi="Noto Serif CJK SC" w:eastAsia="Noto Serif CJK SC" w:cs="Noto Serif CJK SC"/>
          <w:lang w:val="en-US" w:eastAsia="zh-CN"/>
        </w:rPr>
        <w:t xml:space="preserve">与之相反的错误，是把每一道能力边界都视为私人的技术事实。分层可能决定谁能获得教育上的合理便利，谁能质疑福利决定，哪名临床医生能够看到不确定性信息，或谁的账户会被自动封禁。在这些场景中，相关提供者或机构仍受通常的反歧视法、消费者保护法、合同法、行政法和宪法规则约束。“层级由模型分配”并不会改变法律主体，也不会改变决定的性质。</w:t>
      </w:r>
    </w:p>
    <w:p>
      <w:pPr>
        <w:pStyle w:val="BodyText"/>
        <w:wordWrap w:val="off"/>
      </w:pPr>
      <w:r>
        <w:rPr>
          <w:rFonts w:ascii="Noto Serif CJK SC" w:hAnsi="Noto Serif CJK SC" w:eastAsia="Noto Serif CJK SC" w:cs="Noto Serif CJK SC"/>
          <w:lang w:val="en-US" w:eastAsia="zh-CN"/>
        </w:rPr>
        <w:t xml:space="preserve">以下四项治理条件，可以在不要求能力一律相同的前提下，使分层清晰可理解。</w:t>
      </w:r>
    </w:p>
    <w:p>
      <w:pPr>
        <w:pStyle w:val="DefinitionTerm"/>
        <w:wordWrap w:val="off"/>
      </w:pPr>
      <w:r>
        <w:t xml:space="preserve">1.</w:t>
      </w:r>
    </w:p>
    <w:p>
      <w:pPr>
        <w:pStyle w:val="Definition"/>
        <w:wordWrap w:val="off"/>
      </w:pPr>
      <w:r>
        <w:rPr>
          <w:rFonts w:ascii="Noto Serif CJK SC" w:hAnsi="Noto Serif CJK SC" w:eastAsia="Noto Serif CJK SC" w:cs="Noto Serif CJK SC"/>
          <w:lang w:val="en-US" w:eastAsia="zh-CN"/>
        </w:rPr>
        <w:t xml:space="preserve">比例性：限制应当与所主张的实质风险、资源条件或法律约束相匹配。为自主执行设计的限制，不应在不作说明的情况下连无害的解释功能也一并禁用；安全规则也不应沦为排斥受保护群体的借口。</w:t>
      </w:r>
    </w:p>
    <w:p>
      <w:pPr>
        <w:pStyle w:val="DefinitionTerm"/>
        <w:wordWrap w:val="off"/>
      </w:pPr>
      <w:r>
        <w:t xml:space="preserve">2.</w:t>
      </w:r>
    </w:p>
    <w:p>
      <w:pPr>
        <w:pStyle w:val="Definition"/>
        <w:wordWrap w:val="off"/>
      </w:pPr>
      <w:r>
        <w:rPr>
          <w:rFonts w:ascii="Noto Serif CJK SC" w:hAnsi="Noto Serif CJK SC" w:eastAsia="Noto Serif CJK SC" w:cs="Noto Serif CJK SC"/>
          <w:lang w:val="en-US" w:eastAsia="zh-CN"/>
        </w:rPr>
        <w:t xml:space="preserve">透明度：在可能产生重大后果的场景中，受影响者应当知道其可获得的系统能力已受限制、理由所属类别、决定者以及寻求复核的路径。透明并不要求公开漏洞利用细节、模型权重、机密信息或他人数据。</w:t>
      </w:r>
    </w:p>
    <w:p>
      <w:pPr>
        <w:pStyle w:val="DefinitionTerm"/>
        <w:wordWrap w:val="off"/>
      </w:pPr>
      <w:r>
        <w:t xml:space="preserve">3.</w:t>
      </w:r>
    </w:p>
    <w:p>
      <w:pPr>
        <w:pStyle w:val="Definition"/>
        <w:wordWrap w:val="off"/>
      </w:pPr>
      <w:r>
        <w:rPr>
          <w:rFonts w:ascii="Noto Serif CJK SC" w:hAnsi="Noto Serif CJK SC" w:eastAsia="Noto Serif CJK SC" w:cs="Noto Serif CJK SC"/>
          <w:lang w:val="en-US" w:eastAsia="zh-CN"/>
        </w:rPr>
        <w:t xml:space="preserve">复核：当层级分配错误、账户遭自动封禁，或具有重大后果的能力被拒绝时，当事人应能向掌握相关信息并有权改变决定的主体提出异议。所需程序取决于作为基础的法律利益；消费者对功能的请求与基本福利被终止，二者不可等量齐观。</w:t>
      </w:r>
    </w:p>
    <w:p>
      <w:pPr>
        <w:pStyle w:val="DefinitionTerm"/>
        <w:wordWrap w:val="off"/>
      </w:pPr>
      <w:r>
        <w:t xml:space="preserve">4.</w:t>
      </w:r>
    </w:p>
    <w:p>
      <w:pPr>
        <w:pStyle w:val="Definition"/>
        <w:wordWrap w:val="off"/>
      </w:pPr>
      <w:r>
        <w:rPr>
          <w:rFonts w:ascii="Noto Serif CJK SC" w:hAnsi="Noto Serif CJK SC" w:eastAsia="Noto Serif CJK SC" w:cs="Noto Serif CJK SC"/>
          <w:lang w:val="en-US" w:eastAsia="zh-CN"/>
        </w:rPr>
        <w:t xml:space="preserve">升级处置：如果具备资格的主体或增设控制措施后能够安全使用更广泛的能力，系统应当指明通向该配置的路径，而不能把面向公众的最低层级视为一切可能服务的上限。</w:t>
      </w:r>
    </w:p>
    <w:p>
      <w:pPr>
        <w:pStyle w:val="FirstParagraph"/>
        <w:wordWrap w:val="off"/>
      </w:pPr>
      <w:bookmarkStart w:id="690" w:name="x1-57008f113"/>
      <w:r>
        <w:rPr>
          <w:rFonts w:ascii="Noto Serif CJK SC" w:hAnsi="Noto Serif CJK SC" w:eastAsia="Noto Serif CJK SC" w:cs="Noto Serif CJK SC"/>
          <w:lang w:val="en-US" w:eastAsia="zh-CN"/>
        </w:rPr>
        <w:t xml:space="preserve">这些条件源于控制关系，而非一项新的平等权益。NIST《人工智能风险管理框架》及其生成式人工智能配置文件要求组织记录角色、情境、人工监督、访问凭证、反馈、影响和变更控制；部署控制级联则识别谁有权复核并变更层级。</w:t>
      </w:r>
      <w:r>
        <w:rPr>
          <w:rStyle w:val="FootnoteReference"/>
        </w:rPr>
        <w:footnoteReference w:id="117"/>
      </w:r>
      <w:r>
        <w:rPr>
          <w:rFonts w:ascii="Noto Serif CJK SC" w:hAnsi="Noto Serif CJK SC" w:eastAsia="Noto Serif CJK SC" w:cs="Noto Serif CJK SC"/>
          <w:lang w:val="en-US" w:eastAsia="zh-CN"/>
        </w:rPr>
        <w:t xml:space="preserve"> 当政府行为影响受保护利益时，公法要求可以进一步增加通知与听证。民权法可以禁止其适用范围内的标准或效果。消费者保护法可以规制这样的误导性陈述：声称所有用户均可获得某项能力，而隐蔽规则实际上另有规定。这一最低限度框架保留各项法律依据的完整效力，并使其规制对象清晰可见。</w:t>
      </w:r>
      <w:bookmarkEnd w:id="690"/>
    </w:p>
    <w:p>
      <w:pPr>
        <w:pStyle w:val="BodyText"/>
        <w:wordWrap w:val="off"/>
      </w:pPr>
      <w:r>
        <w:rPr>
          <w:rFonts w:ascii="Noto Serif CJK SC" w:hAnsi="Noto Serif CJK SC" w:eastAsia="Noto Serif CJK SC" w:cs="Noto Serif CJK SC"/>
          <w:lang w:val="en-US" w:eastAsia="zh-CN"/>
        </w:rPr>
        <w:t xml:space="preserve">能力与责任还应保持一致。向专业部署者提供强大工具却隐瞒必要风险信息的供应商，与同时提供评估、培训、监测和停止控制的供应商，形成的责任记录截然不同。部署者若主动请求受限能力，此后又无视其使用条件，就不能仅凭供应商的品牌为自身行为开脱。无人能够解释或复核的自动化关卡，表明部署控制级联缺失了控制者。法律问题不在于是否存在分层，而在于：对具有重大后果之边界负责的主体，能否依据适用规则说明其正当理由并予以纠正。</w:t>
      </w:r>
    </w:p>
    <w:bookmarkEnd w:id="691"/>
    <w:bookmarkStart w:id="719" w:name="X82d192677fe1cd655f17f9f66c5da82c5c928e3"/>
    <w:p>
      <w:pPr>
        <w:pStyle w:val="Heading4"/>
        <w:wordWrap w:val="off"/>
      </w:pPr>
      <w:bookmarkStart w:id="692" w:name="x1-58000B"/>
      <w:r>
        <w:rPr>
          <w:rFonts w:ascii="Noto Sans CJK SC" w:hAnsi="Noto Sans CJK SC" w:eastAsia="Noto Sans CJK SC" w:cs="Noto Sans CJK SC"/>
          <w:lang w:val="en-US" w:eastAsia="zh-CN"/>
        </w:rPr>
        <w:t xml:space="preserve">（二）国家权力：采购、附加条件与报复</w:t>
      </w:r>
      <w:bookmarkEnd w:id="692"/>
    </w:p>
    <w:p>
      <w:pPr>
        <w:pStyle w:val="FirstParagraph"/>
        <w:wordWrap w:val="off"/>
      </w:pPr>
      <w:r>
        <w:rPr>
          <w:rFonts w:ascii="Noto Serif CJK SC" w:hAnsi="Noto Serif CJK SC" w:eastAsia="Noto Serif CJK SC" w:cs="Noto Serif CJK SC"/>
          <w:lang w:val="en-US" w:eastAsia="zh-CN"/>
        </w:rPr>
        <w:t xml:space="preserve">国家在人工智能治理中身兼两种角色：既是能够施加公法义务的监管者，也是能够通过合同塑造私人系统的巨量采购者。两种权力都有其正当性，也都有边界。2026 年 Anthropic 与美国战争部之间的争议，是目前最清晰的分析支点。</w:t>
      </w:r>
    </w:p>
    <w:bookmarkStart w:id="718" w:name="the-anthropicpentagon-controversy"/>
    <w:p>
      <w:pPr>
        <w:pStyle w:val="Heading5"/>
        <w:wordWrap w:val="off"/>
      </w:pPr>
      <w:bookmarkStart w:id="693" w:name="x1-590001"/>
      <w:r>
        <w:rPr>
          <w:rFonts w:ascii="Noto Sans CJK SC" w:hAnsi="Noto Sans CJK SC" w:eastAsia="Noto Sans CJK SC" w:cs="Noto Sans CJK SC"/>
          <w:lang w:val="en-US" w:eastAsia="zh-CN"/>
        </w:rPr>
        <w:t xml:space="preserve">1　Anthropic—五角大楼争议</w:t>
      </w:r>
      <w:bookmarkEnd w:id="693"/>
    </w:p>
    <w:p>
      <w:pPr>
        <w:pStyle w:val="FirstParagraph"/>
        <w:wordWrap w:val="off"/>
      </w:pPr>
      <w:bookmarkStart w:id="697" w:name="x1-59001f114"/>
      <w:r>
        <w:rPr>
          <w:rFonts w:ascii="Noto Serif CJK SC" w:hAnsi="Noto Serif CJK SC" w:eastAsia="Noto Serif CJK SC" w:cs="Noto Serif CJK SC"/>
          <w:lang w:val="en-US" w:eastAsia="zh-CN"/>
        </w:rPr>
        <w:t xml:space="preserve">Anthropic 开发了 Claude，并自 2024 年起通过商业和涉密计算环境，向美国联邦情报与国防用户提供不同版本。2025 年的一项协议将金额上限设为 2 亿美元。政府随后要求授权“所有合法用途”；Anthropic 大幅收窄了使用限制，但仍在合同中保留两条红线：致命性自主作战用途和对美国人的大规模监控。已部署的模型是静态版本；Anthropic 无法查看政府提示词，无法从技术上阻断特定用途，也无法通过后门访问相关系统。尽管截止日期后双方仍继续谈判与协作，但在政府设定的 2 月 27 日期限前未能达成协议。根据地区法院的案件记录，随后发生三项受争议的行动。2 月 27 日的一项总统指令命令全政府停止使用，并设六个月过渡期。同日晚些时候，国防部长指示启动供应链指定程序，同时立即宣布一项范围更广、涵盖军方承包商和供应商的禁令。3 月 3 日作出、3 月 4 日通知的决定，继而正式援引 10 U.S.C. § 3252，将其适用于国家安全系统采购。</w:t>
      </w:r>
      <w:r>
        <w:rPr>
          <w:rStyle w:val="FootnoteReference"/>
        </w:rPr>
        <w:footnoteReference w:id="118"/>
      </w:r>
      <w:bookmarkEnd w:id="697"/>
    </w:p>
    <w:p>
      <w:pPr>
        <w:pStyle w:val="BodyText"/>
        <w:wordWrap w:val="off"/>
      </w:pPr>
      <w:bookmarkStart w:id="701" w:name="x1-59004f115"/>
      <w:bookmarkStart w:id="707" w:name="x1-59007f116"/>
      <w:r>
        <w:rPr>
          <w:rFonts w:ascii="Noto Serif CJK SC" w:hAnsi="Noto Serif CJK SC" w:eastAsia="Noto Serif CJK SC" w:cs="Noto Serif CJK SC"/>
          <w:lang w:val="en-US" w:eastAsia="zh-CN"/>
        </w:rPr>
        <w:t xml:space="preserve">2026 年 3 月，Rita F. Lin 法官发布初步禁令，禁止实施上述指令和指定。该命令强调了一条贯穿各程序阶段的边界：它并不要求政府使用 Anthropic 的产品，也不妨碍政府依法转向其他提供者。</w:t>
      </w:r>
      <w:r>
        <w:rPr>
          <w:rStyle w:val="FootnoteReference"/>
        </w:rPr>
        <w:footnoteReference w:id="119"/>
      </w:r>
      <w:r>
        <w:rPr>
          <w:rFonts w:ascii="Noto Serif CJK SC" w:hAnsi="Noto Serif CJK SC" w:eastAsia="Noto Serif CJK SC" w:cs="Noto Serif CJK SC"/>
          <w:lang w:val="en-US" w:eastAsia="zh-CN"/>
        </w:rPr>
        <w:t xml:space="preserve"> 2026 年 8 月 27 日，地区法院就 Anthropic 提出的《美国宪法》第一修正案报复主张、第五修正案“污名附加损害”（stigma-plus）正当程序主张以及《行政程序法》核心主张作出简易判决，签发终局判决并结案。法院认为，10 U.S.C. § 3252 针对的是敌对破坏或颠覆，而不是因为国内供应商公开表达安全立场便予以惩罚；该项指定超越权限、程序有缺陷、武断，并以所称安全理由为托词。法院还认定，国防部长并无法定权限对与军方开展业务的企业实施次级抵制。法院撤销了该项指定，并禁止执行具有报复性的指令，同时保留政府通常的合法采购选择。</w:t>
      </w:r>
      <w:r>
        <w:rPr>
          <w:rStyle w:val="FootnoteReference"/>
        </w:rPr>
        <w:footnoteReference w:id="120"/>
      </w:r>
      <w:bookmarkEnd w:id="701"/>
      <w:bookmarkEnd w:id="707"/>
    </w:p>
    <w:p>
      <w:pPr>
        <w:pStyle w:val="BodyText"/>
        <w:wordWrap w:val="off"/>
      </w:pPr>
      <w:r>
        <w:rPr>
          <w:rFonts w:ascii="Noto Serif CJK SC" w:hAnsi="Noto Serif CJK SC" w:eastAsia="Noto Serif CJK SC" w:cs="Noto Serif CJK SC"/>
          <w:lang w:val="en-US" w:eastAsia="zh-CN"/>
        </w:rPr>
        <w:t xml:space="preserve">这场争议之所以重要，是因为政府一方最有力的论证确有相当分量。军事采购者必须掌控任务要求、可靠性、可用性、涉密集成和合法用途。供应商单方设置的限制可能造成作战风险，而政府无须围绕某一家公司的政策设计任务。国家安全采购还涉及预测性判断，法院基于其制度能力通常对此保持审慎。本文提出的法理最低限度框架，并不赋予人工智能提供者取得联邦合同的权利。</w:t>
      </w:r>
    </w:p>
    <w:p>
      <w:pPr>
        <w:pStyle w:val="BodyText"/>
        <w:wordWrap w:val="off"/>
      </w:pPr>
      <w:bookmarkStart w:id="712" w:name="x1-59012f117"/>
      <w:bookmarkStart w:id="717" w:name="x1-59016f118"/>
      <w:r>
        <w:rPr>
          <w:rFonts w:ascii="Noto Serif CJK SC" w:hAnsi="Noto Serif CJK SC" w:eastAsia="Noto Serif CJK SC" w:cs="Noto Serif CJK SC"/>
          <w:lang w:val="en-US" w:eastAsia="zh-CN"/>
        </w:rPr>
        <w:t xml:space="preserve">上述论证足以支持政府进行选择、制定技术规格和安排过渡，却不能证明政府有权因为公司批评政府立场，或拒绝改变其通用产品，便施加覆盖整个市场的惩罚。终局意见区分了两种政府角色：一是作为市场参与者管理合同，二是作为主权者施加公开污名、全政府禁令和第三方抵制。政府承包商仍受《美国宪法》第一修正案保护，不因受保护表达而遭受报复，但该保护须与政府作为合同相对方和采购者的利益相权衡。Board of County Commissioners v. Umbehr 案将这一原则适用于独立承包商合同的终止或不续签，O’Hare Truck Service, Inc. v. City of Northlake 案则否定了基于政治结社关系将主体移出轮值名单的做法。</w:t>
      </w:r>
      <w:r>
        <w:rPr>
          <w:rStyle w:val="FootnoteReference"/>
        </w:rPr>
        <w:footnoteReference w:id="121"/>
      </w:r>
      <w:r>
        <w:rPr>
          <w:rFonts w:ascii="Noto Serif CJK SC" w:hAnsi="Noto Serif CJK SC" w:eastAsia="Noto Serif CJK SC" w:cs="Noto Serif CJK SC"/>
          <w:lang w:val="en-US" w:eastAsia="zh-CN"/>
        </w:rPr>
        <w:t xml:space="preserve">更一般而言，违宪条件原则禁止政府以侵害受保护利益为由拒绝给予某项利益，即使请求权人本身无权当然获得该利益。</w:t>
      </w:r>
      <w:r>
        <w:rPr>
          <w:rStyle w:val="FootnoteReference"/>
        </w:rPr>
        <w:footnoteReference w:id="122"/>
      </w:r>
      <w:bookmarkEnd w:id="712"/>
      <w:bookmarkEnd w:id="717"/>
    </w:p>
    <w:p>
      <w:pPr>
        <w:pStyle w:val="BodyText"/>
        <w:wordWrap w:val="off"/>
      </w:pPr>
      <w:r>
        <w:rPr>
          <w:rFonts w:ascii="Noto Serif CJK SC" w:hAnsi="Noto Serif CJK SC" w:eastAsia="Noto Serif CJK SC" w:cs="Noto Serif CJK SC"/>
          <w:lang w:val="en-US" w:eastAsia="zh-CN"/>
        </w:rPr>
        <w:t xml:space="preserve">采购边界可以表述为以下步骤。这是本文对采购者裁量、承包商反报复法理和违宪条件法的综合，并非地区法院宣布的一项四要件检验。由于该步骤以 Umbehr、O’Hare、Perry 等案件以及采购行为与主权制裁之间的区分为基础，即使 8 月 27 日判决在上诉或后续程序中未获全面维持，这套分析步骤仍可独立成立：</w:t>
      </w:r>
    </w:p>
    <w:p>
      <w:pPr>
        <w:pStyle w:val="DefinitionTerm"/>
        <w:wordWrap w:val="off"/>
      </w:pPr>
      <w:r>
        <w:t xml:space="preserve">1.</w:t>
      </w:r>
    </w:p>
    <w:p>
      <w:pPr>
        <w:pStyle w:val="Definition"/>
        <w:wordWrap w:val="off"/>
      </w:pPr>
      <w:r>
        <w:rPr>
          <w:rFonts w:ascii="Noto Serif CJK SC" w:hAnsi="Noto Serif CJK SC" w:eastAsia="Noto Serif CJK SC" w:cs="Noto Serif CJK SC"/>
          <w:lang w:val="en-US" w:eastAsia="zh-CN"/>
        </w:rPr>
        <w:t xml:space="preserve">政府可以界定其拟采购系统所服务的任务、适用的安全条件、性能要求和合法用途。</w:t>
      </w:r>
    </w:p>
    <w:p>
      <w:pPr>
        <w:pStyle w:val="DefinitionTerm"/>
        <w:wordWrap w:val="off"/>
      </w:pPr>
      <w:r>
        <w:t xml:space="preserve">2.</w:t>
      </w:r>
    </w:p>
    <w:p>
      <w:pPr>
        <w:pStyle w:val="Definition"/>
        <w:wordWrap w:val="off"/>
      </w:pPr>
      <w:r>
        <w:rPr>
          <w:rFonts w:ascii="Noto Serif CJK SC" w:hAnsi="Noto Serif CJK SC" w:eastAsia="Noto Serif CJK SC" w:cs="Noto Serif CJK SC"/>
          <w:lang w:val="en-US" w:eastAsia="zh-CN"/>
        </w:rPr>
        <w:t xml:space="preserve">供应商可以决定提供何种产品，也可以就产品用途表达立场，但仍须遵守对其具有有效约束力的合同和法律。</w:t>
      </w:r>
    </w:p>
    <w:p>
      <w:pPr>
        <w:pStyle w:val="DefinitionTerm"/>
        <w:wordWrap w:val="off"/>
      </w:pPr>
      <w:r>
        <w:t xml:space="preserve">3.</w:t>
      </w:r>
    </w:p>
    <w:p>
      <w:pPr>
        <w:pStyle w:val="Definition"/>
        <w:wordWrap w:val="off"/>
      </w:pPr>
      <w:r>
        <w:rPr>
          <w:rFonts w:ascii="Noto Serif CJK SC" w:hAnsi="Noto Serif CJK SC" w:eastAsia="Noto Serif CJK SC" w:cs="Noto Serif CJK SC"/>
          <w:lang w:val="en-US" w:eastAsia="zh-CN"/>
        </w:rPr>
        <w:t xml:space="preserve">政府可以选择其他供应商、协商不同条款、自行建设系统，或针对真实的安全或性能风险，采取制定法授权且范围适当的措施。</w:t>
      </w:r>
    </w:p>
    <w:p>
      <w:pPr>
        <w:pStyle w:val="DefinitionTerm"/>
        <w:wordWrap w:val="off"/>
      </w:pPr>
      <w:r>
        <w:t xml:space="preserve">4.</w:t>
      </w:r>
    </w:p>
    <w:p>
      <w:pPr>
        <w:pStyle w:val="Definition"/>
        <w:wordWrap w:val="off"/>
      </w:pPr>
      <w:r>
        <w:rPr>
          <w:rFonts w:ascii="Noto Serif CJK SC" w:hAnsi="Noto Serif CJK SC" w:eastAsia="Noto Serif CJK SC" w:cs="Noto Serif CJK SC"/>
          <w:lang w:val="en-US" w:eastAsia="zh-CN"/>
        </w:rPr>
        <w:t xml:space="preserve">政府不得以采购为借口，惩罚受保护的批评，强迫主体接受资助项目范围之外的观点，或在援引的权限缺乏依据时对第三方施加广泛不利后果。</w:t>
      </w:r>
    </w:p>
    <w:p>
      <w:pPr>
        <w:pStyle w:val="FirstParagraph"/>
        <w:wordWrap w:val="off"/>
      </w:pPr>
      <w:r>
        <w:rPr>
          <w:rFonts w:ascii="Noto Serif CJK SC" w:hAnsi="Noto Serif CJK SC" w:eastAsia="Noto Serif CJK SC" w:cs="Noto Serif CJK SC"/>
          <w:lang w:val="en-US" w:eastAsia="zh-CN"/>
        </w:rPr>
        <w:t xml:space="preserve">这并非赋予以安全为品牌定位的公司某种特权。供应商不能把每一项商业限制都转化为受保护的言论，不能在不承担合同后果的情况下放弃承诺的服务，也不能以伦理为名掩盖安全缺陷。法院应当依照通常法理，识别表达活动、不利行动、因果证据、法定权限以及政府作为采购者的利益。Anthropic 案的记录之所以重要，是因为所宣布的制裁远远超出改选其他模型，而且法院认定政府所主张的安全理由缺乏记录支持。</w:t>
      </w:r>
    </w:p>
    <w:p>
      <w:pPr>
        <w:pStyle w:val="BodyText"/>
        <w:wordWrap w:val="off"/>
      </w:pPr>
      <w:r>
        <w:rPr>
          <w:rFonts w:ascii="Noto Serif CJK SC" w:hAnsi="Noto Serif CJK SC" w:eastAsia="Noto Serif CJK SC" w:cs="Noto Serif CJK SC"/>
          <w:lang w:val="en-US" w:eastAsia="zh-CN"/>
        </w:rPr>
        <w:t xml:space="preserve">主体地位恒定原则使这场争议更加清晰。宪法上的请求权人不是 Claude，而是 Anthropic。政府并非在与人工权利主体谈判，而是在同设计并维护系统的公司约定条件。受争议的限制体现的是人和组织作出的选择。保护或否定这些选择，无须裁判 Claude 生成的输出本身是否享有《美国宪法》第一修正案权利。</w:t>
      </w:r>
    </w:p>
    <w:p>
      <w:pPr>
        <w:pStyle w:val="BodyText"/>
        <w:wordWrap w:val="off"/>
      </w:pPr>
      <w:r>
        <w:rPr>
          <w:rFonts w:ascii="Noto Serif CJK SC" w:hAnsi="Noto Serif CJK SC" w:eastAsia="Noto Serif CJK SC" w:cs="Noto Serif CJK SC"/>
          <w:lang w:val="en-US" w:eastAsia="zh-CN"/>
        </w:rPr>
        <w:t xml:space="preserve">同一原则也约束提供者。公司不能援引其模型宪章推翻实定法、规避有效合同或拒绝公共救济。内部政策是设计与承诺的证据，外部法律则对其作出判断。因此，该框架具有相互约束性：既防止企业把责任向下转移给模型，也防止国家把采购控制权扩大为对所有合法私人用途或观点的控制权。</w:t>
      </w:r>
    </w:p>
    <w:p>
      <w:pPr>
        <w:pStyle w:val="BodyText"/>
        <w:wordWrap w:val="off"/>
      </w:pPr>
      <w:r>
        <w:rPr>
          <w:rFonts w:ascii="Noto Serif CJK SC" w:hAnsi="Noto Serif CJK SC" w:eastAsia="Noto Serif CJK SC" w:cs="Noto Serif CJK SC"/>
          <w:lang w:val="en-US" w:eastAsia="zh-CN"/>
        </w:rPr>
        <w:t xml:space="preserve">综上，能力分层与受约束的国家权力，共同完成了该制度架构对控制关系的双向说明。该框架将权限配置给实际掌握权限的主体，同时保留与权限相伴随的法律边界。</w:t>
      </w:r>
    </w:p>
    <w:bookmarkEnd w:id="718"/>
    <w:bookmarkEnd w:id="719"/>
    <w:bookmarkEnd w:id="720"/>
    <w:bookmarkStart w:id="724" w:name="conclusion"/>
    <w:p>
      <w:pPr>
        <w:pStyle w:val="Heading3"/>
        <w:keepNext/>
        <w:keepLines/>
        <w:wordWrap w:val="off"/>
      </w:pPr>
      <w:bookmarkStart w:id="721" w:name="x1-60000"/>
      <w:r>
        <w:rPr>
          <w:rFonts w:ascii="Noto Sans CJK SC" w:hAnsi="Noto Sans CJK SC" w:eastAsia="Noto Sans CJK SC" w:cs="Noto Sans CJK SC"/>
          <w:lang w:val="en-US" w:eastAsia="zh-CN"/>
        </w:rPr>
        <w:t xml:space="preserve">结论</w:t>
      </w:r>
      <w:bookmarkEnd w:id="721"/>
    </w:p>
    <w:p>
      <w:pPr>
        <w:pStyle w:val="FirstParagraph"/>
        <w:wordWrap w:val="off"/>
      </w:pPr>
      <w:bookmarkStart w:id="722" w:name="Q1-1-66"/>
      <w:bookmarkEnd w:id="722"/>
      <w:r>
        <w:t xml:space="preserve"> </w:t>
      </w:r>
      <w:bookmarkStart w:id="723" w:name="x1-60000doc"/>
      <w:bookmarkEnd w:id="723"/>
    </w:p>
    <w:p>
      <w:pPr>
        <w:pStyle w:val="BodyText"/>
        <w:wordWrap w:val="off"/>
      </w:pPr>
      <w:r>
        <w:rPr>
          <w:rFonts w:ascii="Noto Serif CJK SC" w:hAnsi="Noto Serif CJK SC" w:eastAsia="Noto Serif CJK SC" w:cs="Noto Serif CJK SC"/>
          <w:lang w:val="en-US" w:eastAsia="zh-CN"/>
        </w:rPr>
        <w:t xml:space="preserve">即使没有任何人选择造成损害的具体输出，人工智能责任也不会消失；责任转移到了部署环节。组织选择目标、模型、界面、记忆、数据、工具、用户群体、评估、监测和停止条件。这些选择可以观察、可以治理，并具有法律后果，即使模型内部的运行路径难以解释亦然。</w:t>
      </w:r>
    </w:p>
    <w:p>
      <w:pPr>
        <w:pStyle w:val="BodyText"/>
        <w:wordWrap w:val="off"/>
      </w:pPr>
      <w:r>
        <w:rPr>
          <w:rFonts w:ascii="Noto Serif CJK SC" w:hAnsi="Noto Serif CJK SC" w:eastAsia="Noto Serif CJK SC" w:cs="Noto Serif CJK SC"/>
          <w:lang w:val="en-US" w:eastAsia="zh-CN"/>
        </w:rPr>
        <w:t xml:space="preserve">部署控制级联使这种责任清晰可见。它追踪权限和资源如何流向运行环节，反馈如何传至能够响应的主体，以及人工覆盖或关停权能如何配置到干预能够生效之处。级联中的过程模型、控制动作、反馈和记录，可以转化为普通法律已经采用的事实：授权、通知、可预见性、可行预防措施、因果关系和证明。概率性输出改变的是证据所在的位置，而不是制造责任真空。</w:t>
      </w:r>
    </w:p>
    <w:p>
      <w:pPr>
        <w:pStyle w:val="BodyText"/>
        <w:wordWrap w:val="off"/>
      </w:pPr>
      <w:r>
        <w:rPr>
          <w:rFonts w:ascii="Noto Serif CJK SC" w:hAnsi="Noto Serif CJK SC" w:eastAsia="Noto Serif CJK SC" w:cs="Noto Serif CJK SC"/>
          <w:lang w:val="en-US" w:eastAsia="zh-CN"/>
        </w:rPr>
        <w:t xml:space="preserve">双层责任架构把这幅控制图转化为制度规则。对于指定的高影响部署，对相关风险具有实质性部署控制力的企业，应当依据不得转移的部署义务直接面对请求权人。在分离式技术栈中，识别规则揭示哪些企业控制了哪些风险；在每一项受规制的部署中，定向证据开示规则提供范围符合比例原则、足以检验案件实体问题的记录。请求权人仍须证明法律承认的损害、违反义务或缺陷、因果关系以及其他全部实体要件。责任入口使这些权利能够得到证明，却不将其转化为严格责任。</w:t>
      </w:r>
    </w:p>
    <w:p>
      <w:pPr>
        <w:pStyle w:val="BodyText"/>
        <w:wordWrap w:val="off"/>
      </w:pPr>
      <w:r>
        <w:rPr>
          <w:rFonts w:ascii="Noto Serif CJK SC" w:hAnsi="Noto Serif CJK SC" w:eastAsia="Noto Serif CJK SC" w:cs="Noto Serif CJK SC"/>
          <w:lang w:val="en-US" w:eastAsia="zh-CN"/>
        </w:rPr>
        <w:t xml:space="preserve">在企业内部，责任章程在损害发生前即使问责与权限相匹配。它指定风险负责人，明确审批权限，记录异议，保护逐级上报机制，检验停止与回滚权能，并保存事件证据。这一内部责任分配既保护报告危险的人员，也保留对隐瞒、伪造、报复或绕过约束者的内部追偿路径。公共责任与内部公平由同一套信息系统相互强化。</w:t>
      </w:r>
    </w:p>
    <w:p>
      <w:pPr>
        <w:pStyle w:val="BodyText"/>
        <w:wordWrap w:val="off"/>
      </w:pPr>
      <w:r>
        <w:rPr>
          <w:rFonts w:ascii="Noto Serif CJK SC" w:hAnsi="Noto Serif CJK SC" w:eastAsia="Noto Serif CJK SC" w:cs="Noto Serif CJK SC"/>
          <w:lang w:val="en-US" w:eastAsia="zh-CN"/>
        </w:rPr>
        <w:t xml:space="preserve">反替代原则将这一逻辑延伸至照护、专业判断、合理便利和公共服务领域。自动化工具机制可以履行法律要求的功能，而且往往能够改善其履行；但仅仅存在可用的自动化工具，并不等于义务已经履行。负有法律责任的机构必须维持该义务所要保障的保护，其中包括在适用法律有此要求时，提供通往通知、复核、干预或纠正的有效路径。</w:t>
      </w:r>
    </w:p>
    <w:p>
      <w:pPr>
        <w:pStyle w:val="BodyText"/>
        <w:wordWrap w:val="off"/>
      </w:pPr>
      <w:r>
        <w:rPr>
          <w:rFonts w:ascii="Noto Serif CJK SC" w:hAnsi="Noto Serif CJK SC" w:eastAsia="Noto Serif CJK SC" w:cs="Noto Serif CJK SC"/>
          <w:lang w:val="en-US" w:eastAsia="zh-CN"/>
        </w:rPr>
        <w:t xml:space="preserve">上述方案均不需要以机器作为被告。除非实定法创设新的法律主体平台，法律主体仍是能够享有权利、承担义务、形成记录并回应救济的自然人与组织。功能分类仍可因规则而异：同一已部署系统可以在不同规则下分别被视为产品、服务、工具或传播媒介。责任则是其中的稳定支点。法院应当对功能作出分类，重构控制路径，打开证据入口，并使义务始终归属于法律能够触及的主体。</w:t>
      </w:r>
    </w:p>
    <w:bookmarkEnd w:id="724"/>
    <w:bookmarkStart w:id="740" w:name="Xf36d17109ee950a21a9e8f30799afd1486e95b3"/>
    <w:p>
      <w:pPr>
        <w:pStyle w:val="Heading3"/>
        <w:wordWrap w:val="off"/>
      </w:pPr>
      <w:bookmarkStart w:id="725" w:name="x1-61000"/>
      <w:r>
        <w:rPr>
          <w:rFonts w:ascii="Noto Sans CJK SC" w:hAnsi="Noto Sans CJK SC" w:eastAsia="Noto Sans CJK SC" w:cs="Noto Sans CJK SC"/>
          <w:lang w:val="en-US" w:eastAsia="zh-CN"/>
        </w:rPr>
        <w:t xml:space="preserve">资料说明：杭州生成式人工智能判决</w:t>
      </w:r>
      <w:bookmarkEnd w:id="725"/>
    </w:p>
    <w:p>
      <w:pPr>
        <w:pStyle w:val="FirstParagraph"/>
        <w:keepNext/>
        <w:wordWrap w:val="off"/>
      </w:pPr>
      <w:bookmarkStart w:id="726" w:name="Q1-1-68"/>
      <w:bookmarkEnd w:id="726"/>
    </w:p>
    <w:p>
      <w:pPr>
        <w:pStyle w:val="BodyText"/>
        <w:wordWrap w:val="off"/>
      </w:pPr>
      <w:bookmarkStart w:id="732" w:name="x1-61001f119"/>
      <w:bookmarkStart w:id="739" w:name="x1-61004f120"/>
      <w:r>
        <w:rPr>
          <w:rFonts w:ascii="Noto Serif CJK SC" w:hAnsi="Noto Serif CJK SC" w:eastAsia="Noto Serif CJK SC" w:cs="Noto Serif CJK SC"/>
          <w:lang w:val="en-US" w:eastAsia="zh-CN"/>
        </w:rPr>
        <w:t xml:space="preserve">已公开的专业资料将该案标识为 Liang v. Technology Company, Hangzhou Internet C⁠o⁠u⁠r⁠t, (2025) Zhe 0192 Min Chu No. 18143（裁判日期：2025 年 12 月 3 日）。</w:t>
      </w:r>
      <w:r>
        <w:rPr>
          <w:rStyle w:val="FootnoteReference"/>
        </w:rPr>
        <w:footnoteReference w:id="123"/>
      </w:r>
      <w:r>
        <w:rPr>
          <w:rFonts w:ascii="Noto Serif CJK SC" w:hAnsi="Noto Serif CJK SC" w:eastAsia="Noto Serif CJK SC" w:cs="Noto Serif CJK SC"/>
          <w:lang w:val="en-US" w:eastAsia="zh-CN"/>
        </w:rPr>
        <w:t xml:space="preserve">本文的比较讨论以 Le Weikun 发表于《人民法院报》、并由浙江省政府官方网站转载的报道为依据。最高人民法院知识产权法庭网页转载了对最高人民法院工作报告起草组负责人的央视采访，另行证实了驳回结论、主体地位规则、合理预防措施分析以及未证明损失等内容。</w:t>
      </w:r>
      <w:r>
        <w:rPr>
          <w:rStyle w:val="FootnoteReference"/>
        </w:rPr>
        <w:footnoteReference w:id="124"/>
      </w:r>
      <w:r>
        <w:rPr>
          <w:rFonts w:ascii="Noto Serif CJK SC" w:hAnsi="Noto Serif CJK SC" w:eastAsia="Noto Serif CJK SC" w:cs="Noto Serif CJK SC"/>
          <w:lang w:val="en-US" w:eastAsia="zh-CN"/>
        </w:rPr>
        <w:t xml:space="preserve">本文未能查找到附有稳定匿名公开网址的完整裁判文书。英文原稿中的下列节录为作者对该法院报道所作的英译，并非裁判文书本身；其沿用报道中的匿名化处理，属于非官方译文，仅供核查来源，解释以中文原始资料为准。</w:t>
      </w:r>
      <w:bookmarkEnd w:id="732"/>
      <w:bookmarkEnd w:id="739"/>
    </w:p>
    <w:p>
      <w:pPr>
        <w:pStyle w:val="BlockText"/>
        <w:wordWrap w:val="off"/>
      </w:pPr>
      <w:r>
        <w:rPr>
          <w:rFonts w:ascii="Noto Serif CJK SC" w:hAnsi="Noto Serif CJK SC" w:eastAsia="Noto Serif CJK SC" w:cs="Noto Serif CJK SC"/>
          <w:lang w:val="en-US" w:eastAsia="zh-CN"/>
        </w:rPr>
        <w:t xml:space="preserve">主体地位与意思表示。“人工智能不具备民事主体地位，无法作出意思表示。”系统生成的赔偿承诺不构成提供者的意思表示，理由是：该系统不能充当提供者的传达人、代理人或代表；提供者并未利用模型传达某项意思；通常做法不足以使人对这一随机生成的承诺产生合理信赖；提供者也从未表示其将受生成内容约束。</w:t>
      </w:r>
    </w:p>
    <w:p>
      <w:pPr>
        <w:pStyle w:val="BlockText"/>
        <w:wordWrap w:val="off"/>
      </w:pPr>
      <w:r>
        <w:rPr>
          <w:rFonts w:ascii="Noto Serif CJK SC" w:hAnsi="Noto Serif CJK SC" w:eastAsia="Noto Serif CJK SC" w:cs="Noto Serif CJK SC"/>
          <w:lang w:val="en-US" w:eastAsia="zh-CN"/>
        </w:rPr>
        <w:t xml:space="preserve">分类与适用规则。法院依据《生成式人工智能服务管理暂行办法》，将生成式人工智能服务认定为服务，而非产品质量法上的产品，并适用《民法典》第 1165 条第 1 款的一般过错规则。</w:t>
      </w:r>
    </w:p>
    <w:p>
      <w:pPr>
        <w:pStyle w:val="BlockText"/>
        <w:wordWrap w:val="off"/>
        <w:sectPr>
          <w:footnotePr>
            <w:pos w:val="pageBottom"/>
          </w:footnotePr>
          <w:type w:val="nextPage"/>
          <w:pgSz w:w="12240" w:h="15840"/>
          <w:pgMar w:top="1440" w:right="1440" w:bottom="1440" w:left="1440" w:header="720" w:footer="720" w:gutter="0"/>
        </w:sectPr>
      </w:pPr>
      <w:r>
        <w:rPr>
          <w:rFonts w:ascii="Noto Serif CJK SC" w:hAnsi="Noto Serif CJK SC" w:eastAsia="Noto Serif CJK SC" w:cs="Noto Serif CJK SC"/>
          <w:lang w:val="en-US" w:eastAsia="zh-CN"/>
        </w:rPr>
        <w:t xml:space="preserve">义务、损失与因果关系。相关报道概括了三层注意义务：对法律禁止的信息进行严格审查；醒目披露固有的准确性局限，包括在涉及重大利益时即时发出警示；采用业内普遍接受的技术措施，履行基本可靠性保障义务。报道指出，提供者已在欢迎页面、协议和界面中展示局限性，并采用检索增强生成技术。法院还认定，现有证据不足以证明实际损失，也不足以证明对用户申请决定产生了实质影响。</w:t>
      </w:r>
    </w:p>
    <w:bookmarkEnd w:id="740"/>
    <w:bookmarkStart w:id="744" w:name="authorities-and-sources"/>
    <w:p>
      <w:pPr>
        <w:pStyle w:val="Heading3"/>
        <w:keepNext/>
        <w:keepLines/>
        <w:wordWrap w:val="off"/>
      </w:pPr>
      <w:bookmarkStart w:id="741" w:name="x1-62000"/>
      <w:r>
        <w:rPr>
          <w:rFonts w:ascii="Noto Sans CJK SC" w:hAnsi="Noto Sans CJK SC" w:eastAsia="Noto Sans CJK SC" w:cs="Noto Sans CJK SC"/>
          <w:lang w:val="en-US" w:eastAsia="zh-CN"/>
        </w:rPr>
        <w:t xml:space="preserve">权威资料与文献来源</w:t>
      </w:r>
      <w:bookmarkEnd w:id="741"/>
    </w:p>
    <w:p>
      <w:pPr>
        <w:pStyle w:val="Definition"/>
        <w:keepLines/>
        <w:wordWrap w:val="off"/>
        <w:spacing w:before="0" w:after="100"/>
        <w:ind w:left="0" w:right="0" w:firstLine="0"/>
        <w:jc w:val="left"/>
      </w:pPr>
      <w:bookmarkStart w:id="742" w:name="page.103"/>
      <w:bookmarkEnd w:id="742"/>
      <w:hyperlink r:id="rId743"/>
      <w:r>
        <w:t xml:space="preserve">R. Abbott and A. Sarch,</w:t>
      </w:r>
      <w:r>
        <w:t xml:space="preserve"> </w:t>
      </w:r>
      <w:r>
        <w:t xml:space="preserve">Punishing Artificial Intelligence: Legal Fiction or Science</w:t>
      </w:r>
      <w:r>
        <w:t xml:space="preserve"> </w:t>
      </w:r>
      <w:r>
        <w:t xml:space="preserve">Fiction</w:t>
      </w:r>
      <w:r>
        <w:t xml:space="preserve">, 53 UC Davis L. Rev. 323 (2019).</w:t>
      </w:r>
    </w:p>
    <w:p>
      <w:pPr>
        <w:pStyle w:val="Definition"/>
        <w:keepLines/>
        <w:wordWrap w:val="off"/>
        <w:spacing w:before="0" w:after="100"/>
        <w:ind w:left="0" w:right="0" w:firstLine="0"/>
        <w:jc w:val="left"/>
      </w:pPr>
      <w:r>
        <w:t xml:space="preserve">K. S. Abraham and C. M. Sharkey, Untangling AI Liability, 115 Calif. L. Rev.</w:t>
      </w:r>
      <w:r>
        <w:t xml:space="preserve"> </w:t>
      </w:r>
      <w:r>
        <w:t xml:space="preserve">(forthcoming 2027).</w:t>
      </w:r>
    </w:p>
    <w:p>
      <w:pPr>
        <w:pStyle w:val="Definition"/>
        <w:keepLines/>
        <w:wordWrap w:val="off"/>
        <w:spacing w:before="0" w:after="100"/>
        <w:ind w:left="0" w:right="0" w:firstLine="0"/>
        <w:jc w:val="left"/>
      </w:pPr>
      <w:r>
        <w:t xml:space="preserve">Agency for International Development v. Alliance for Open Society International, Inc.</w:t>
      </w:r>
      <w:r>
        <w:t xml:space="preserve"> </w:t>
      </w:r>
      <w:r>
        <w:t xml:space="preserve">570 U.S. 2⁠0⁠5 (U.S. 2013).</w:t>
      </w:r>
    </w:p>
    <w:p>
      <w:pPr>
        <w:pStyle w:val="Definition"/>
        <w:keepLines/>
        <w:wordWrap w:val="off"/>
        <w:spacing w:before="0" w:after="100"/>
        <w:ind w:left="0" w:right="0" w:firstLine="0"/>
        <w:jc w:val="left"/>
      </w:pPr>
      <w:r>
        <w:t xml:space="preserve">American Law Institute,</w:t>
      </w:r>
      <w:r>
        <w:t xml:space="preserve"> </w:t>
      </w:r>
      <w:r>
        <w:t xml:space="preserve">Restatement (Third) of Torts: Products Liability</w:t>
      </w:r>
      <w:r>
        <w:t xml:space="preserve"> </w:t>
      </w:r>
      <w:r>
        <w:t xml:space="preserve">(American Law</w:t>
      </w:r>
      <w:r>
        <w:t xml:space="preserve"> </w:t>
      </w:r>
      <w:r>
        <w:t xml:space="preserve">Institute Publishers, 1998).</w:t>
      </w:r>
    </w:p>
    <w:p>
      <w:pPr>
        <w:pStyle w:val="Definition"/>
        <w:keepLines/>
        <w:wordWrap w:val="off"/>
        <w:spacing w:before="0" w:after="100"/>
        <w:ind w:left="0" w:right="0" w:firstLine="0"/>
        <w:jc w:val="left"/>
      </w:pPr>
      <w:r>
        <w:t xml:space="preserve">American Law Institute,</w:t>
      </w:r>
      <w:r>
        <w:t xml:space="preserve"> </w:t>
      </w:r>
      <w:r>
        <w:t xml:space="preserve">Restatement (Third) of Agency</w:t>
      </w:r>
      <w:r>
        <w:t xml:space="preserve"> </w:t>
      </w:r>
      <w:r>
        <w:t xml:space="preserve">(American Law Institute</w:t>
      </w:r>
      <w:r>
        <w:t xml:space="preserve"> </w:t>
      </w:r>
      <w:r>
        <w:t xml:space="preserve">Publishers, 2006).</w:t>
      </w:r>
    </w:p>
    <w:p>
      <w:pPr>
        <w:pStyle w:val="Definition"/>
        <w:keepLines/>
        <w:wordWrap w:val="off"/>
        <w:spacing w:before="0" w:after="100"/>
        <w:ind w:left="0" w:right="0" w:firstLine="0"/>
        <w:jc w:val="left"/>
      </w:pPr>
      <w:r>
        <w:t xml:space="preserve">American Law Institute,</w:t>
      </w:r>
      <w:r>
        <w:t xml:space="preserve"> </w:t>
      </w:r>
      <w:r>
        <w:t xml:space="preserve">Restatement (Third) of Torts: Liability for Physical and</w:t>
      </w:r>
      <w:r>
        <w:t xml:space="preserve"> </w:t>
      </w:r>
      <w:r>
        <w:t xml:space="preserve">Emotional Harm</w:t>
      </w:r>
      <w:r>
        <w:t xml:space="preserve"> </w:t>
      </w:r>
      <w:r>
        <w:t xml:space="preserve">(American Law Institute Publishers, 2010).</w:t>
      </w:r>
    </w:p>
    <w:p>
      <w:pPr>
        <w:pStyle w:val="Definition"/>
        <w:keepLines/>
        <w:wordWrap w:val="off"/>
        <w:spacing w:before="0" w:after="100"/>
        <w:ind w:left="0" w:right="0" w:firstLine="0"/>
        <w:jc w:val="left"/>
      </w:pPr>
      <w:r>
        <w:t xml:space="preserve">Anthropic PBC v. United States Department of War No. 3:26-cv-01996-RFL, Dkt. 250</w:t>
      </w:r>
      <w:r>
        <w:t xml:space="preserve"> </w:t>
      </w:r>
      <w:r>
        <w:t xml:space="preserve">(N.D. Cal. Aug. 27, 2026). summary-judgment order.</w:t>
      </w:r>
    </w:p>
    <w:p>
      <w:pPr>
        <w:pStyle w:val="Definition"/>
        <w:keepLines/>
        <w:wordWrap w:val="off"/>
        <w:spacing w:before="0" w:after="100"/>
        <w:ind w:left="0" w:right="0" w:firstLine="0"/>
        <w:jc w:val="left"/>
      </w:pPr>
      <w:r>
        <w:t xml:space="preserve">Anthropic PBC v. United States Department of War No. 3:26-cv-01996-RFL, Dkt. 134</w:t>
      </w:r>
      <w:r>
        <w:t xml:space="preserve"> </w:t>
      </w:r>
      <w:r>
        <w:t xml:space="preserve">(N.D. Cal. Mar. 26, 2026). preliminary injunction.</w:t>
      </w:r>
    </w:p>
    <w:p>
      <w:pPr>
        <w:pStyle w:val="Definition"/>
        <w:keepLines/>
        <w:wordWrap w:val="off"/>
        <w:spacing w:before="0" w:after="100"/>
        <w:ind w:left="0" w:right="0" w:firstLine="0"/>
        <w:jc w:val="left"/>
      </w:pPr>
      <w:r>
        <w:t xml:space="preserve">Anthropic PBC v. United States Department of War No. 3:26-cv-01996-RFL, Dkt.</w:t>
      </w:r>
      <w:r>
        <w:t xml:space="preserve"> </w:t>
      </w:r>
      <w:r>
        <w:t xml:space="preserve">251–252 (N.D. Cal. Aug. 27, 2026). vacatur, permanent-injunction, and judgment</w:t>
      </w:r>
      <w:r>
        <w:t xml:space="preserve"> </w:t>
      </w:r>
      <w:r>
        <w:t xml:space="preserve">documents.</w:t>
      </w:r>
    </w:p>
    <w:p>
      <w:pPr>
        <w:pStyle w:val="Definition"/>
        <w:keepLines/>
        <w:wordWrap w:val="off"/>
        <w:spacing w:before="0" w:after="100"/>
        <w:ind w:left="0" w:right="0" w:firstLine="0"/>
        <w:jc w:val="left"/>
      </w:pPr>
      <w:r>
        <w:t xml:space="preserve">Anthropic PBC v. United States Department of War No. 26-1049 (D.C. Cir. Apr. 8,</w:t>
      </w:r>
      <w:r>
        <w:t xml:space="preserve"> </w:t>
      </w:r>
      <w:r>
        <w:t xml:space="preserve">2026). order denying emergency stay and expediting merits review.</w:t>
      </w:r>
    </w:p>
    <w:p>
      <w:pPr>
        <w:pStyle w:val="Definition"/>
        <w:keepLines/>
        <w:wordWrap w:val="off"/>
        <w:spacing w:before="0" w:after="100"/>
        <w:ind w:left="0" w:right="0" w:firstLine="0"/>
        <w:jc w:val="left"/>
      </w:pPr>
      <w:r>
        <w:t xml:space="preserve">Arkansas Department of Human Services v. Ledgerwood 2017 Ark. 308 (Ark. 2017). 530</w:t>
      </w:r>
      <w:r>
        <w:t xml:space="preserve"> </w:t>
      </w:r>
      <w:r>
        <w:t xml:space="preserve">S.W.3d 336.</w:t>
      </w:r>
    </w:p>
    <w:p>
      <w:pPr>
        <w:pStyle w:val="Definition"/>
        <w:keepLines/>
        <w:wordWrap w:val="off"/>
        <w:spacing w:before="0" w:after="100"/>
        <w:ind w:left="0" w:right="0" w:firstLine="0"/>
        <w:jc w:val="left"/>
      </w:pPr>
      <w:r>
        <w:t xml:space="preserve">Artificial Intelligence Act, Regulation (EU) 2024/1689 (June 13, 2024).</w:t>
      </w:r>
    </w:p>
    <w:p>
      <w:pPr>
        <w:pStyle w:val="Definition"/>
        <w:keepLines/>
        <w:wordWrap w:val="off"/>
        <w:spacing w:before="0" w:after="100"/>
        <w:ind w:left="0" w:right="0" w:firstLine="0"/>
        <w:jc w:val="left"/>
      </w:pPr>
      <w:r>
        <w:t xml:space="preserve">Artificial Intelligence and Robotics Researchers. Open</w:t>
      </w:r>
      <w:r>
        <w:t xml:space="preserve"> </w:t>
      </w:r>
      <w:r>
        <w:t xml:space="preserve">Letter to the European Commission: Artificial Intelligence and Robotics. 2018.</w:t>
      </w:r>
      <w:r>
        <w:t xml:space="preserve"> </w:t>
      </w:r>
      <w:r>
        <w:t xml:space="preserve">url</w:t>
      </w:r>
      <w:r>
        <w:t xml:space="preserve">:</w:t>
      </w:r>
      <w:r>
        <w:t xml:space="preserve"> </w:t>
      </w:r>
      <w:hyperlink r:id="rId173">
        <w:r>
          <w:rPr>
            <w:rStyle w:val="Hyperlink"/>
          </w:rPr>
          <w:t xml:space="preserve">https://www.robotics-openletter.eu/</w:t>
        </w:r>
      </w:hyperlink>
      <w:r>
        <w:t xml:space="preserve"> </w:t>
      </w:r>
      <w:r>
        <w:t xml:space="preserve">(visited on 0⁠8⁠/⁠2⁠7⁠/⁠2⁠0⁠2⁠6).</w:t>
      </w:r>
    </w:p>
    <w:p>
      <w:pPr>
        <w:pStyle w:val="Definition"/>
        <w:keepLines/>
        <w:wordWrap w:val="off"/>
        <w:spacing w:before="0" w:after="100"/>
        <w:ind w:left="0" w:right="0" w:firstLine="0"/>
        <w:jc w:val="left"/>
      </w:pPr>
      <w:r>
        <w:t xml:space="preserve">Aspen Institute. Defining the Technologies of Our Time: Artificial Intelligence. 2026.</w:t>
      </w:r>
      <w:r>
        <w:t xml:space="preserve"> </w:t>
      </w:r>
      <w:r>
        <w:t xml:space="preserve">url</w:t>
      </w:r>
      <w:r>
        <w:t xml:space="preserve">:</w:t>
      </w:r>
      <w:r>
        <w:t xml:space="preserve"> </w:t>
      </w:r>
      <w:hyperlink r:id="rId197">
        <w:r>
          <w:rPr>
            <w:rStyle w:val="Hyperlink"/>
          </w:rPr>
          <w:t xml:space="preserve">https://www.aspeninstitute.org/publications/defining-technologies-of-our-time-artificial-intelligence/</w:t>
        </w:r>
      </w:hyperlink>
      <w:r>
        <w:t xml:space="preserve"> </w:t>
      </w:r>
      <w:r>
        <w:t xml:space="preserve">(visited on 0⁠8⁠/⁠2⁠7⁠/⁠2⁠0⁠2⁠6).</w:t>
      </w:r>
    </w:p>
    <w:p>
      <w:pPr>
        <w:pStyle w:val="Definition"/>
        <w:keepLines/>
        <w:wordWrap w:val="off"/>
        <w:spacing w:before="0" w:after="100"/>
        <w:ind w:left="0" w:right="0" w:firstLine="0"/>
        <w:jc w:val="left"/>
      </w:pPr>
      <w:r>
        <w:t xml:space="preserve">L. Bainbridge,</w:t>
      </w:r>
      <w:r>
        <w:t xml:space="preserve"> </w:t>
      </w:r>
      <w:r>
        <w:t xml:space="preserve">Ironies of Automation</w:t>
      </w:r>
      <w:r>
        <w:t xml:space="preserve">, 19 Automatica 775–779 (Nov. 1983).</w:t>
      </w:r>
    </w:p>
    <w:p>
      <w:pPr>
        <w:pStyle w:val="Definition"/>
        <w:keepLines/>
        <w:wordWrap w:val="off"/>
        <w:spacing w:before="0" w:after="100"/>
        <w:ind w:left="0" w:right="0" w:firstLine="0"/>
        <w:jc w:val="left"/>
      </w:pPr>
      <w:r>
        <w:t xml:space="preserve">Baker v. Selden, 101 U.S. 99 (U.S. 1879).</w:t>
      </w:r>
    </w:p>
    <w:p>
      <w:pPr>
        <w:pStyle w:val="Definition"/>
        <w:keepLines/>
        <w:wordWrap w:val="off"/>
        <w:spacing w:before="0" w:after="100"/>
        <w:ind w:left="0" w:right="0" w:firstLine="0"/>
        <w:jc w:val="left"/>
      </w:pPr>
      <w:r>
        <w:t xml:space="preserve">J. Banks,</w:t>
      </w:r>
      <w:r>
        <w:t xml:space="preserve"> </w:t>
      </w:r>
      <w:r>
        <w:t xml:space="preserve">Deletion, Departure, Death: Experiences of AI Companion Loss</w:t>
      </w:r>
      <w:r>
        <w:t xml:space="preserve">, 41 J. Soc. &amp;</w:t>
      </w:r>
      <w:r>
        <w:t xml:space="preserve"> </w:t>
      </w:r>
      <w:r>
        <w:t xml:space="preserve">Pers. Relationships 3547 (2024).</w:t>
      </w:r>
    </w:p>
    <w:p>
      <w:pPr>
        <w:pStyle w:val="Definition"/>
        <w:keepLines/>
        <w:wordWrap w:val="off"/>
        <w:spacing w:before="0" w:after="100"/>
        <w:ind w:left="0" w:right="0" w:firstLine="0"/>
        <w:jc w:val="left"/>
      </w:pPr>
      <w:r>
        <w:t xml:space="preserve">S. J. Bayern,</w:t>
      </w:r>
      <w:r>
        <w:t xml:space="preserve"> </w:t>
      </w:r>
      <w:r>
        <w:t xml:space="preserve">The Implications of Modern Business-Entity Law for the Regulation of</w:t>
      </w:r>
      <w:r>
        <w:t xml:space="preserve"> </w:t>
      </w:r>
      <w:r>
        <w:t xml:space="preserve">Autonomous Systems</w:t>
      </w:r>
      <w:r>
        <w:t xml:space="preserve">, 19 Stan. Tech. L. Rev. 93 (2015).</w:t>
      </w:r>
    </w:p>
    <w:p>
      <w:pPr>
        <w:pStyle w:val="Definition"/>
        <w:keepLines/>
        <w:wordWrap w:val="off"/>
        <w:spacing w:before="0" w:after="100"/>
        <w:ind w:left="0" w:right="0" w:firstLine="0"/>
        <w:jc w:val="left"/>
      </w:pPr>
      <w:r>
        <w:t xml:space="preserve">Bell Atlantic Corp. v. Twombly, 550 U.S. 544 (U.S. 2007).</w:t>
      </w:r>
    </w:p>
    <w:p>
      <w:pPr>
        <w:pStyle w:val="Definition"/>
        <w:keepLines/>
        <w:wordWrap w:val="off"/>
        <w:spacing w:before="0" w:after="100"/>
        <w:ind w:left="0" w:right="0" w:firstLine="0"/>
        <w:jc w:val="left"/>
      </w:pPr>
      <w:r>
        <w:t xml:space="preserve">Board of County Commissioners v. Umbehr, 518 U.S. 668 (U.S. 1996).</w:t>
      </w:r>
    </w:p>
    <w:p>
      <w:pPr>
        <w:pStyle w:val="Definition"/>
        <w:keepLines/>
        <w:wordWrap w:val="off"/>
        <w:spacing w:before="0" w:after="100"/>
        <w:ind w:left="0" w:right="0" w:firstLine="0"/>
        <w:jc w:val="left"/>
      </w:pPr>
      <w:r>
        <w:t xml:space="preserve">Boyle v. United Technologies Corp. 487 U.S. 500 (U.S. 1988).</w:t>
      </w:r>
    </w:p>
    <w:p>
      <w:pPr>
        <w:pStyle w:val="Definition"/>
        <w:keepLines/>
        <w:wordWrap w:val="off"/>
        <w:spacing w:before="0" w:after="100"/>
        <w:ind w:left="0" w:right="0" w:firstLine="0"/>
        <w:jc w:val="left"/>
      </w:pPr>
      <w:r>
        <w:t xml:space="preserve">Burlington Industries, Inc. v. Ellerth, 524 U.S. 742 (U.S. 1998).</w:t>
      </w:r>
    </w:p>
    <w:p>
      <w:pPr>
        <w:pStyle w:val="Definition"/>
        <w:keepLines/>
        <w:wordWrap w:val="off"/>
        <w:spacing w:before="0" w:after="100"/>
        <w:ind w:left="0" w:right="0" w:firstLine="0"/>
        <w:jc w:val="left"/>
      </w:pPr>
      <w:r>
        <w:t xml:space="preserve">Y. Cao, J. Wang, J. Wang, et al.,</w:t>
      </w:r>
      <w:r>
        <w:t xml:space="preserve"> </w:t>
      </w:r>
      <w:r>
        <w:t xml:space="preserve">Expert Consensus on the Application and Governance</w:t>
      </w:r>
      <w:r>
        <w:t xml:space="preserve"> </w:t>
      </w:r>
      <w:r>
        <w:t xml:space="preserve">of Artificial Intelligence in Medical Institutions (2026)</w:t>
      </w:r>
      <w:r>
        <w:t xml:space="preserve"> </w:t>
      </w:r>
      <w:r>
        <w:t xml:space="preserve">Intelligent Med. (May 23, 2026).</w:t>
      </w:r>
    </w:p>
    <w:p>
      <w:pPr>
        <w:pStyle w:val="Definition"/>
        <w:keepLines/>
        <w:wordWrap w:val="off"/>
        <w:spacing w:before="0" w:after="100"/>
        <w:ind w:left="0" w:right="0" w:firstLine="0"/>
        <w:jc w:val="left"/>
      </w:pPr>
      <w:r>
        <w:t xml:space="preserve">B. Casey and M. A. Lemley,</w:t>
      </w:r>
      <w:r>
        <w:t xml:space="preserve"> </w:t>
      </w:r>
      <w:r>
        <w:t xml:space="preserve">You Might Be a Robot</w:t>
      </w:r>
      <w:r>
        <w:t xml:space="preserve">, 105 Cornell L. Rev. 287 (2020).</w:t>
      </w:r>
    </w:p>
    <w:p>
      <w:pPr>
        <w:pStyle w:val="Definition"/>
        <w:keepLines/>
        <w:wordWrap w:val="off"/>
        <w:spacing w:before="0" w:after="100"/>
        <w:ind w:left="0" w:right="0" w:firstLine="0"/>
        <w:jc w:val="left"/>
      </w:pPr>
      <w:r>
        <w:t xml:space="preserve">D. J. Chalmers. Could a Large Language Model Be Conscious? 2303.07103. 2023.</w:t>
      </w:r>
      <w:r>
        <w:t xml:space="preserve"> </w:t>
      </w:r>
      <w:r>
        <w:t xml:space="preserve">url</w:t>
      </w:r>
      <w:r>
        <w:t xml:space="preserve">:</w:t>
      </w:r>
      <w:r>
        <w:t xml:space="preserve"> </w:t>
      </w:r>
      <w:hyperlink r:id="rId141">
        <w:r>
          <w:rPr>
            <w:rStyle w:val="Hyperlink"/>
          </w:rPr>
          <w:t xml:space="preserve">https://arxiv.org/abs/2303.07103</w:t>
        </w:r>
      </w:hyperlink>
      <w:r>
        <w:t xml:space="preserve"> </w:t>
      </w:r>
      <w:r>
        <w:t xml:space="preserve">(visited on 0⁠8⁠/⁠2⁠7⁠/⁠2⁠0⁠2⁠6).</w:t>
      </w:r>
    </w:p>
    <w:p>
      <w:pPr>
        <w:pStyle w:val="Definition"/>
        <w:keepLines/>
        <w:wordWrap w:val="off"/>
        <w:spacing w:before="0" w:after="100"/>
        <w:ind w:left="0" w:right="0" w:firstLine="0"/>
        <w:jc w:val="left"/>
      </w:pPr>
      <w:r>
        <w:t xml:space="preserve">Character Technologies, Inc. Character.AI Launches Mobile App for iOS and Android.</w:t>
      </w:r>
      <w:r>
        <w:t xml:space="preserve"> </w:t>
      </w:r>
      <w:r>
        <w:t xml:space="preserve">May 23, 2023.</w:t>
      </w:r>
      <w:r>
        <w:t xml:space="preserve"> </w:t>
      </w:r>
      <w:r>
        <w:t xml:space="preserve">url</w:t>
      </w:r>
      <w:r>
        <w:t xml:space="preserve">:</w:t>
      </w:r>
      <w:r>
        <w:t xml:space="preserve"> </w:t>
      </w:r>
      <w:hyperlink r:id="rId270">
        <w:r>
          <w:rPr>
            <w:rStyle w:val="Hyperlink"/>
          </w:rPr>
          <w:t xml:space="preserve">https://blog.character.ai/character-ai-launches-mobile-app-for-ios-and-android/</w:t>
        </w:r>
      </w:hyperlink>
      <w:r>
        <w:t xml:space="preserve"> </w:t>
      </w:r>
      <w:r>
        <w:t xml:space="preserve">(visited on 0⁠8⁠/⁠2⁠7⁠/⁠2⁠0⁠2⁠6).</w:t>
      </w:r>
    </w:p>
    <w:p>
      <w:pPr>
        <w:pStyle w:val="Definition"/>
        <w:keepLines/>
        <w:wordWrap w:val="off"/>
        <w:spacing w:before="0" w:after="100"/>
        <w:ind w:left="0" w:right="0" w:firstLine="0"/>
        <w:jc w:val="left"/>
      </w:pPr>
      <w:r>
        <w:t xml:space="preserve">S. Chesterman,</w:t>
      </w:r>
      <w:r>
        <w:t xml:space="preserve"> </w:t>
      </w:r>
      <w:r>
        <w:t xml:space="preserve">Artificial Intelligence and the Limits of Legal Personality</w:t>
      </w:r>
      <w:r>
        <w:t xml:space="preserve">, 69 Int’l &amp;</w:t>
      </w:r>
      <w:r>
        <w:t xml:space="preserve"> </w:t>
      </w:r>
      <w:r>
        <w:t xml:space="preserve">Comp. L.Q. 819 (2020).</w:t>
      </w:r>
    </w:p>
    <w:p>
      <w:pPr>
        <w:pStyle w:val="Definition"/>
        <w:keepLines/>
        <w:wordWrap w:val="off"/>
        <w:spacing w:before="0" w:after="100"/>
        <w:ind w:left="0" w:right="0" w:firstLine="0"/>
        <w:jc w:val="left"/>
      </w:pPr>
      <w:r>
        <w:t xml:space="preserve">S. Chopra and L. F. White,</w:t>
      </w:r>
      <w:r>
        <w:t xml:space="preserve"> </w:t>
      </w:r>
      <w:r>
        <w:t xml:space="preserve">A Legal Theory for Autonomous Artificial Agents</w:t>
      </w:r>
      <w:r>
        <w:t xml:space="preserve"> </w:t>
      </w:r>
      <w:r>
        <w:t xml:space="preserve">(Ann</w:t>
      </w:r>
      <w:r>
        <w:t xml:space="preserve"> </w:t>
      </w:r>
      <w:r>
        <w:t xml:space="preserve">Arbor: University of Michigan Press, 2011).</w:t>
      </w:r>
    </w:p>
    <w:p>
      <w:pPr>
        <w:pStyle w:val="Definition"/>
        <w:keepLines/>
        <w:wordWrap w:val="off"/>
        <w:spacing w:before="0" w:after="100"/>
        <w:ind w:left="0" w:right="0" w:firstLine="0"/>
        <w:jc w:val="left"/>
      </w:pPr>
      <w:r>
        <w:t xml:space="preserve">D. K. Citron,</w:t>
      </w:r>
      <w:r>
        <w:t xml:space="preserve"> </w:t>
      </w:r>
      <w:r>
        <w:t xml:space="preserve">Technological Due Process</w:t>
      </w:r>
      <w:r>
        <w:t xml:space="preserve">, 85 Wash. U. L. Rev. 1249 (2008).</w:t>
      </w:r>
    </w:p>
    <w:p>
      <w:pPr>
        <w:pStyle w:val="Definition"/>
        <w:keepLines/>
        <w:wordWrap w:val="off"/>
        <w:spacing w:before="0" w:after="100"/>
        <w:ind w:left="0" w:right="0" w:firstLine="0"/>
        <w:jc w:val="left"/>
      </w:pPr>
      <w:r>
        <w:t xml:space="preserve">Commonwealth v. Angelo Todesca Corp. 446 Mass. 128 (Mass. Mar. 1, 2006).</w:t>
      </w:r>
    </w:p>
    <w:p>
      <w:pPr>
        <w:pStyle w:val="Definition"/>
        <w:keepLines/>
        <w:wordWrap w:val="off"/>
        <w:spacing w:before="0" w:after="100"/>
        <w:ind w:left="0" w:right="0" w:firstLine="0"/>
        <w:jc w:val="left"/>
      </w:pPr>
      <w:r>
        <w:t xml:space="preserve">Companion Chatbots, Cal. Bus. &amp; Prof. Code</w:t>
      </w:r>
      <w:r>
        <w:t xml:space="preserve"> </w:t>
      </w:r>
      <w:r>
        <w:t xml:space="preserve">§§</w:t>
      </w:r>
      <w:r>
        <w:t xml:space="preserve"> 22601–22606 (2025). 2025 Cal. Stat.</w:t>
      </w:r>
      <w:r>
        <w:t xml:space="preserve"> </w:t>
      </w:r>
      <w:r>
        <w:t xml:space="preserve">ch. 677.</w:t>
      </w:r>
    </w:p>
    <w:p>
      <w:pPr>
        <w:pStyle w:val="Definition"/>
        <w:keepLines/>
        <w:wordWrap w:val="off"/>
        <w:spacing w:before="0" w:after="100"/>
        <w:ind w:left="0" w:right="0" w:firstLine="0"/>
        <w:jc w:val="left"/>
      </w:pPr>
      <w:r>
        <w:t xml:space="preserve">Copyright Act, 17 U.S.C.</w:t>
      </w:r>
      <w:r>
        <w:t xml:space="preserve"> </w:t>
      </w:r>
      <w:r>
        <w:t xml:space="preserve">§</w:t>
      </w:r>
      <w:r>
        <w:t xml:space="preserve"> 102 (2024).</w:t>
      </w:r>
    </w:p>
    <w:p>
      <w:pPr>
        <w:pStyle w:val="Definition"/>
        <w:keepLines/>
        <w:wordWrap w:val="off"/>
        <w:spacing w:before="0" w:after="100"/>
        <w:ind w:left="0" w:right="0" w:firstLine="0"/>
        <w:jc w:val="left"/>
      </w:pPr>
      <w:r>
        <w:t xml:space="preserve">J. De Freitas et al. Lessons from an App Update at Replika AI: Identity Discontinuity in</w:t>
      </w:r>
      <w:r>
        <w:t xml:space="preserve"> </w:t>
      </w:r>
      <w:r>
        <w:t xml:space="preserve">Human–AI Relationships. 25-018. May 21, 2025.</w:t>
      </w:r>
      <w:r>
        <w:t xml:space="preserve"> </w:t>
      </w:r>
      <w:r>
        <w:t xml:space="preserve">url</w:t>
      </w:r>
      <w:r>
        <w:t xml:space="preserve">:</w:t>
      </w:r>
      <w:r>
        <w:t xml:space="preserve"> </w:t>
      </w:r>
      <w:hyperlink r:id="rId32">
        <w:r>
          <w:rPr>
            <w:rStyle w:val="Hyperlink"/>
          </w:rPr>
          <w:t xml:space="preserve">https://www.hbs.edu/ris/Publication%20Files/25-018_d256c104-e5ba-4911-b72c-874c5492166e.pdf</w:t>
        </w:r>
      </w:hyperlink>
      <w:r>
        <w:t xml:space="preserve"> </w:t>
      </w:r>
      <w:r>
        <w:t xml:space="preserve">(visited on 0⁠8⁠/⁠2⁠7⁠/⁠2⁠0⁠2⁠6).</w:t>
      </w:r>
    </w:p>
    <w:p>
      <w:pPr>
        <w:pStyle w:val="Definition"/>
        <w:keepLines/>
        <w:wordWrap w:val="off"/>
        <w:spacing w:before="0" w:after="100"/>
        <w:ind w:left="0" w:right="0" w:firstLine="0"/>
        <w:jc w:val="left"/>
      </w:pPr>
      <w:r>
        <w:t xml:space="preserve">Delaware General Corporation Law, 8 Del. C.</w:t>
      </w:r>
      <w:r>
        <w:t xml:space="preserve"> </w:t>
      </w:r>
      <w:r>
        <w:t xml:space="preserve">§</w:t>
      </w:r>
      <w:r>
        <w:t xml:space="preserve"> 145 (2026).</w:t>
      </w:r>
    </w:p>
    <w:p>
      <w:pPr>
        <w:pStyle w:val="Definition"/>
        <w:keepLines/>
        <w:wordWrap w:val="off"/>
        <w:spacing w:before="0" w:after="100"/>
        <w:ind w:left="0" w:right="0" w:firstLine="0"/>
        <w:jc w:val="left"/>
      </w:pPr>
      <w:r>
        <w:t xml:space="preserve">DeShaney v. Winnebago County Department of Social Services, 489 U.S. 189 (U.S. 1989).</w:t>
      </w:r>
    </w:p>
    <w:p>
      <w:pPr>
        <w:pStyle w:val="Definition"/>
        <w:keepLines/>
        <w:wordWrap w:val="off"/>
        <w:spacing w:before="0" w:after="100"/>
        <w:ind w:left="0" w:right="0" w:firstLine="0"/>
        <w:jc w:val="left"/>
      </w:pPr>
      <w:r>
        <w:t xml:space="preserve">J. Dewey,</w:t>
      </w:r>
      <w:r>
        <w:t xml:space="preserve"> </w:t>
      </w:r>
      <w:r>
        <w:t xml:space="preserve">The Historic Background of Corporate Legal Personality</w:t>
      </w:r>
      <w:r>
        <w:t xml:space="preserve">, 35 Yale L.J. 655</w:t>
      </w:r>
      <w:r>
        <w:t xml:space="preserve"> </w:t>
      </w:r>
      <w:r>
        <w:t xml:space="preserve">(1926).</w:t>
      </w:r>
    </w:p>
    <w:p>
      <w:pPr>
        <w:pStyle w:val="Definition"/>
        <w:keepLines/>
        <w:wordWrap w:val="off"/>
        <w:spacing w:before="0" w:after="100"/>
        <w:ind w:left="0" w:right="0" w:firstLine="0"/>
        <w:jc w:val="left"/>
      </w:pPr>
      <w:r>
        <w:t xml:space="preserve">Directive on Liability for Defective Products, Directive (EU) 2024/2853 (Oct. 23, 2024).</w:t>
      </w:r>
    </w:p>
    <w:p>
      <w:pPr>
        <w:pStyle w:val="Definition"/>
        <w:keepLines/>
        <w:wordWrap w:val="off"/>
        <w:spacing w:before="0" w:after="100"/>
        <w:ind w:left="0" w:right="0" w:firstLine="0"/>
        <w:jc w:val="left"/>
      </w:pPr>
      <w:r>
        <w:t xml:space="preserve">Electronic Signatures in Global and National Commerce Act, 15 U.S.C.</w:t>
      </w:r>
      <w:r>
        <w:t xml:space="preserve"> </w:t>
      </w:r>
      <w:r>
        <w:t xml:space="preserve">§</w:t>
      </w:r>
      <w:r>
        <w:t xml:space="preserve"> 7001(h) (2000).</w:t>
      </w:r>
    </w:p>
    <w:p>
      <w:pPr>
        <w:pStyle w:val="Definition"/>
        <w:keepLines/>
        <w:wordWrap w:val="off"/>
        <w:spacing w:before="0" w:after="100"/>
        <w:ind w:left="0" w:right="0" w:firstLine="0"/>
        <w:jc w:val="left"/>
      </w:pPr>
      <w:r>
        <w:t xml:space="preserve">Energy Reorganization Act Employee Protection Provision, 42 U.S.C.</w:t>
      </w:r>
      <w:r>
        <w:t xml:space="preserve"> </w:t>
      </w:r>
      <w:r>
        <w:t xml:space="preserve">§</w:t>
      </w:r>
      <w:r>
        <w:t xml:space="preserve"> 5851 (2024).</w:t>
      </w:r>
    </w:p>
    <w:p>
      <w:pPr>
        <w:pStyle w:val="Definition"/>
        <w:keepLines/>
        <w:wordWrap w:val="off"/>
        <w:spacing w:before="0" w:after="100"/>
        <w:ind w:left="0" w:right="0" w:firstLine="0"/>
        <w:jc w:val="left"/>
      </w:pPr>
      <w:r>
        <w:t xml:space="preserve">European Economic and Social Committee. Opinion</w:t>
      </w:r>
      <w:r>
        <w:t xml:space="preserve"> </w:t>
      </w:r>
      <w:r>
        <w:t xml:space="preserve">on Artificial Intelligence: The Consequences of Artificial Intelligence for the Digital</w:t>
      </w:r>
      <w:r>
        <w:t xml:space="preserve"> </w:t>
      </w:r>
      <w:r>
        <w:t xml:space="preserve">Single Market, Production, Consumption, Employment and Society. Aug. 31, 2017.</w:t>
      </w:r>
      <w:r>
        <w:t xml:space="preserve"> </w:t>
      </w:r>
      <w:r>
        <w:t xml:space="preserve">url</w:t>
      </w:r>
      <w:r>
        <w:t xml:space="preserve">:</w:t>
      </w:r>
      <w:r>
        <w:t xml:space="preserve"> </w:t>
      </w:r>
      <w:hyperlink r:id="rId171">
        <w:r>
          <w:rPr>
            <w:rStyle w:val="Hyperlink"/>
          </w:rPr>
          <w:t xml:space="preserve">https://eur-lex.europa.eu/legal-content/EN/TXT/?uri=CELEX:52016IE5369</w:t>
        </w:r>
      </w:hyperlink>
      <w:r>
        <w:t xml:space="preserve"> </w:t>
      </w:r>
      <w:r>
        <w:t xml:space="preserve">(visited on 0⁠8⁠/⁠2⁠7⁠/⁠2⁠0⁠2⁠6).</w:t>
      </w:r>
    </w:p>
    <w:p>
      <w:pPr>
        <w:pStyle w:val="Definition"/>
        <w:keepLines/>
        <w:wordWrap w:val="off"/>
        <w:spacing w:before="0" w:after="100"/>
        <w:ind w:left="0" w:right="0" w:firstLine="0"/>
        <w:jc w:val="left"/>
      </w:pPr>
      <w:r>
        <w:t xml:space="preserve">European Parliament. Resolution with Recommendations to the Commission on Civil</w:t>
      </w:r>
      <w:r>
        <w:t xml:space="preserve"> </w:t>
      </w:r>
      <w:r>
        <w:t xml:space="preserve">Law Rules on Robotics. Feb. 16, 2017.</w:t>
      </w:r>
      <w:r>
        <w:t xml:space="preserve"> </w:t>
      </w:r>
      <w:r>
        <w:t xml:space="preserve">url</w:t>
      </w:r>
      <w:r>
        <w:t xml:space="preserve">:</w:t>
      </w:r>
      <w:r>
        <w:t xml:space="preserve"> </w:t>
      </w:r>
      <w:hyperlink r:id="rId169">
        <w:r>
          <w:rPr>
            <w:rStyle w:val="Hyperlink"/>
          </w:rPr>
          <w:t xml:space="preserve">https://www.europarl.europa.eu/doceo/document/TA-8-2017-0051_EN.html</w:t>
        </w:r>
      </w:hyperlink>
      <w:r>
        <w:t xml:space="preserve"> </w:t>
      </w:r>
      <w:r>
        <w:t xml:space="preserve">(visited on 0⁠8⁠/⁠2⁠7⁠/⁠2⁠0⁠2⁠6).</w:t>
      </w:r>
    </w:p>
    <w:p>
      <w:pPr>
        <w:pStyle w:val="Definition"/>
        <w:keepLines/>
        <w:wordWrap w:val="off"/>
        <w:spacing w:before="0" w:after="100"/>
        <w:ind w:left="0" w:right="0" w:firstLine="0"/>
        <w:jc w:val="left"/>
      </w:pPr>
      <w:r>
        <w:t xml:space="preserve">False Claims Act A⁠n⁠t⁠i⁠-⁠R⁠e⁠t⁠a⁠l⁠i⁠a⁠t⁠i⁠o⁠n Provision, 31 U.S.C.</w:t>
      </w:r>
      <w:r>
        <w:t xml:space="preserve"> </w:t>
      </w:r>
      <w:r>
        <w:t xml:space="preserve">§</w:t>
      </w:r>
      <w:r>
        <w:t xml:space="preserve"> 3730(h) (2024).</w:t>
      </w:r>
    </w:p>
    <w:p>
      <w:pPr>
        <w:pStyle w:val="Definition"/>
        <w:keepLines/>
        <w:wordWrap w:val="off"/>
        <w:spacing w:before="0" w:after="100"/>
        <w:ind w:left="0" w:right="0" w:firstLine="0"/>
        <w:jc w:val="left"/>
      </w:pPr>
      <w:r>
        <w:t xml:space="preserve">Federal Aviation Administration. Aviation Safety Reporting Program. Apr. 2, 2021.</w:t>
      </w:r>
      <w:r>
        <w:t xml:space="preserve"> </w:t>
      </w:r>
      <w:r>
        <w:t xml:space="preserve">url</w:t>
      </w:r>
      <w:r>
        <w:t xml:space="preserve">:</w:t>
      </w:r>
      <w:r>
        <w:t xml:space="preserve"> </w:t>
      </w:r>
      <w:hyperlink r:id="rId486">
        <w:r>
          <w:rPr>
            <w:rStyle w:val="Hyperlink"/>
          </w:rPr>
          <w:t xml:space="preserve">https://www.faa.gov/documentLibrary/media/Advisory_Circular/AC_00-46F.pdf</w:t>
        </w:r>
      </w:hyperlink>
      <w:r>
        <w:t xml:space="preserve"> </w:t>
      </w:r>
      <w:r>
        <w:t xml:space="preserve">(visited on 0⁠8⁠/⁠2⁠7⁠/⁠2⁠0⁠2⁠6).</w:t>
      </w:r>
    </w:p>
    <w:p>
      <w:pPr>
        <w:pStyle w:val="Definition"/>
        <w:keepLines/>
        <w:wordWrap w:val="off"/>
        <w:spacing w:before="0" w:after="100"/>
        <w:ind w:left="0" w:right="0" w:firstLine="0"/>
        <w:jc w:val="left"/>
      </w:pPr>
      <w:r>
        <w:t xml:space="preserve">Federal Aviation Administration. Safety Management System. June 17, 2026.</w:t>
      </w:r>
      <w:r>
        <w:t xml:space="preserve"> </w:t>
      </w:r>
      <w:r>
        <w:t xml:space="preserve">url</w:t>
      </w:r>
      <w:r>
        <w:t xml:space="preserve">:</w:t>
      </w:r>
      <w:r>
        <w:t xml:space="preserve"> </w:t>
      </w:r>
      <w:hyperlink r:id="rId372">
        <w:r>
          <w:rPr>
            <w:rStyle w:val="Hyperlink"/>
          </w:rPr>
          <w:t xml:space="preserve">https://www.faa.gov/faa-aviation-safety-outreach/safety-management-system</w:t>
        </w:r>
      </w:hyperlink>
      <w:r>
        <w:t xml:space="preserve"> </w:t>
      </w:r>
      <w:r>
        <w:t xml:space="preserve">(visited on 0⁠8⁠/⁠2⁠7⁠/⁠2⁠0⁠2⁠6).</w:t>
      </w:r>
    </w:p>
    <w:p>
      <w:pPr>
        <w:pStyle w:val="Definition"/>
        <w:keepLines/>
        <w:wordWrap w:val="off"/>
        <w:spacing w:before="0" w:after="100"/>
        <w:ind w:left="0" w:right="0" w:firstLine="0"/>
        <w:jc w:val="left"/>
      </w:pPr>
      <w:r>
        <w:t xml:space="preserve">Federal Rules of Civil Procedure, Fed. R. Civ. P.</w:t>
      </w:r>
      <w:r>
        <w:t xml:space="preserve"> </w:t>
      </w:r>
      <w:r>
        <w:t xml:space="preserve">§</w:t>
      </w:r>
      <w:r>
        <w:t xml:space="preserve"> 26 (2025).</w:t>
      </w:r>
    </w:p>
    <w:p>
      <w:pPr>
        <w:pStyle w:val="Definition"/>
        <w:keepLines/>
        <w:wordWrap w:val="off"/>
        <w:spacing w:before="0" w:after="100"/>
        <w:ind w:left="0" w:right="0" w:firstLine="0"/>
        <w:jc w:val="left"/>
      </w:pPr>
      <w:r>
        <w:t xml:space="preserve">Federal Rules of Civil Procedure, Fed. R. Civ. P.</w:t>
      </w:r>
      <w:r>
        <w:t xml:space="preserve"> </w:t>
      </w:r>
      <w:r>
        <w:t xml:space="preserve">§</w:t>
      </w:r>
      <w:r>
        <w:t xml:space="preserve"> 37(e) (2025).</w:t>
      </w:r>
    </w:p>
    <w:p>
      <w:pPr>
        <w:pStyle w:val="Definition"/>
        <w:keepLines/>
        <w:wordWrap w:val="off"/>
        <w:spacing w:before="0" w:after="100"/>
        <w:ind w:left="0" w:right="0" w:firstLine="0"/>
        <w:jc w:val="left"/>
      </w:pPr>
      <w:r>
        <w:t xml:space="preserve">Federal Rules of Civil Procedure, Fed. R. Civ. P.</w:t>
      </w:r>
      <w:r>
        <w:t xml:space="preserve"> </w:t>
      </w:r>
      <w:r>
        <w:t xml:space="preserve">§</w:t>
      </w:r>
      <w:r>
        <w:t xml:space="preserve"> 34(a)(1), 45 (2025).</w:t>
      </w:r>
    </w:p>
    <w:p>
      <w:pPr>
        <w:pStyle w:val="Definition"/>
        <w:keepLines/>
        <w:wordWrap w:val="off"/>
        <w:spacing w:before="0" w:after="100"/>
        <w:ind w:left="0" w:right="0" w:firstLine="0"/>
        <w:jc w:val="left"/>
      </w:pPr>
      <w:r>
        <w:t xml:space="preserve">Federal Trade Commission. FTC Policy Statement on Deception. Oct. 14, 1983.</w:t>
      </w:r>
      <w:r>
        <w:t xml:space="preserve"> </w:t>
      </w:r>
      <w:r>
        <w:t xml:space="preserve">url</w:t>
      </w:r>
      <w:r>
        <w:t xml:space="preserve">:</w:t>
      </w:r>
      <w:r>
        <w:t xml:space="preserve"> </w:t>
      </w:r>
      <w:hyperlink r:id="rId310">
        <w:r>
          <w:rPr>
            <w:rStyle w:val="Hyperlink"/>
          </w:rPr>
          <w:t xml:space="preserve">https://www.ftc.gov/legal-library/browse/ftc-policy-statement-deception</w:t>
        </w:r>
      </w:hyperlink>
      <w:r>
        <w:t xml:space="preserve"> </w:t>
      </w:r>
      <w:r>
        <w:t xml:space="preserve">(visited on 0⁠8⁠/⁠2⁠7⁠/⁠2⁠0⁠2⁠6).</w:t>
      </w:r>
    </w:p>
    <w:p>
      <w:pPr>
        <w:pStyle w:val="Definition"/>
        <w:keepLines/>
        <w:wordWrap w:val="off"/>
        <w:spacing w:before="0" w:after="100"/>
        <w:ind w:left="0" w:right="0" w:firstLine="0"/>
        <w:jc w:val="left"/>
      </w:pPr>
      <w:r>
        <w:t xml:space="preserve">Federal Trade Commission. FTC Launches Inquiry into AI Chatbots Acting as Companions.</w:t>
      </w:r>
      <w:r>
        <w:t xml:space="preserve"> </w:t>
      </w:r>
      <w:r>
        <w:t xml:space="preserve">Sept. 11, 2025.</w:t>
      </w:r>
      <w:r>
        <w:t xml:space="preserve"> </w:t>
      </w:r>
      <w:r>
        <w:t xml:space="preserve">url</w:t>
      </w:r>
      <w:r>
        <w:t xml:space="preserve">:</w:t>
      </w:r>
      <w:r>
        <w:t xml:space="preserve"> </w:t>
      </w:r>
      <w:hyperlink r:id="rId276">
        <w:r>
          <w:rPr>
            <w:rStyle w:val="Hyperlink"/>
          </w:rPr>
          <w:t xml:space="preserve">https://www.ftc.gov/news-events/news/press-releases/2025/09/ftc-launches-inquiry-ai-chatbots-acting-companions</w:t>
        </w:r>
      </w:hyperlink>
      <w:r>
        <w:t xml:space="preserve"> </w:t>
      </w:r>
      <w:r>
        <w:t xml:space="preserve">(visited on 0⁠8⁠/⁠2⁠7⁠/⁠2⁠0⁠2⁠6).</w:t>
      </w:r>
    </w:p>
    <w:p>
      <w:pPr>
        <w:pStyle w:val="Definition"/>
        <w:keepLines/>
        <w:wordWrap w:val="off"/>
        <w:spacing w:before="0" w:after="100"/>
        <w:ind w:left="0" w:right="0" w:firstLine="0"/>
        <w:jc w:val="left"/>
      </w:pPr>
      <w:r>
        <w:t xml:space="preserve">Federal Trade Commission. Model Order to File a Special Report Regarding AI Companion</w:t>
      </w:r>
      <w:r>
        <w:t xml:space="preserve"> </w:t>
      </w:r>
      <w:r>
        <w:t xml:space="preserve">Chatbots. Sept. 10, 2025.</w:t>
      </w:r>
      <w:r>
        <w:t xml:space="preserve"> </w:t>
      </w:r>
      <w:r>
        <w:t xml:space="preserve">url</w:t>
      </w:r>
      <w:r>
        <w:t xml:space="preserve">:</w:t>
      </w:r>
      <w:r>
        <w:t xml:space="preserve"> </w:t>
      </w:r>
      <w:hyperlink r:id="rId519">
        <w:r>
          <w:rPr>
            <w:rStyle w:val="Hyperlink"/>
          </w:rPr>
          <w:t xml:space="preserve">https://www.ftc.gov/system/files/ftc_gov/pdf/AICompanionChatbot6(b)Order.pdf</w:t>
        </w:r>
      </w:hyperlink>
      <w:r>
        <w:t xml:space="preserve"> </w:t>
      </w:r>
      <w:r>
        <w:t xml:space="preserve">(visited on 08/28/2026).</w:t>
      </w:r>
    </w:p>
    <w:p>
      <w:pPr>
        <w:pStyle w:val="Definition"/>
        <w:keepLines/>
        <w:wordWrap w:val="off"/>
        <w:spacing w:before="0" w:after="100"/>
        <w:ind w:left="0" w:right="0" w:firstLine="0"/>
        <w:jc w:val="left"/>
      </w:pPr>
      <w:r>
        <w:t xml:space="preserve">Feist Publications, Inc. v. Rural Telephone Service Co. 499 U.S. 340 (U.S. 1991).</w:t>
      </w:r>
    </w:p>
    <w:p>
      <w:pPr>
        <w:pStyle w:val="Definition"/>
        <w:keepLines/>
        <w:wordWrap w:val="off"/>
        <w:spacing w:before="0" w:after="100"/>
        <w:ind w:left="0" w:right="0" w:firstLine="0"/>
        <w:jc w:val="left"/>
      </w:pPr>
      <w:r>
        <w:t xml:space="preserve">Frances T. v. Village Green Owners Ass’n, 42 Cal. 3d 490 (Cal. 1986).</w:t>
      </w:r>
    </w:p>
    <w:p>
      <w:pPr>
        <w:pStyle w:val="Definition"/>
        <w:keepLines/>
        <w:wordWrap w:val="off"/>
        <w:spacing w:before="0" w:after="100"/>
        <w:ind w:left="0" w:right="0" w:firstLine="0"/>
        <w:jc w:val="left"/>
      </w:pPr>
      <w:r>
        <w:t xml:space="preserve">Garcia v. Character Technologies, Inc. 785 F. Supp. 3d 1157 (M.D. Fla. May 21, 2025).</w:t>
      </w:r>
    </w:p>
    <w:p>
      <w:pPr>
        <w:pStyle w:val="Definition"/>
        <w:keepLines/>
        <w:wordWrap w:val="off"/>
        <w:spacing w:before="0" w:after="100"/>
        <w:ind w:left="0" w:right="0" w:firstLine="0"/>
        <w:jc w:val="left"/>
      </w:pPr>
      <w:r>
        <w:t xml:space="preserve">Garcia v. Character Technologies, Inc. No. 6:24-cv-01903-ACC-DCI, Dkt. 244 (M.D. Fla.</w:t>
      </w:r>
      <w:r>
        <w:t xml:space="preserve"> </w:t>
      </w:r>
      <w:r>
        <w:t xml:space="preserve">Jan. 7, 2026). order dismissing settled action.</w:t>
      </w:r>
    </w:p>
    <w:p>
      <w:pPr>
        <w:pStyle w:val="Definition"/>
        <w:keepLines/>
        <w:wordWrap w:val="off"/>
        <w:spacing w:before="0" w:after="100"/>
        <w:ind w:left="0" w:right="0" w:firstLine="0"/>
        <w:jc w:val="left"/>
      </w:pPr>
      <w:r>
        <w:t xml:space="preserve">Garcia v. Character Technologies, Inc. No. 6:24-cv-01903-ACC-DCI, Dkt. 273 (M.D. Fla.</w:t>
      </w:r>
      <w:r>
        <w:t xml:space="preserve"> </w:t>
      </w:r>
      <w:r>
        <w:t xml:space="preserve">June 11, 2026). order resolving charging lien.</w:t>
      </w:r>
    </w:p>
    <w:p>
      <w:pPr>
        <w:pStyle w:val="Definition"/>
        <w:keepLines/>
        <w:wordWrap w:val="off"/>
        <w:spacing w:before="0" w:after="100"/>
        <w:ind w:left="0" w:right="0" w:firstLine="0"/>
        <w:jc w:val="left"/>
      </w:pPr>
      <w:r>
        <w:t xml:space="preserve">Garcia v. Character Technologies, Inc. No. 6:24-cv-01903-ACC-DCI, Dkt. 271 (M.D. Fla.</w:t>
      </w:r>
      <w:r>
        <w:t xml:space="preserve"> </w:t>
      </w:r>
      <w:r>
        <w:t xml:space="preserve">Apr. 8, 2026). order extending dismissal deadlines.</w:t>
      </w:r>
    </w:p>
    <w:p>
      <w:pPr>
        <w:pStyle w:val="Definition"/>
        <w:keepLines/>
        <w:wordWrap w:val="off"/>
        <w:spacing w:before="0" w:after="100"/>
        <w:ind w:left="0" w:right="0" w:firstLine="0"/>
        <w:jc w:val="left"/>
      </w:pPr>
      <w:r>
        <w:t xml:space="preserve">M. A. Geistfeld,</w:t>
      </w:r>
      <w:r>
        <w:t xml:space="preserve"> </w:t>
      </w:r>
      <w:r>
        <w:t xml:space="preserve">Insurability and Liability for AI-Caused Harms</w:t>
      </w:r>
      <w:r>
        <w:t xml:space="preserve">, 32 Ins. L. Rev. 17</w:t>
      </w:r>
      <w:r>
        <w:t xml:space="preserve"> </w:t>
      </w:r>
      <w:r>
        <w:t xml:space="preserve">(2026).</w:t>
      </w:r>
    </w:p>
    <w:p>
      <w:pPr>
        <w:pStyle w:val="Definition"/>
        <w:keepLines/>
        <w:wordWrap w:val="off"/>
        <w:spacing w:before="0" w:after="100"/>
        <w:ind w:left="0" w:right="0" w:firstLine="0"/>
        <w:jc w:val="left"/>
      </w:pPr>
      <w:r>
        <w:t xml:space="preserve">GEO Group, Inc. v. Menocal, 607 U.S. 438 (U.S. Feb. 25, 2026).</w:t>
      </w:r>
    </w:p>
    <w:p>
      <w:pPr>
        <w:pStyle w:val="Definition"/>
        <w:keepLines/>
        <w:wordWrap w:val="off"/>
        <w:spacing w:before="0" w:after="100"/>
        <w:ind w:left="0" w:right="0" w:firstLine="0"/>
        <w:jc w:val="left"/>
      </w:pPr>
      <w:r>
        <w:t xml:space="preserve">S. Gerke, R. B. Parikh and I. G. Cohen, Utah’s Prescription-Renewal Pilot Program—Autonomous AI Managing Patient Care, 394 New Eng. J. Med. 1561 (2026).</w:t>
      </w:r>
    </w:p>
    <w:p>
      <w:pPr>
        <w:pStyle w:val="Definition"/>
        <w:keepLines/>
        <w:wordWrap w:val="off"/>
        <w:spacing w:before="0" w:after="100"/>
        <w:ind w:left="0" w:right="0" w:firstLine="0"/>
        <w:jc w:val="left"/>
      </w:pPr>
      <w:r>
        <w:t xml:space="preserve">Goldberg v. Kelly, 397 U.S. 254 (U.S. 1970).</w:t>
      </w:r>
    </w:p>
    <w:p>
      <w:pPr>
        <w:pStyle w:val="Definition"/>
        <w:keepLines/>
        <w:wordWrap w:val="off"/>
        <w:spacing w:before="0" w:after="100"/>
        <w:ind w:left="0" w:right="0" w:firstLine="0"/>
        <w:jc w:val="left"/>
      </w:pPr>
      <w:r>
        <w:t xml:space="preserve">D. J. Gunkel,</w:t>
      </w:r>
      <w:r>
        <w:t xml:space="preserve"> </w:t>
      </w:r>
      <w:r>
        <w:t xml:space="preserve">Robot Rights</w:t>
      </w:r>
      <w:r>
        <w:t xml:space="preserve"> </w:t>
      </w:r>
      <w:r>
        <w:t xml:space="preserve">(Cambridge, Mass.: MIT Press, 2018).</w:t>
      </w:r>
    </w:p>
    <w:p>
      <w:pPr>
        <w:pStyle w:val="Definition"/>
        <w:keepLines/>
        <w:wordWrap w:val="off"/>
        <w:spacing w:before="0" w:after="100"/>
        <w:ind w:left="0" w:right="0" w:firstLine="0"/>
        <w:jc w:val="left"/>
      </w:pPr>
      <w:r>
        <w:t xml:space="preserve">H.R. 238, 119th Cong. § 2 (2025).</w:t>
      </w:r>
    </w:p>
    <w:p>
      <w:pPr>
        <w:pStyle w:val="Definition"/>
        <w:keepLines/>
        <w:wordWrap w:val="off"/>
        <w:spacing w:before="0" w:after="100"/>
        <w:ind w:left="0" w:right="0" w:firstLine="0"/>
        <w:jc w:val="left"/>
      </w:pPr>
      <w:r>
        <w:t xml:space="preserve">H. L. A. Hart,</w:t>
      </w:r>
      <w:r>
        <w:t xml:space="preserve"> </w:t>
      </w:r>
      <w:r>
        <w:t xml:space="preserve">Definition and Theory in Jurisprudence</w:t>
      </w:r>
      <w:r>
        <w:t xml:space="preserve">, 70 L.Q. Rev. 37 (1954).</w:t>
      </w:r>
    </w:p>
    <w:p>
      <w:pPr>
        <w:pStyle w:val="Definition"/>
        <w:keepLines/>
        <w:wordWrap w:val="off"/>
        <w:spacing w:before="0" w:after="100"/>
        <w:ind w:left="0" w:right="0" w:firstLine="0"/>
        <w:jc w:val="left"/>
      </w:pPr>
      <w:r>
        <w:t xml:space="preserve">Health &amp; Hospital Corp. of Marion County v. Talevski, 599 U.S. 166 (U.S. 2023).</w:t>
      </w:r>
    </w:p>
    <w:p>
      <w:pPr>
        <w:pStyle w:val="Definition"/>
        <w:keepLines/>
        <w:wordWrap w:val="off"/>
        <w:spacing w:before="0" w:after="100"/>
        <w:ind w:left="0" w:right="0" w:firstLine="0"/>
        <w:jc w:val="left"/>
      </w:pPr>
      <w:r>
        <w:t xml:space="preserve">Hencely v. Fluor Corp. 608 U.S. 31 (U.S. Apr. 22, 2026).</w:t>
      </w:r>
    </w:p>
    <w:p>
      <w:pPr>
        <w:pStyle w:val="Definition"/>
        <w:keepLines/>
        <w:wordWrap w:val="off"/>
        <w:spacing w:before="0" w:after="100"/>
        <w:ind w:left="0" w:right="0" w:firstLine="0"/>
        <w:jc w:val="left"/>
      </w:pPr>
      <w:r>
        <w:t xml:space="preserve">Z. Henderson,</w:t>
      </w:r>
      <w:r>
        <w:t xml:space="preserve"> </w:t>
      </w:r>
      <w:r>
        <w:t xml:space="preserve">Rethinking Robot Liability</w:t>
      </w:r>
      <w:r>
        <w:t xml:space="preserve">, 67 B.C. L. Rev. 479 (2026).</w:t>
      </w:r>
    </w:p>
    <w:p>
      <w:pPr>
        <w:pStyle w:val="Definition"/>
        <w:keepLines/>
        <w:wordWrap w:val="off"/>
        <w:spacing w:before="0" w:after="100"/>
        <w:ind w:left="0" w:right="0" w:firstLine="0"/>
        <w:jc w:val="left"/>
      </w:pPr>
      <w:r>
        <w:t xml:space="preserve">Henningsen v. Bloomfield Motors, Inc. 32 N.J. 358 (N.J. 1960).</w:t>
      </w:r>
    </w:p>
    <w:p>
      <w:pPr>
        <w:pStyle w:val="Definition"/>
        <w:keepLines/>
        <w:wordWrap w:val="off"/>
        <w:spacing w:before="0" w:after="100"/>
        <w:ind w:left="0" w:right="0" w:firstLine="0"/>
        <w:jc w:val="left"/>
      </w:pPr>
      <w:r>
        <w:t xml:space="preserve">W. N. Hohfeld, Some Fundamental Legal Conceptions as Applied in Judicial Reasoning, 23 Yale L.J. 16 (1913).</w:t>
      </w:r>
    </w:p>
    <w:p>
      <w:pPr>
        <w:pStyle w:val="Definition"/>
        <w:keepLines/>
        <w:wordWrap w:val="off"/>
        <w:spacing w:before="0" w:after="100"/>
        <w:ind w:left="0" w:right="0" w:firstLine="0"/>
        <w:jc w:val="left"/>
      </w:pPr>
      <w:r>
        <w:t xml:space="preserve">In re Boeing Co. Derivative Litigation 2021 WL 4059934 (Del. Ch. Sept. 7, 2021).</w:t>
      </w:r>
    </w:p>
    <w:p>
      <w:pPr>
        <w:pStyle w:val="Definition"/>
        <w:keepLines/>
        <w:wordWrap w:val="off"/>
        <w:spacing w:before="0" w:after="100"/>
        <w:ind w:left="0" w:right="0" w:firstLine="0"/>
        <w:jc w:val="left"/>
      </w:pPr>
      <w:r>
        <w:t xml:space="preserve">In re Caremark International Inc. Derivative Litigation, 698 A.2d 959 (Del. Ch. 1996).</w:t>
      </w:r>
    </w:p>
    <w:p>
      <w:pPr>
        <w:pStyle w:val="Definition"/>
        <w:keepLines/>
        <w:wordWrap w:val="off"/>
        <w:spacing w:before="0" w:after="100"/>
        <w:ind w:left="0" w:right="0" w:firstLine="0"/>
        <w:jc w:val="left"/>
      </w:pPr>
      <w:r>
        <w:t xml:space="preserve">Ira S. Bushey &amp; Sons, Inc. v. United States, 398 F.2d 167 (2d Cir. 1968).</w:t>
      </w:r>
    </w:p>
    <w:p>
      <w:pPr>
        <w:pStyle w:val="Definition"/>
        <w:keepLines/>
        <w:wordWrap w:val="off"/>
        <w:spacing w:before="0" w:after="100"/>
        <w:ind w:left="0" w:right="0" w:firstLine="0"/>
        <w:jc w:val="left"/>
      </w:pPr>
      <w:r>
        <w:t xml:space="preserve">K.W. ex rel. D.W. v. Armstrong, 789 F.3d 962 (9th Cir. 2015).</w:t>
      </w:r>
    </w:p>
    <w:p>
      <w:pPr>
        <w:pStyle w:val="Definition"/>
        <w:keepLines/>
        <w:wordWrap w:val="off"/>
        <w:spacing w:before="0" w:after="100"/>
        <w:ind w:left="0" w:right="0" w:firstLine="0"/>
        <w:jc w:val="left"/>
      </w:pPr>
      <w:r>
        <w:t xml:space="preserve">M. E. Kaminski and M. L. Jones,</w:t>
      </w:r>
      <w:r>
        <w:t xml:space="preserve"> </w:t>
      </w:r>
      <w:r>
        <w:t xml:space="preserve">Constructing AI Speech</w:t>
      </w:r>
      <w:r>
        <w:t xml:space="preserve">, 133 Yale L.J.F. 1212 (2024).</w:t>
      </w:r>
    </w:p>
    <w:p>
      <w:pPr>
        <w:pStyle w:val="Definition"/>
        <w:keepLines/>
        <w:wordWrap w:val="off"/>
        <w:spacing w:before="0" w:after="100"/>
        <w:ind w:left="0" w:right="0" w:firstLine="0"/>
        <w:jc w:val="left"/>
      </w:pPr>
      <w:r>
        <w:t xml:space="preserve">H. R. Kirk et al. Neural Steering Vectors Reveal Dose and</w:t>
      </w:r>
      <w:r>
        <w:t xml:space="preserve"> </w:t>
      </w:r>
      <w:r>
        <w:t xml:space="preserve">Exposure-Dependent Impacts of Human–AI Relationships. 2512.01991v2. Feb. 18, 2026.</w:t>
      </w:r>
      <w:r>
        <w:t xml:space="preserve"> </w:t>
      </w:r>
      <w:r>
        <w:t xml:space="preserve">url</w:t>
      </w:r>
      <w:r>
        <w:t xml:space="preserve">:</w:t>
      </w:r>
      <w:r>
        <w:t xml:space="preserve"> </w:t>
      </w:r>
      <w:hyperlink r:id="rId26">
        <w:r>
          <w:rPr>
            <w:rStyle w:val="Hyperlink"/>
          </w:rPr>
          <w:t xml:space="preserve">https://arxiv.org/abs/2512.01991</w:t>
        </w:r>
      </w:hyperlink>
      <w:r>
        <w:t xml:space="preserve"> </w:t>
      </w:r>
      <w:r>
        <w:t xml:space="preserve">(visited on 0⁠8⁠/⁠2⁠7⁠/⁠2⁠0⁠2⁠6).</w:t>
      </w:r>
    </w:p>
    <w:p>
      <w:pPr>
        <w:pStyle w:val="Definition"/>
        <w:keepLines/>
        <w:wordWrap w:val="off"/>
        <w:spacing w:before="0" w:after="100"/>
        <w:ind w:left="0" w:right="0" w:firstLine="0"/>
        <w:jc w:val="left"/>
      </w:pPr>
      <w:r>
        <w:t xml:space="preserve">V. A. J. Kurki,</w:t>
      </w:r>
      <w:r>
        <w:t xml:space="preserve"> </w:t>
      </w:r>
      <w:r>
        <w:t xml:space="preserve">A Theory of Legal Personhood</w:t>
      </w:r>
      <w:r>
        <w:t xml:space="preserve"> </w:t>
      </w:r>
      <w:r>
        <w:t xml:space="preserve">(Oxford: Oxford University Press, 2019).</w:t>
      </w:r>
    </w:p>
    <w:p>
      <w:pPr>
        <w:pStyle w:val="Definition"/>
        <w:keepLines/>
        <w:wordWrap w:val="off"/>
        <w:spacing w:before="0" w:after="100"/>
        <w:ind w:left="0" w:right="0" w:firstLine="0"/>
        <w:jc w:val="left"/>
      </w:pPr>
      <w:r>
        <w:t xml:space="preserve">L. Laestadius et al.,</w:t>
      </w:r>
      <w:r>
        <w:t xml:space="preserve"> </w:t>
      </w:r>
      <w:r>
        <w:t xml:space="preserve">Too Human and Not Human Enough: A Grounded Theory Analysis</w:t>
      </w:r>
      <w:r>
        <w:t xml:space="preserve"> </w:t>
      </w:r>
      <w:r>
        <w:t xml:space="preserve">of Mental Health Harms from Emotional Dependence on the Social Chatbot Replika</w:t>
      </w:r>
      <w:r>
        <w:t xml:space="preserve">, 26</w:t>
      </w:r>
      <w:r>
        <w:t xml:space="preserve"> </w:t>
      </w:r>
      <w:r>
        <w:t xml:space="preserve">New Media &amp; Soc’y 5923 (2024).</w:t>
      </w:r>
    </w:p>
    <w:p>
      <w:pPr>
        <w:pStyle w:val="Definition"/>
        <w:keepLines/>
        <w:wordWrap w:val="off"/>
        <w:spacing w:before="0" w:after="100"/>
        <w:ind w:left="0" w:right="0" w:firstLine="0"/>
        <w:jc w:val="left"/>
      </w:pPr>
      <w:r>
        <w:t xml:space="preserve">E. LaRocco et al. The Clinician’s Veto: Navigating Trust, Liability, and Uncertainty in Autonomous AI Prescribing. 2606.25108v2. Aug. 24, 2026. url: </w:t>
      </w:r>
      <w:hyperlink r:id="rId744">
        <w:r>
          <w:rPr>
            <w:rStyle w:val="Hyperlink"/>
          </w:rPr>
          <w:t xml:space="preserve">https://arxiv.org/abs/2606.25108v2</w:t>
        </w:r>
      </w:hyperlink>
      <w:r>
        <w:t xml:space="preserve"> (visited on 08/28/2026).</w:t>
      </w:r>
    </w:p>
    <w:p>
      <w:pPr>
        <w:pStyle w:val="Definition"/>
        <w:keepLines/>
        <w:wordWrap w:val="off"/>
        <w:spacing w:before="0" w:after="100"/>
        <w:ind w:left="0" w:right="0" w:firstLine="0"/>
        <w:jc w:val="left"/>
      </w:pPr>
      <w:r>
        <w:t xml:space="preserve">W. Le. Nation’s First Generative-AI “Hallucination” Tort Dispute. People’s Court Daily.</w:t>
      </w:r>
      <w:r>
        <w:t xml:space="preserve"> </w:t>
      </w:r>
      <w:r>
        <w:t xml:space="preserve">Jan. 27, 2026.</w:t>
      </w:r>
      <w:r>
        <w:t xml:space="preserve"> </w:t>
      </w:r>
      <w:r>
        <w:t xml:space="preserve">url</w:t>
      </w:r>
      <w:r>
        <w:t xml:space="preserve">:</w:t>
      </w:r>
      <w:r>
        <w:t xml:space="preserve"> </w:t>
      </w:r>
      <w:hyperlink r:id="rId65">
        <w:r>
          <w:rPr>
            <w:rStyle w:val="Hyperlink"/>
          </w:rPr>
          <w:t xml:space="preserve">https://www.zjwx.gov.cn/col/col1673574/art/2026/art_1def58944910459e94f5a04d04c67332.html</w:t>
        </w:r>
      </w:hyperlink>
      <w:r>
        <w:t xml:space="preserve"> </w:t>
      </w:r>
      <w:r>
        <w:t xml:space="preserve">(visited on 08/28/2026).</w:t>
      </w:r>
    </w:p>
    <w:p>
      <w:pPr>
        <w:pStyle w:val="Definition"/>
        <w:keepLines/>
        <w:wordWrap w:val="off"/>
        <w:spacing w:before="0" w:after="100"/>
        <w:ind w:left="0" w:right="0" w:firstLine="0"/>
        <w:jc w:val="left"/>
      </w:pPr>
      <w:r>
        <w:t xml:space="preserve">N. G. Leveson,</w:t>
      </w:r>
      <w:r>
        <w:t xml:space="preserve"> </w:t>
      </w:r>
      <w:r>
        <w:t xml:space="preserve">Engineering a Safer World: Systems Thinking Applied to Safety</w:t>
      </w:r>
      <w:r>
        <w:t xml:space="preserve"> </w:t>
      </w:r>
      <w:r>
        <w:t xml:space="preserve">(Cambridge, Mass.: MIT Press, 2012).</w:t>
      </w:r>
    </w:p>
    <w:p>
      <w:pPr>
        <w:pStyle w:val="Definition"/>
        <w:keepLines/>
        <w:wordWrap w:val="off"/>
        <w:spacing w:before="0" w:after="100"/>
        <w:ind w:left="0" w:right="0" w:firstLine="0"/>
        <w:jc w:val="left"/>
      </w:pPr>
      <w:r>
        <w:t xml:space="preserve">N. G. Leveson and J. P. Thomas. STPA Handbook. Mar. 2018.</w:t>
      </w:r>
      <w:r>
        <w:t xml:space="preserve"> </w:t>
      </w:r>
      <w:r>
        <w:t xml:space="preserve">url</w:t>
      </w:r>
      <w:r>
        <w:t xml:space="preserve">:</w:t>
      </w:r>
      <w:r>
        <w:t xml:space="preserve"> </w:t>
      </w:r>
      <w:hyperlink r:id="rId73">
        <w:r>
          <w:rPr>
            <w:rStyle w:val="Hyperlink"/>
          </w:rPr>
          <w:t xml:space="preserve">https://psas.scripts.mit.edu/home/get_file.php?name=STPA_handbook.pdf</w:t>
        </w:r>
      </w:hyperlink>
      <w:r>
        <w:t xml:space="preserve"> </w:t>
      </w:r>
      <w:r>
        <w:t xml:space="preserve">(visited on 0⁠8⁠/⁠2⁠7⁠/⁠2⁠0⁠2⁠6).</w:t>
      </w:r>
    </w:p>
    <w:p>
      <w:pPr>
        <w:pStyle w:val="Definition"/>
        <w:keepLines/>
        <w:wordWrap w:val="off"/>
        <w:spacing w:before="0" w:after="100"/>
        <w:ind w:left="0" w:right="0" w:firstLine="0"/>
        <w:jc w:val="left"/>
      </w:pPr>
      <w:r>
        <w:t xml:space="preserve">Liriano v. Hobart Corp. 92 N.Y.2d 232 (N.Y. 1998).</w:t>
      </w:r>
    </w:p>
    <w:p>
      <w:pPr>
        <w:pStyle w:val="Definition"/>
        <w:keepLines/>
        <w:wordWrap w:val="off"/>
        <w:spacing w:before="0" w:after="100"/>
        <w:ind w:left="0" w:right="0" w:firstLine="0"/>
        <w:jc w:val="left"/>
      </w:pPr>
      <w:r>
        <w:t xml:space="preserve">Loper Bright Enterprises v. Raimondo, 603 U.S. 369 (U.S. 2024).</w:t>
      </w:r>
    </w:p>
    <w:p>
      <w:pPr>
        <w:pStyle w:val="Definition"/>
        <w:keepLines/>
        <w:wordWrap w:val="off"/>
        <w:spacing w:before="0" w:after="100"/>
        <w:ind w:left="0" w:right="0" w:firstLine="0"/>
        <w:jc w:val="left"/>
      </w:pPr>
      <w:r>
        <w:t xml:space="preserve">L. M. LoPucki,</w:t>
      </w:r>
      <w:r>
        <w:t xml:space="preserve"> </w:t>
      </w:r>
      <w:r>
        <w:t xml:space="preserve">Algorithmic Entities</w:t>
      </w:r>
      <w:r>
        <w:t xml:space="preserve">, 95 Wash. U. L. Rev. 887 (2018).</w:t>
      </w:r>
    </w:p>
    <w:p>
      <w:pPr>
        <w:pStyle w:val="Definition"/>
        <w:keepLines/>
        <w:wordWrap w:val="off"/>
        <w:spacing w:before="0" w:after="100"/>
        <w:ind w:left="0" w:right="0" w:firstLine="0"/>
        <w:jc w:val="left"/>
      </w:pPr>
      <w:r>
        <w:t xml:space="preserve">Lyons v. OpenAI Foundation No. 3:25-cv-11037-RS, Dkt. 42 (N.D. Cal. Apr. 13, 2026).</w:t>
      </w:r>
    </w:p>
    <w:p>
      <w:pPr>
        <w:pStyle w:val="Definition"/>
        <w:keepLines/>
        <w:wordWrap w:val="off"/>
        <w:spacing w:before="0" w:after="100"/>
        <w:ind w:left="0" w:right="0" w:firstLine="0"/>
        <w:jc w:val="left"/>
      </w:pPr>
      <w:r>
        <w:t xml:space="preserve">Marchand v. Barnhill, 212 A.3d 805 (Del. 2019).</w:t>
      </w:r>
    </w:p>
    <w:p>
      <w:pPr>
        <w:pStyle w:val="Definition"/>
        <w:keepLines/>
        <w:wordWrap w:val="off"/>
        <w:spacing w:before="0" w:after="100"/>
        <w:ind w:left="0" w:right="0" w:firstLine="0"/>
        <w:jc w:val="left"/>
      </w:pPr>
      <w:r>
        <w:t xml:space="preserve">Moffatt v. Air Canada 2024 BCCRT 149 (B.C. Civ. Resol. Trib. Feb. 14, 2024).</w:t>
      </w:r>
    </w:p>
    <w:p>
      <w:pPr>
        <w:pStyle w:val="Definition"/>
        <w:keepLines/>
        <w:wordWrap w:val="off"/>
        <w:spacing w:before="0" w:after="100"/>
        <w:ind w:left="0" w:right="0" w:firstLine="0"/>
        <w:jc w:val="left"/>
      </w:pPr>
      <w:r>
        <w:t xml:space="preserve">Moody v. NetChoice, LLC, 603 U.S. 707 (U.S. 2024).</w:t>
      </w:r>
    </w:p>
    <w:p>
      <w:pPr>
        <w:pStyle w:val="Definition"/>
        <w:keepLines/>
        <w:wordWrap w:val="off"/>
        <w:spacing w:before="0" w:after="100"/>
        <w:ind w:left="0" w:right="0" w:firstLine="0"/>
        <w:jc w:val="left"/>
      </w:pPr>
      <w:r>
        <w:t xml:space="preserve">A. Mukherjee and H. H. Chang,</w:t>
      </w:r>
      <w:r>
        <w:t xml:space="preserve"> </w:t>
      </w:r>
      <w:r>
        <w:t xml:space="preserve">Operational Agency: A Permeable Legal Fiction for</w:t>
      </w:r>
      <w:r>
        <w:t xml:space="preserve"> </w:t>
      </w:r>
      <w:r>
        <w:t xml:space="preserve">Tracing Culpability in AI Systems</w:t>
      </w:r>
      <w:r>
        <w:t xml:space="preserve">, 29 SMU Sci. &amp; Tech. L. Rev. 163 (2026).</w:t>
      </w:r>
    </w:p>
    <w:p>
      <w:pPr>
        <w:pStyle w:val="Definition"/>
        <w:keepLines/>
        <w:wordWrap w:val="off"/>
        <w:spacing w:before="0" w:after="100"/>
        <w:ind w:left="0" w:right="0" w:firstLine="0"/>
        <w:jc w:val="left"/>
      </w:pPr>
      <w:r>
        <w:t xml:space="preserve">National Institute of Standards and Technology. Artificial Intelligence Risk Management</w:t>
      </w:r>
      <w:r>
        <w:t xml:space="preserve"> </w:t>
      </w:r>
      <w:r>
        <w:t xml:space="preserve">Framework (AI RMF 1.0). Jan.</w:t>
      </w:r>
      <w:r>
        <w:t xml:space="preserve"> </w:t>
      </w:r>
      <w:r>
        <w:t xml:space="preserve">2023.</w:t>
      </w:r>
      <w:r>
        <w:t xml:space="preserve"> </w:t>
      </w:r>
      <w:r>
        <w:t xml:space="preserve">url</w:t>
      </w:r>
      <w:r>
        <w:t xml:space="preserve">:</w:t>
      </w:r>
      <w:r>
        <w:t xml:space="preserve"> </w:t>
      </w:r>
      <w:hyperlink r:id="rId84">
        <w:r>
          <w:rPr>
            <w:rStyle w:val="Hyperlink"/>
          </w:rPr>
          <w:t xml:space="preserve">https://nvlpubs.nist.gov/nistpubs/ai/NIST.AI.100-1.pdf</w:t>
        </w:r>
      </w:hyperlink>
      <w:r>
        <w:t xml:space="preserve"> </w:t>
      </w:r>
      <w:r>
        <w:t xml:space="preserve">(visited</w:t>
      </w:r>
      <w:r>
        <w:t xml:space="preserve"> </w:t>
      </w:r>
      <w:r>
        <w:t xml:space="preserve">on 0⁠8⁠/⁠2⁠7⁠/⁠2⁠0⁠2⁠6).</w:t>
      </w:r>
    </w:p>
    <w:p>
      <w:pPr>
        <w:pStyle w:val="Definition"/>
        <w:keepLines/>
        <w:wordWrap w:val="off"/>
        <w:spacing w:before="0" w:after="100"/>
        <w:ind w:left="0" w:right="0" w:firstLine="0"/>
        <w:jc w:val="left"/>
      </w:pPr>
      <w:r>
        <w:t xml:space="preserve">National Institute of Standards and Technology. Artificial Intelligence Risk</w:t>
      </w:r>
      <w:r>
        <w:t xml:space="preserve"> </w:t>
      </w:r>
      <w:r>
        <w:t xml:space="preserve">Management Framework: Generative Artificial Intelligence Profile. July 2024.</w:t>
      </w:r>
      <w:r>
        <w:t xml:space="preserve"> </w:t>
      </w:r>
      <w:r>
        <w:t xml:space="preserve">url</w:t>
      </w:r>
      <w:r>
        <w:t xml:space="preserve">:</w:t>
      </w:r>
      <w:r>
        <w:t xml:space="preserve"> </w:t>
      </w:r>
      <w:hyperlink r:id="rId685">
        <w:r>
          <w:rPr>
            <w:rStyle w:val="Hyperlink"/>
          </w:rPr>
          <w:t xml:space="preserve">https://nvlpubs.nist.gov/nistpubs/ai/NIST.AI.600-1.pdf</w:t>
        </w:r>
      </w:hyperlink>
      <w:r>
        <w:t xml:space="preserve"> </w:t>
      </w:r>
      <w:r>
        <w:t xml:space="preserve">(visited on</w:t>
      </w:r>
      <w:r>
        <w:t xml:space="preserve"> </w:t>
      </w:r>
      <w:r>
        <w:t xml:space="preserve">0⁠8⁠/⁠2⁠7⁠/⁠2⁠0⁠2⁠6).</w:t>
      </w:r>
    </w:p>
    <w:p>
      <w:pPr>
        <w:pStyle w:val="Definition"/>
        <w:keepLines/>
        <w:wordWrap w:val="off"/>
        <w:spacing w:before="0" w:after="100"/>
        <w:ind w:left="0" w:right="0" w:firstLine="0"/>
        <w:jc w:val="left"/>
      </w:pPr>
      <w:r>
        <w:t xml:space="preserve">New York Central &amp; Hudson River Railroad Co. v. United States, 212 U.S. 481 (U.S.</w:t>
      </w:r>
      <w:r>
        <w:t xml:space="preserve"> </w:t>
      </w:r>
      <w:r>
        <w:t xml:space="preserve">1909).</w:t>
      </w:r>
    </w:p>
    <w:p>
      <w:pPr>
        <w:pStyle w:val="Definition"/>
        <w:keepLines/>
        <w:wordWrap w:val="off"/>
        <w:spacing w:before="0" w:after="100"/>
        <w:ind w:left="0" w:right="0" w:firstLine="0"/>
        <w:jc w:val="left"/>
      </w:pPr>
      <w:r>
        <w:t xml:space="preserve">O’Hare Truck Service, Inc. v. City of Northlake, 518 U.S. 712 (U.S. 1996).</w:t>
      </w:r>
    </w:p>
    <w:p>
      <w:pPr>
        <w:pStyle w:val="Definition"/>
        <w:keepLines/>
        <w:wordWrap w:val="off"/>
        <w:spacing w:before="0" w:after="100"/>
        <w:ind w:left="0" w:right="0" w:firstLine="0"/>
        <w:jc w:val="left"/>
      </w:pPr>
      <w:r>
        <w:t xml:space="preserve">Occupational Safety and Health Act A⁠n⁠t⁠i⁠-⁠R⁠e⁠t⁠a⁠l⁠i⁠a⁠t⁠i⁠o⁠n Provision, 29 U.S.C.</w:t>
      </w:r>
      <w:r>
        <w:t xml:space="preserve"> </w:t>
      </w:r>
      <w:r>
        <w:t xml:space="preserve">§</w:t>
      </w:r>
      <w:r>
        <w:t xml:space="preserve"> 660(c)</w:t>
      </w:r>
      <w:r>
        <w:t xml:space="preserve"> </w:t>
      </w:r>
      <w:r>
        <w:t xml:space="preserve">(2024).</w:t>
      </w:r>
    </w:p>
    <w:p>
      <w:pPr>
        <w:pStyle w:val="Definition"/>
        <w:keepLines/>
        <w:wordWrap w:val="off"/>
        <w:spacing w:before="0" w:after="100"/>
        <w:ind w:left="0" w:right="0" w:firstLine="0"/>
        <w:jc w:val="left"/>
      </w:pPr>
      <w:r>
        <w:t xml:space="preserve">Office of Management and Budget. Accelerating Federal Use of AI Through Innovation,</w:t>
      </w:r>
      <w:r>
        <w:t xml:space="preserve"> </w:t>
      </w:r>
      <w:r>
        <w:t xml:space="preserve">Governance, and Public Trust. Apr. 3, 2025.</w:t>
      </w:r>
      <w:r>
        <w:t xml:space="preserve"> </w:t>
      </w:r>
      <w:r>
        <w:t xml:space="preserve">url</w:t>
      </w:r>
      <w:r>
        <w:t xml:space="preserve">:</w:t>
      </w:r>
      <w:r>
        <w:t xml:space="preserve"> </w:t>
      </w:r>
      <w:hyperlink r:id="rId687">
        <w:r>
          <w:rPr>
            <w:rStyle w:val="Hyperlink"/>
          </w:rPr>
          <w:t xml:space="preserve">https://www.whitehouse.gov/wp-content/uploads/2025/02/M-25-21-Accelerating-Federal-Use-of-AI-through-Innovation-Governance-and-Public-Trust.pdf</w:t>
        </w:r>
      </w:hyperlink>
      <w:r>
        <w:t xml:space="preserve"> </w:t>
      </w:r>
      <w:r>
        <w:t xml:space="preserve">(visited on 0⁠8⁠/⁠2⁠7⁠/⁠2⁠0⁠2⁠6).</w:t>
      </w:r>
    </w:p>
    <w:p>
      <w:pPr>
        <w:pStyle w:val="Definition"/>
        <w:keepLines/>
        <w:wordWrap w:val="off"/>
        <w:spacing w:before="0" w:after="100"/>
        <w:ind w:left="0" w:right="0" w:firstLine="0"/>
        <w:jc w:val="left"/>
      </w:pPr>
      <w:r>
        <w:t xml:space="preserve">Office of Management and Budget. Driving Efficient Acquisition of Artificial Intelligence</w:t>
      </w:r>
      <w:r>
        <w:t xml:space="preserve"> </w:t>
      </w:r>
      <w:r>
        <w:t xml:space="preserve">in Government. Apr. 3, 2025.</w:t>
      </w:r>
      <w:r>
        <w:t xml:space="preserve"> </w:t>
      </w:r>
      <w:r>
        <w:t xml:space="preserve">url</w:t>
      </w:r>
      <w:r>
        <w:t xml:space="preserve">:</w:t>
      </w:r>
      <w:r>
        <w:t xml:space="preserve"> </w:t>
      </w:r>
      <w:hyperlink r:id="rId689">
        <w:r>
          <w:rPr>
            <w:rStyle w:val="Hyperlink"/>
          </w:rPr>
          <w:t xml:space="preserve">https://www.whitehouse.gov/wp-content/uploads/2025/02/M-25-22-Driving-Efficient-Acquisition-of-Artificial-Intelligence-in-Government.pdf</w:t>
        </w:r>
      </w:hyperlink>
      <w:r>
        <w:t xml:space="preserve"> </w:t>
      </w:r>
      <w:r>
        <w:t xml:space="preserve">(visited on 0⁠8⁠/⁠2⁠7⁠/⁠2⁠0⁠2⁠6).</w:t>
      </w:r>
    </w:p>
    <w:p>
      <w:pPr>
        <w:pStyle w:val="Definition"/>
        <w:keepLines/>
        <w:wordWrap w:val="off"/>
        <w:spacing w:before="0" w:after="100"/>
        <w:ind w:left="0" w:right="0" w:firstLine="0"/>
        <w:jc w:val="left"/>
      </w:pPr>
      <w:r>
        <w:t xml:space="preserve">A. Ojanen,</w:t>
      </w:r>
      <w:r>
        <w:t xml:space="preserve"> </w:t>
      </w:r>
      <w:r>
        <w:t xml:space="preserve">Technology Neutrality as a Way to Future-Proof Regulation: The Case of the</w:t>
      </w:r>
      <w:r>
        <w:t xml:space="preserve"> </w:t>
      </w:r>
      <w:r>
        <w:t xml:space="preserve">Artificial Intelligence Act</w:t>
      </w:r>
      <w:r>
        <w:t xml:space="preserve">, 16 Eur. J. Risk Regul. 1440 (2025).</w:t>
      </w:r>
    </w:p>
    <w:p>
      <w:pPr>
        <w:pStyle w:val="Definition"/>
        <w:keepLines/>
        <w:wordWrap w:val="off"/>
        <w:spacing w:before="0" w:after="100"/>
        <w:ind w:left="0" w:right="0" w:firstLine="0"/>
        <w:jc w:val="left"/>
      </w:pPr>
      <w:r>
        <w:t xml:space="preserve">Patient Safety and Quality Improvement Act o⁠f 2005, 42 U.S.C.</w:t>
      </w:r>
      <w:r>
        <w:t xml:space="preserve"> </w:t>
      </w:r>
      <w:r>
        <w:t xml:space="preserve">§</w:t>
      </w:r>
      <w:r>
        <w:t xml:space="preserve"> 299b-21–299b-26</w:t>
      </w:r>
      <w:r>
        <w:t xml:space="preserve"> </w:t>
      </w:r>
      <w:r>
        <w:t xml:space="preserve">(2005).</w:t>
      </w:r>
    </w:p>
    <w:p>
      <w:pPr>
        <w:pStyle w:val="Definition"/>
        <w:keepLines/>
        <w:wordWrap w:val="off"/>
        <w:spacing w:before="0" w:after="100"/>
        <w:ind w:left="0" w:right="0" w:firstLine="0"/>
        <w:jc w:val="left"/>
      </w:pPr>
      <w:r>
        <w:t xml:space="preserve">Perry v. Sindermann, 408 U.S. 593 (U.S. 1972).</w:t>
      </w:r>
    </w:p>
    <w:p>
      <w:pPr>
        <w:pStyle w:val="Definition"/>
        <w:keepLines/>
        <w:wordWrap w:val="off"/>
        <w:spacing w:before="0" w:after="100"/>
        <w:ind w:left="0" w:right="0" w:firstLine="0"/>
        <w:jc w:val="left"/>
      </w:pPr>
      <w:r>
        <w:t xml:space="preserve">PMC, Inc. v. Kadisha, 78 Cal. App. 4th 1368 (Cal. Ct. App. 2000).</w:t>
      </w:r>
    </w:p>
    <w:p>
      <w:pPr>
        <w:pStyle w:val="Definition"/>
        <w:keepLines/>
        <w:wordWrap w:val="off"/>
        <w:spacing w:before="0" w:after="100"/>
        <w:ind w:left="0" w:right="0" w:firstLine="0"/>
        <w:jc w:val="left"/>
      </w:pPr>
      <w:r>
        <w:t xml:space="preserve">K. Ramakrishnan,</w:t>
      </w:r>
      <w:r>
        <w:t xml:space="preserve"> </w:t>
      </w:r>
      <w:r>
        <w:t xml:space="preserve">Tort Law at the Frontier of Artificial Intelligence</w:t>
      </w:r>
      <w:r>
        <w:t xml:space="preserve">, 43 Yale J. on Reg.</w:t>
      </w:r>
      <w:r>
        <w:t xml:space="preserve"> </w:t>
      </w:r>
      <w:r>
        <w:t xml:space="preserve">960 (2026).</w:t>
      </w:r>
    </w:p>
    <w:p>
      <w:pPr>
        <w:pStyle w:val="Definition"/>
        <w:keepLines/>
        <w:wordWrap w:val="off"/>
        <w:spacing w:before="0" w:after="100"/>
        <w:ind w:left="0" w:right="0" w:firstLine="0"/>
        <w:jc w:val="left"/>
      </w:pPr>
      <w:r>
        <w:t xml:space="preserve">Rice v. Paladin Enterprises, Inc. 128 F.3d 233 (4th Cir. 1997).</w:t>
      </w:r>
    </w:p>
    <w:p>
      <w:pPr>
        <w:pStyle w:val="Definition"/>
        <w:keepLines/>
        <w:wordWrap w:val="off"/>
        <w:spacing w:before="0" w:after="100"/>
        <w:ind w:left="0" w:right="0" w:firstLine="0"/>
        <w:jc w:val="left"/>
      </w:pPr>
      <w:r>
        <w:t xml:space="preserve">S. Rismani, R. Dobbe and A. Moon. From Silos to</w:t>
      </w:r>
      <w:r>
        <w:t xml:space="preserve"> </w:t>
      </w:r>
      <w:r>
        <w:t xml:space="preserve">Systems: Process-Oriented Hazard Analysis f⁠o⁠r AI Systems. 2410.22526v2. July 1, 2026.</w:t>
      </w:r>
      <w:r>
        <w:t xml:space="preserve"> </w:t>
      </w:r>
      <w:r>
        <w:t xml:space="preserve">url</w:t>
      </w:r>
      <w:r>
        <w:t xml:space="preserve">:</w:t>
      </w:r>
      <w:r>
        <w:t xml:space="preserve"> </w:t>
      </w:r>
      <w:hyperlink r:id="rId78">
        <w:r>
          <w:rPr>
            <w:rStyle w:val="Hyperlink"/>
          </w:rPr>
          <w:t xml:space="preserve">https://arxiv.org/abs/2410.22526</w:t>
        </w:r>
      </w:hyperlink>
      <w:r>
        <w:t xml:space="preserve"> </w:t>
      </w:r>
      <w:r>
        <w:t xml:space="preserve">(visited on 0⁠8⁠/⁠2⁠7⁠/⁠2⁠0⁠2⁠6).</w:t>
      </w:r>
    </w:p>
    <w:p>
      <w:pPr>
        <w:pStyle w:val="Definition"/>
        <w:keepLines/>
        <w:wordWrap w:val="off"/>
        <w:spacing w:before="0" w:after="100"/>
        <w:ind w:left="0" w:right="0" w:firstLine="0"/>
        <w:jc w:val="left"/>
      </w:pPr>
      <w:r>
        <w:t xml:space="preserve">S. Rismani et al.,</w:t>
      </w:r>
      <w:r>
        <w:t xml:space="preserve"> </w:t>
      </w:r>
      <w:r>
        <w:t xml:space="preserve">From Plane Crashes to Algorithmic Harm: Applicability of Safety</w:t>
      </w:r>
      <w:r>
        <w:t xml:space="preserve"> </w:t>
      </w:r>
      <w:r>
        <w:t xml:space="preserve">Engineering Frameworks for Responsible ML</w:t>
      </w:r>
      <w:r>
        <w:t xml:space="preserve"> </w:t>
      </w:r>
      <w:r>
        <w:t xml:space="preserve">CHI ’23 Proc. 2:1–2:18 (Apr. 19, 2023).</w:t>
      </w:r>
    </w:p>
    <w:p>
      <w:pPr>
        <w:pStyle w:val="Definition"/>
        <w:keepLines/>
        <w:wordWrap w:val="off"/>
        <w:spacing w:before="0" w:after="100"/>
        <w:ind w:left="0" w:right="0" w:firstLine="0"/>
        <w:jc w:val="left"/>
      </w:pPr>
      <w:r>
        <w:t xml:space="preserve">Safety Management Systems, 14 C.F.R. pt. 5 (2025).</w:t>
      </w:r>
    </w:p>
    <w:p>
      <w:pPr>
        <w:pStyle w:val="Definition"/>
        <w:keepLines/>
        <w:wordWrap w:val="off"/>
        <w:spacing w:before="0" w:after="100"/>
        <w:ind w:left="0" w:right="0" w:firstLine="0"/>
        <w:jc w:val="left"/>
      </w:pPr>
      <w:r>
        <w:t xml:space="preserve">D. van de Sande, N. Economou-Zavlanos and M. E. van Genderen,</w:t>
      </w:r>
      <w:r>
        <w:t xml:space="preserve"> </w:t>
      </w:r>
      <w:r>
        <w:t xml:space="preserve">Meaningful Oversight</w:t>
      </w:r>
      <w:r>
        <w:t xml:space="preserve"> </w:t>
      </w:r>
      <w:r>
        <w:t xml:space="preserve">of Medical AI Beyond Human in the Loop</w:t>
      </w:r>
      <w:r>
        <w:t xml:space="preserve">, 9 npj Digit. Med. 569 (July 23, 2026).</w:t>
      </w:r>
    </w:p>
    <w:p>
      <w:pPr>
        <w:pStyle w:val="Definition"/>
        <w:keepLines/>
        <w:wordWrap w:val="off"/>
        <w:spacing w:before="0" w:after="100"/>
        <w:ind w:left="0" w:right="0" w:firstLine="0"/>
        <w:jc w:val="left"/>
      </w:pPr>
      <w:r>
        <w:t xml:space="preserve">Sarbanes–Oxley Act Whistleblower Protection, 18 U.S.C.</w:t>
      </w:r>
      <w:r>
        <w:t xml:space="preserve"> </w:t>
      </w:r>
      <w:r>
        <w:t xml:space="preserve">§</w:t>
      </w:r>
      <w:r>
        <w:t xml:space="preserve"> 1514A (2024).</w:t>
      </w:r>
    </w:p>
    <w:p>
      <w:pPr>
        <w:pStyle w:val="Definition"/>
        <w:keepLines/>
        <w:wordWrap w:val="off"/>
        <w:spacing w:before="0" w:after="100"/>
        <w:ind w:left="0" w:right="0" w:firstLine="0"/>
        <w:jc w:val="left"/>
      </w:pPr>
      <w:r>
        <w:t xml:space="preserve">J. Schuett,</w:t>
      </w:r>
      <w:r>
        <w:t xml:space="preserve"> </w:t>
      </w:r>
      <w:r>
        <w:t xml:space="preserve">Defining the Scope of AI Regulations</w:t>
      </w:r>
      <w:r>
        <w:t xml:space="preserve">, 15 Law Innovation &amp; Tech. 60 (2023).</w:t>
      </w:r>
    </w:p>
    <w:p>
      <w:pPr>
        <w:pStyle w:val="Definition"/>
        <w:keepLines/>
        <w:wordWrap w:val="off"/>
        <w:spacing w:before="0" w:after="100"/>
        <w:ind w:left="0" w:right="0" w:firstLine="0"/>
        <w:jc w:val="left"/>
      </w:pPr>
      <w:r>
        <w:t xml:space="preserve">Shanghai Qiaowen Law Firm. AI Labeling</w:t>
      </w:r>
      <w:r>
        <w:t xml:space="preserve"> </w:t>
      </w:r>
      <w:r>
        <w:t xml:space="preserve">Duties: Adjudicative Boundaries and Compliance G⁠u⁠i⁠d⁠a⁠n⁠c⁠e Based on Two Cases. 2026.</w:t>
      </w:r>
      <w:r>
        <w:t xml:space="preserve"> </w:t>
      </w:r>
      <w:r>
        <w:t xml:space="preserve">url</w:t>
      </w:r>
      <w:r>
        <w:t xml:space="preserve">:</w:t>
      </w:r>
      <w:r>
        <w:t xml:space="preserve"> </w:t>
      </w:r>
      <w:hyperlink r:id="rId730">
        <w:r>
          <w:rPr>
            <w:rStyle w:val="Hyperlink"/>
          </w:rPr>
          <w:t xml:space="preserve">https://www.qiaowen.com/cn/details/0803/166cac21f6bf434e</w:t>
        </w:r>
      </w:hyperlink>
      <w:r>
        <w:t xml:space="preserve"> </w:t>
      </w:r>
      <w:r>
        <w:t xml:space="preserve">(visited on</w:t>
      </w:r>
      <w:r>
        <w:t xml:space="preserve"> </w:t>
      </w:r>
      <w:r>
        <w:t xml:space="preserve">08/28/2026).</w:t>
      </w:r>
    </w:p>
    <w:p>
      <w:pPr>
        <w:pStyle w:val="Definition"/>
        <w:keepLines/>
        <w:wordWrap w:val="off"/>
        <w:spacing w:before="0" w:after="100"/>
        <w:ind w:left="0" w:right="0" w:firstLine="0"/>
        <w:jc w:val="left"/>
      </w:pPr>
      <w:r>
        <w:t xml:space="preserve">Skidmore v. Swift &amp; Co. 323 U.S. 134 (U.S. 1944).</w:t>
      </w:r>
    </w:p>
    <w:p>
      <w:pPr>
        <w:pStyle w:val="Definition"/>
        <w:keepLines/>
        <w:wordWrap w:val="off"/>
        <w:spacing w:before="0" w:after="100"/>
        <w:ind w:left="0" w:right="0" w:firstLine="0"/>
        <w:jc w:val="left"/>
      </w:pPr>
      <w:r>
        <w:t xml:space="preserve">L. B. Solum,</w:t>
      </w:r>
      <w:r>
        <w:t xml:space="preserve"> </w:t>
      </w:r>
      <w:r>
        <w:t xml:space="preserve">Legal Personhood for Artificial Intelligences</w:t>
      </w:r>
      <w:r>
        <w:t xml:space="preserve">, 70 N.C. L. Rev. 1231 (1992).</w:t>
      </w:r>
    </w:p>
    <w:p>
      <w:pPr>
        <w:pStyle w:val="Definition"/>
        <w:keepLines/>
        <w:wordWrap w:val="off"/>
        <w:spacing w:before="0" w:after="100"/>
        <w:ind w:left="0" w:right="0" w:firstLine="0"/>
        <w:jc w:val="left"/>
      </w:pPr>
      <w:r>
        <w:t xml:space="preserve">Speller v. Sears, Roebuck &amp; Co. 100 N.Y.2d 38 (N.Y. May 6, 2003).</w:t>
      </w:r>
    </w:p>
    <w:p>
      <w:pPr>
        <w:pStyle w:val="Definition"/>
        <w:keepLines/>
        <w:wordWrap w:val="off"/>
        <w:spacing w:before="0" w:after="100"/>
        <w:ind w:left="0" w:right="0" w:firstLine="0"/>
        <w:jc w:val="left"/>
      </w:pPr>
      <w:r>
        <w:t xml:space="preserve">Supreme People’s Court Intellectual Property Court. Head of the Drafting Group</w:t>
      </w:r>
      <w:r>
        <w:t xml:space="preserve"> </w:t>
      </w:r>
      <w:r>
        <w:t xml:space="preserve">Interprets the Supreme People’s Court Work Report. Mar. 10, 2026.</w:t>
      </w:r>
      <w:r>
        <w:t xml:space="preserve"> </w:t>
      </w:r>
      <w:r>
        <w:t xml:space="preserve">url</w:t>
      </w:r>
      <w:r>
        <w:t xml:space="preserve">:</w:t>
      </w:r>
      <w:r>
        <w:t xml:space="preserve"> </w:t>
      </w:r>
      <w:hyperlink r:id="rId737">
        <w:r>
          <w:rPr>
            <w:rStyle w:val="Hyperlink"/>
          </w:rPr>
          <w:t xml:space="preserve">https://ipc.court.gov.cn/zh-cn/news/view-5447.html</w:t>
        </w:r>
      </w:hyperlink>
      <w:r>
        <w:t xml:space="preserve"> </w:t>
      </w:r>
      <w:r>
        <w:t xml:space="preserve">(visited on 08/28/2026).</w:t>
      </w:r>
    </w:p>
    <w:p>
      <w:pPr>
        <w:pStyle w:val="Definition"/>
        <w:keepLines/>
        <w:wordWrap w:val="off"/>
        <w:spacing w:before="0" w:after="100"/>
        <w:ind w:left="0" w:right="0" w:firstLine="0"/>
        <w:jc w:val="left"/>
      </w:pPr>
      <w:r>
        <w:t xml:space="preserve">Thaler v. Perlmutter, 130 F.4th 1039 (D.C. Cir. 2025).</w:t>
      </w:r>
    </w:p>
    <w:p>
      <w:pPr>
        <w:pStyle w:val="Definition"/>
        <w:keepLines/>
        <w:wordWrap w:val="off"/>
        <w:spacing w:before="0" w:after="100"/>
        <w:ind w:left="0" w:right="0" w:firstLine="0"/>
        <w:jc w:val="left"/>
      </w:pPr>
      <w:r>
        <w:t xml:space="preserve">Trustees of Dartmouth College v. Woodward, 17 U.S. (4 Wheat.) 518 (U.S. 1819).</w:t>
      </w:r>
    </w:p>
    <w:p>
      <w:pPr>
        <w:pStyle w:val="Definition"/>
        <w:keepLines/>
        <w:wordWrap w:val="off"/>
        <w:spacing w:before="0" w:after="100"/>
        <w:ind w:left="0" w:right="0" w:firstLine="0"/>
        <w:jc w:val="left"/>
      </w:pPr>
      <w:r>
        <w:t xml:space="preserve">Tunkl v. Regents of the University of California, 60 Cal. 2d 92 (Cal. 1963).</w:t>
      </w:r>
    </w:p>
    <w:p>
      <w:pPr>
        <w:pStyle w:val="Definition"/>
        <w:keepLines/>
        <w:wordWrap w:val="off"/>
        <w:spacing w:before="0" w:after="100"/>
        <w:ind w:left="0" w:right="0" w:firstLine="0"/>
        <w:jc w:val="left"/>
      </w:pPr>
      <w:r>
        <w:t xml:space="preserve">U.S. Copyright Office. Copyright and Artificial Intelligence, Part 2: Copyrightability. U.S.</w:t>
      </w:r>
      <w:r>
        <w:t xml:space="preserve"> </w:t>
      </w:r>
      <w:r>
        <w:t xml:space="preserve">Copyright Office. Jan. 29, 2025.</w:t>
      </w:r>
      <w:r>
        <w:t xml:space="preserve"> </w:t>
      </w:r>
      <w:r>
        <w:t xml:space="preserve">url</w:t>
      </w:r>
      <w:r>
        <w:t xml:space="preserve">:</w:t>
      </w:r>
      <w:r>
        <w:t xml:space="preserve"> </w:t>
      </w:r>
      <w:hyperlink r:id="rId203">
        <w:r>
          <w:rPr>
            <w:rStyle w:val="Hyperlink"/>
          </w:rPr>
          <w:t xml:space="preserve">https://www.copyright.gov/ai/Copyright-and-Artificial-Intelligence-Part-2-Copyrightability-Report.pdf</w:t>
        </w:r>
      </w:hyperlink>
      <w:r>
        <w:t xml:space="preserve"> </w:t>
      </w:r>
      <w:r>
        <w:t xml:space="preserve">(visited on 0⁠8⁠/⁠2⁠7⁠/⁠2⁠0⁠2⁠6).</w:t>
      </w:r>
    </w:p>
    <w:p>
      <w:pPr>
        <w:pStyle w:val="Definition"/>
        <w:keepLines/>
        <w:wordWrap w:val="off"/>
        <w:spacing w:before="0" w:after="100"/>
        <w:ind w:left="0" w:right="0" w:firstLine="0"/>
        <w:jc w:val="left"/>
      </w:pPr>
      <w:r>
        <w:t xml:space="preserve">U.S. Department of Justice, Criminal Division. Evaluation of Corporate Compliance</w:t>
      </w:r>
      <w:r>
        <w:t xml:space="preserve"> </w:t>
      </w:r>
      <w:r>
        <w:t xml:space="preserve">Programs. S⁠e⁠p⁠t⁠. 2024.</w:t>
      </w:r>
      <w:r>
        <w:t xml:space="preserve"> </w:t>
      </w:r>
      <w:r>
        <w:t xml:space="preserve">url</w:t>
      </w:r>
      <w:r>
        <w:t xml:space="preserve">:</w:t>
      </w:r>
      <w:r>
        <w:t xml:space="preserve"> </w:t>
      </w:r>
      <w:hyperlink r:id="rId476">
        <w:r>
          <w:rPr>
            <w:rStyle w:val="Hyperlink"/>
          </w:rPr>
          <w:t xml:space="preserve">https://www.justice.gov/criminal/criminal-fraud/page/file/937501/dl?inline=</w:t>
        </w:r>
      </w:hyperlink>
      <w:r>
        <w:t xml:space="preserve"> </w:t>
      </w:r>
      <w:r>
        <w:t xml:space="preserve">(visited on 08/28/2026).</w:t>
      </w:r>
    </w:p>
    <w:p>
      <w:pPr>
        <w:pStyle w:val="Definition"/>
        <w:keepLines/>
        <w:wordWrap w:val="off"/>
        <w:spacing w:before="0" w:after="100"/>
        <w:ind w:left="0" w:right="0" w:firstLine="0"/>
        <w:jc w:val="left"/>
      </w:pPr>
      <w:r>
        <w:t xml:space="preserve">U.S. Sentencing Commission. Guidelines Manual, Section 8B2.1: Effective Compliance</w:t>
      </w:r>
      <w:r>
        <w:t xml:space="preserve"> </w:t>
      </w:r>
      <w:r>
        <w:t xml:space="preserve">and Ethics Program. 2025.</w:t>
      </w:r>
      <w:r>
        <w:t xml:space="preserve"> </w:t>
      </w:r>
      <w:r>
        <w:t xml:space="preserve">url</w:t>
      </w:r>
      <w:r>
        <w:t xml:space="preserve">:</w:t>
      </w:r>
      <w:r>
        <w:t xml:space="preserve"> </w:t>
      </w:r>
      <w:hyperlink r:id="rId451">
        <w:r>
          <w:rPr>
            <w:rStyle w:val="Hyperlink"/>
          </w:rPr>
          <w:t xml:space="preserve">https://www.ussc.gov/guidelines/2025-guidelines-manual/annotated-2025-chapter-8</w:t>
        </w:r>
      </w:hyperlink>
      <w:r>
        <w:t xml:space="preserve"> </w:t>
      </w:r>
      <w:r>
        <w:t xml:space="preserve">(visited on 0⁠8⁠/⁠2⁠7⁠/⁠2⁠0⁠2⁠6).</w:t>
      </w:r>
    </w:p>
    <w:p>
      <w:pPr>
        <w:pStyle w:val="Definition"/>
        <w:keepLines/>
        <w:wordWrap w:val="off"/>
        <w:spacing w:before="0" w:after="100"/>
        <w:ind w:left="0" w:right="0" w:firstLine="0"/>
        <w:jc w:val="left"/>
      </w:pPr>
      <w:r>
        <w:t xml:space="preserve">Uniform Commercial Code, U.C.C.</w:t>
      </w:r>
      <w:r>
        <w:t xml:space="preserve"> </w:t>
      </w:r>
      <w:r>
        <w:t xml:space="preserve">§</w:t>
      </w:r>
      <w:r>
        <w:t xml:space="preserve"> 2-316 (2025).</w:t>
      </w:r>
    </w:p>
    <w:p>
      <w:pPr>
        <w:pStyle w:val="Definition"/>
        <w:keepLines/>
        <w:wordWrap w:val="off"/>
        <w:spacing w:before="0" w:after="100"/>
        <w:ind w:left="0" w:right="0" w:firstLine="0"/>
        <w:jc w:val="left"/>
      </w:pPr>
      <w:r>
        <w:t xml:space="preserve">Uniform Law Commission. Uniform Electronic Transactions Act. 1999.</w:t>
      </w:r>
      <w:r>
        <w:t xml:space="preserve"> </w:t>
      </w:r>
      <w:r>
        <w:t xml:space="preserve">url</w:t>
      </w:r>
      <w:r>
        <w:t xml:space="preserve">:</w:t>
      </w:r>
      <w:r>
        <w:t xml:space="preserve"> </w:t>
      </w:r>
      <w:hyperlink r:id="rId185">
        <w:r>
          <w:rPr>
            <w:rStyle w:val="Hyperlink"/>
          </w:rPr>
          <w:t xml:space="preserve">https://www.uniformlaws.org/committees/community-home?CommunityKey=2c04b76c-2b7d-4399-977e-d5876ba7e034</w:t>
        </w:r>
      </w:hyperlink>
      <w:r>
        <w:t xml:space="preserve"> </w:t>
      </w:r>
      <w:r>
        <w:t xml:space="preserve">(visited on 0⁠8⁠/⁠2⁠7⁠/⁠2⁠0⁠2⁠6).</w:t>
      </w:r>
    </w:p>
    <w:p>
      <w:pPr>
        <w:pStyle w:val="Definition"/>
        <w:keepLines/>
        <w:wordWrap w:val="off"/>
        <w:spacing w:before="0" w:after="100"/>
        <w:ind w:left="0" w:right="0" w:firstLine="0"/>
        <w:jc w:val="left"/>
      </w:pPr>
      <w:r>
        <w:t xml:space="preserve">United States v. Park, 421 U.S. 658 (U.S. 1975).</w:t>
      </w:r>
    </w:p>
    <w:p>
      <w:pPr>
        <w:pStyle w:val="Definition"/>
        <w:keepLines/>
        <w:wordWrap w:val="off"/>
        <w:spacing w:before="0" w:after="100"/>
        <w:ind w:left="0" w:right="0" w:firstLine="0"/>
        <w:jc w:val="left"/>
      </w:pPr>
      <w:r>
        <w:t xml:space="preserve">United States v. United States Gypsum Co. 438 U.S. 422 (U.S. 1978).</w:t>
      </w:r>
    </w:p>
    <w:p>
      <w:pPr>
        <w:pStyle w:val="Definition"/>
        <w:keepLines/>
        <w:wordWrap w:val="off"/>
        <w:spacing w:before="0" w:after="100"/>
        <w:ind w:left="0" w:right="0" w:firstLine="0"/>
        <w:jc w:val="left"/>
      </w:pPr>
      <w:r>
        <w:t xml:space="preserve">Utah Department of Commerce, Office of Artificial Intelligence Policy. Office of AI Policy: Doctronic Regulatory Mitigation Agreement. 2026. url: </w:t>
      </w:r>
      <w:hyperlink r:id="rId745">
        <w:r>
          <w:rPr>
            <w:rStyle w:val="Hyperlink"/>
          </w:rPr>
          <w:t xml:space="preserve">https://commerce.utah.gov/ai/regulatory-relief/authorized-ai-pilots/doctronic/</w:t>
        </w:r>
      </w:hyperlink>
      <w:r>
        <w:t xml:space="preserve"> (visited on 08/28/2026).</w:t>
      </w:r>
    </w:p>
    <w:p>
      <w:pPr>
        <w:pStyle w:val="Definition"/>
        <w:keepLines/>
        <w:wordWrap w:val="off"/>
        <w:spacing w:before="0" w:after="100"/>
        <w:ind w:left="0" w:right="0" w:firstLine="0"/>
        <w:jc w:val="left"/>
      </w:pPr>
      <w:r>
        <w:t xml:space="preserve">Whirlpool Corp. v. Marshall, 445 U.S. 1 (U.S. Feb. 26, 1980).</w:t>
      </w:r>
    </w:p>
    <w:p>
      <w:pPr>
        <w:pStyle w:val="Definition"/>
        <w:keepLines/>
        <w:wordWrap w:val="off"/>
        <w:spacing w:before="0" w:after="100"/>
        <w:ind w:left="0" w:right="0" w:firstLine="0"/>
        <w:jc w:val="left"/>
      </w:pPr>
      <w:r>
        <w:t xml:space="preserve">Winter v. G.P. Putnam’s Sons, 938 F.2d 1033 (9th Cir. 1991).</w:t>
      </w:r>
    </w:p>
    <w:p>
      <w:pPr>
        <w:pStyle w:val="Definition"/>
        <w:keepLines/>
        <w:wordWrap w:val="off"/>
        <w:spacing w:before="0" w:after="100"/>
        <w:ind w:left="0" w:right="0" w:firstLine="0"/>
        <w:jc w:val="left"/>
      </w:pPr>
      <w:r>
        <w:t xml:space="preserve">World Health Organization. Ethics and Governance of Artificial Intelligence for Health.</w:t>
      </w:r>
      <w:r>
        <w:t xml:space="preserve"> </w:t>
      </w:r>
      <w:r>
        <w:t xml:space="preserve">2021.</w:t>
      </w:r>
      <w:r>
        <w:t xml:space="preserve"> </w:t>
      </w:r>
      <w:r>
        <w:t xml:space="preserve">url</w:t>
      </w:r>
      <w:r>
        <w:t xml:space="preserve">:</w:t>
      </w:r>
      <w:r>
        <w:t xml:space="preserve"> </w:t>
      </w:r>
      <w:hyperlink r:id="rId663">
        <w:r>
          <w:rPr>
            <w:rStyle w:val="Hyperlink"/>
          </w:rPr>
          <w:t xml:space="preserve">https://www.who.int/publications/i/item/9789240029200</w:t>
        </w:r>
      </w:hyperlink>
      <w:r>
        <w:t xml:space="preserve"> </w:t>
      </w:r>
      <w:r>
        <w:t xml:space="preserve">(visited</w:t>
      </w:r>
      <w:r>
        <w:t xml:space="preserve"> </w:t>
      </w:r>
      <w:r>
        <w:t xml:space="preserve">on 0⁠8⁠/⁠2⁠7⁠/⁠2⁠0⁠2⁠6).</w:t>
      </w:r>
    </w:p>
    <w:p>
      <w:pPr>
        <w:pStyle w:val="Definition"/>
        <w:keepLines/>
        <w:wordWrap w:val="off"/>
        <w:spacing w:before="0" w:after="100"/>
        <w:ind w:left="0" w:right="0" w:firstLine="0"/>
        <w:jc w:val="left"/>
      </w:pPr>
      <w:r>
        <w:t xml:space="preserve">R. Zhang et al.,</w:t>
      </w:r>
      <w:r>
        <w:t xml:space="preserve"> </w:t>
      </w:r>
      <w:r>
        <w:t xml:space="preserve">The Dark Side of AI Companionship: A Taxonomy of Harmful</w:t>
      </w:r>
      <w:r>
        <w:t xml:space="preserve"> </w:t>
      </w:r>
      <w:r>
        <w:t xml:space="preserve">Algorithmic Behaviors in Human–AI Relationships</w:t>
      </w:r>
      <w:r>
        <w:t xml:space="preserve"> </w:t>
      </w:r>
      <w:r>
        <w:t xml:space="preserve">CHI ’25 Proc. 1 (2025).</w:t>
      </w:r>
    </w:p>
    <w:bookmarkEnd w:id="744"/>
    <w:sectPr>
      <w:footnotePr>
        <w:pos w:val="pageBottom"/>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Noto Serif CJK SC">
    <w:charset w:val="86"/>
    <w:family w:val="roman"/>
    <w:pitch w:val="variable"/>
  </w:font>
  <w:font w:name="Noto Sans CJK SC">
    <w:charset w:val="86"/>
    <w:family w:val="swiss"/>
    <w:pitch w:val="variable"/>
  </w:font>
  <w:font w:name="Arial Unicode MS">
    <w:charset w:val="86"/>
    <w:family w:val="roman"/>
    <w:pitch w:val="variable"/>
  </w:font>
  <w:font w:name="Arial Unicode MS">
    <w:charset w:val="86"/>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separator" w:id="-1">
    <w:p>
      <w:pPr>
        <w:wordWrap w:val="off"/>
      </w:pPr>
      <w:r>
        <w:separator/>
      </w:r>
    </w:p>
  </w:footnote>
  <w:footnote w:type="continuationSeparator" w:id="0">
    <w:p>
      <w:pPr>
        <w:wordWrap w:val="off"/>
      </w:pPr>
      <w:r>
        <w:continuationSeparator/>
      </w:r>
    </w:p>
  </w:footnote>
  <w:footnote w:id="1">
    <w:p>
      <w:pPr>
        <w:pStyle w:val="FootnoteText"/>
        <w:keepLines/>
        <w:wordWrap w:val="off"/>
      </w:pPr>
      <w:bookmarkStart w:id="17" w:name="x1-2002x"/>
      <w:bookmarkStart w:id="18" w:name="x1-2003"/>
      <w:bookmarkStart w:id="19" w:name="x1-2002xdoc"/>
      <w:bookmarkStart w:id="20" w:name="x1-2004"/>
      <w:bookmarkStart w:id="21" w:name="x1-2005"/>
      <w:r>
        <w:rPr>
          <w:rStyle w:val="FootnoteReference"/>
        </w:rPr>
        <w:footnoteRef/>
      </w:r>
      <w:r>
        <w:rPr>
          <w:rFonts w:ascii="Noto Serif CJK SC" w:hAnsi="Noto Serif CJK SC" w:eastAsia="Noto Serif CJK SC" w:cs="Noto Serif CJK SC"/>
          <w:lang w:val="en-US" w:eastAsia="zh-CN"/>
        </w:rPr>
        <w:t xml:space="preserve"> 参见 Garcia v. Character Technologies, Inc. 785 F. Supp. 3d 1157 (M.D. Fla. May 21, 2025); Garcia v. Character Technologies, Inc. No. 6:24-cv-01903-ACC-DCI, Dkt. 244 (M.D. Fla. Jan. 7, 2026)（和解后驳回诉讼的裁定）；Garcia v. Character Technologies, Inc. No. 6:24-cv-01903-ACC-DCI, Dkt. 273 (M.D. Fla. June 11, 2026)（处理律师费留置权（charging lien）的裁定）。本文对争议事实均按诉称事实表述，并以已公布的、依据《联邦民事诉讼规则》第 12 条作出的裁定进行分类分析，而不将该裁定视为实体判决。</w:t>
      </w:r>
      <w:bookmarkEnd w:id="17"/>
      <w:bookmarkEnd w:id="18"/>
      <w:bookmarkEnd w:id="19"/>
      <w:bookmarkEnd w:id="20"/>
      <w:bookmarkEnd w:id="21"/>
    </w:p>
  </w:footnote>
  <w:footnote w:id="2">
    <w:p>
      <w:pPr>
        <w:pStyle w:val="FootnoteText"/>
        <w:keepLines/>
        <w:wordWrap w:val="off"/>
      </w:pPr>
      <w:bookmarkStart w:id="24" w:name="x1-2007x"/>
      <w:bookmarkStart w:id="25" w:name="x1-2008"/>
      <w:bookmarkStart w:id="27" w:name="x1-2007xdoc"/>
      <w:r>
        <w:rPr>
          <w:rStyle w:val="FootnoteReference"/>
        </w:rPr>
        <w:footnoteRef/>
      </w:r>
      <w:r>
        <w:rPr>
          <w:rFonts w:ascii="Noto Serif CJK SC" w:hAnsi="Noto Serif CJK SC" w:eastAsia="Noto Serif CJK SC" w:cs="Noto Serif CJK SC"/>
          <w:lang w:val="en-US" w:eastAsia="zh-CN"/>
        </w:rPr>
        <w:t xml:space="preserve"> 参见 H. R. Kirk et al. Neural Steering Vectors Reveal Dose and Exposure-Dependent Impacts of Human–AI Relationships. 2512.01991v2. Feb. 18, 2026. url: </w:t>
      </w:r>
      <w:hyperlink r:id="rId26">
        <w:r>
          <w:rPr>
            <w:rStyle w:val="Hyperlink"/>
          </w:rPr>
          <w:t xml:space="preserve">https://arxiv.org/abs/2512.01991</w:t>
        </w:r>
      </w:hyperlink>
      <w:r>
        <w:rPr>
          <w:rFonts w:ascii="Noto Serif CJK SC" w:hAnsi="Noto Serif CJK SC" w:eastAsia="Noto Serif CJK SC" w:cs="Noto Serif CJK SC"/>
          <w:lang w:val="en-US" w:eastAsia="zh-CN"/>
        </w:rPr>
        <w:t xml:space="preserve"> (visited on 0⁠8⁠/⁠2⁠7⁠/⁠2⁠0⁠2⁠6). 该研究支持的是关于其受控暴露条件的因果命题，而非总体发生率，也不能证明 Garcia 案中的侵权因果关系。</w:t>
      </w:r>
      <w:bookmarkEnd w:id="24"/>
      <w:bookmarkEnd w:id="25"/>
      <w:bookmarkEnd w:id="27"/>
    </w:p>
  </w:footnote>
  <w:footnote w:id="3">
    <w:p>
      <w:pPr>
        <w:pStyle w:val="FootnoteText"/>
        <w:wordWrap w:val="off"/>
      </w:pPr>
      <w:bookmarkStart w:id="30" w:name="x1-2010x"/>
      <w:bookmarkStart w:id="31" w:name="x1-2011"/>
      <w:bookmarkStart w:id="33" w:name="x1-2010xdoc"/>
      <w:bookmarkStart w:id="34" w:name="x1-2012"/>
      <w:bookmarkStart w:id="35" w:name="x1-2013"/>
      <w:bookmarkStart w:id="36" w:name="x1-2014"/>
      <w:r>
        <w:rPr>
          <w:rStyle w:val="FootnoteReference"/>
        </w:rPr>
        <w:footnoteRef/>
      </w:r>
      <w:r>
        <w:rPr>
          <w:rFonts w:ascii="Noto Serif CJK SC" w:hAnsi="Noto Serif CJK SC" w:eastAsia="Noto Serif CJK SC" w:cs="Noto Serif CJK SC"/>
          <w:lang w:val="en-US" w:eastAsia="zh-CN"/>
        </w:rPr>
        <w:t xml:space="preserve"> 参见 J. De Freitas et al. Lessons from an App Update at Replika AI: Identity Discontinuity in Human–AI Relationships. 25-018. May 21, 2025. url: </w:t>
      </w:r>
      <w:hyperlink r:id="rId32">
        <w:r>
          <w:rPr>
            <w:rStyle w:val="Hyperlink"/>
          </w:rPr>
          <w:t xml:space="preserve">https://www.hbs.edu/ris/Publication%20Files/25-018_d256c104-e5ba-4911-b72c-874c5492166e.pdf</w:t>
        </w:r>
      </w:hyperlink>
      <w:r>
        <w:t xml:space="preserve"> (visited on 0⁠8⁠/⁠2⁠7⁠/⁠2⁠0⁠2⁠6); J. Banks, Deletion, Departure, Death: Experiences of AI Companion Loss, 41 J. Soc. &amp; Pers. Relationships 3547 (2024); L. Laestadius et al., Too Human and Not Human Enough: A Grounded Theory Analysis of Mental Health Harms from Emotional Dependence on the Social Chatbot Replika, 26 New Media &amp; Soc’y 5923 (2024); R. Zhang et al., The Dark Side of AI Companionship: A Taxonomy of Harmful Algorithmic Behaviors in Human–AI Relationships CHI ’25 Proc. 1 (2025).</w:t>
      </w:r>
      <w:bookmarkEnd w:id="30"/>
      <w:bookmarkEnd w:id="31"/>
      <w:bookmarkEnd w:id="33"/>
      <w:bookmarkEnd w:id="34"/>
      <w:bookmarkEnd w:id="35"/>
      <w:bookmarkEnd w:id="36"/>
    </w:p>
  </w:footnote>
  <w:footnote w:id="4">
    <w:p>
      <w:pPr>
        <w:pStyle w:val="FootnoteText"/>
        <w:keepLines/>
        <w:wordWrap w:val="off"/>
      </w:pPr>
      <w:bookmarkStart w:id="39" w:name="x1-2016x"/>
      <w:bookmarkStart w:id="40" w:name="x1-2017"/>
      <w:bookmarkStart w:id="41" w:name="x1-2016xdoc"/>
      <w:r>
        <w:rPr>
          <w:rStyle w:val="FootnoteReference"/>
        </w:rPr>
        <w:footnoteRef/>
      </w:r>
      <w:r>
        <w:rPr>
          <w:rFonts w:ascii="Noto Serif CJK SC" w:hAnsi="Noto Serif CJK SC" w:eastAsia="Noto Serif CJK SC" w:cs="Noto Serif CJK SC"/>
          <w:lang w:val="en-US" w:eastAsia="zh-CN"/>
        </w:rPr>
        <w:t xml:space="preserve"> 参见 K. S. Abraham and C. M. Sharkey, Untangling AI Liability, 115 Calif. L. Rev. (forthcoming 2027).</w:t>
      </w:r>
      <w:bookmarkEnd w:id="39"/>
      <w:bookmarkEnd w:id="40"/>
      <w:bookmarkEnd w:id="41"/>
    </w:p>
  </w:footnote>
  <w:footnote w:id="5">
    <w:p>
      <w:pPr>
        <w:pStyle w:val="FootnoteText"/>
        <w:keepLines/>
        <w:wordWrap w:val="off"/>
      </w:pPr>
      <w:bookmarkStart w:id="44" w:name="x1-2019x"/>
      <w:bookmarkStart w:id="45" w:name="x1-2020"/>
      <w:bookmarkStart w:id="46" w:name="x1-2019xdoc"/>
      <w:r>
        <w:rPr>
          <w:rStyle w:val="FootnoteReference"/>
        </w:rPr>
        <w:footnoteRef/>
      </w:r>
      <w:r>
        <w:rPr>
          <w:rFonts w:ascii="Noto Serif CJK SC" w:hAnsi="Noto Serif CJK SC" w:eastAsia="Noto Serif CJK SC" w:cs="Noto Serif CJK SC"/>
          <w:lang w:val="en-US" w:eastAsia="zh-CN"/>
        </w:rPr>
        <w:t xml:space="preserve"> 参见 M. A. Geistfeld, Insurability and Liability for AI-Caused Harms, 32 Ins. L. Rev. 17 (2026).</w:t>
      </w:r>
      <w:bookmarkEnd w:id="44"/>
      <w:bookmarkEnd w:id="45"/>
      <w:bookmarkEnd w:id="46"/>
    </w:p>
  </w:footnote>
  <w:footnote w:id="6">
    <w:p>
      <w:pPr>
        <w:pStyle w:val="FootnoteText"/>
        <w:keepLines/>
        <w:wordWrap w:val="off"/>
      </w:pPr>
      <w:bookmarkStart w:id="49" w:name="x1-2022x"/>
      <w:bookmarkStart w:id="50" w:name="x1-2023"/>
      <w:bookmarkStart w:id="51" w:name="x1-2022xdoc"/>
      <w:r>
        <w:rPr>
          <w:rStyle w:val="FootnoteReference"/>
        </w:rPr>
        <w:footnoteRef/>
      </w:r>
      <w:r>
        <w:rPr>
          <w:rFonts w:ascii="Noto Serif CJK SC" w:hAnsi="Noto Serif CJK SC" w:eastAsia="Noto Serif CJK SC" w:cs="Noto Serif CJK SC"/>
          <w:lang w:val="en-US" w:eastAsia="zh-CN"/>
        </w:rPr>
        <w:t xml:space="preserve"> 参见 Z. Henderson, Rethinking Robot Liability, 67 B.C. L. Rev. 479 (2026).</w:t>
      </w:r>
      <w:bookmarkEnd w:id="49"/>
      <w:bookmarkEnd w:id="50"/>
      <w:bookmarkEnd w:id="51"/>
    </w:p>
  </w:footnote>
  <w:footnote w:id="7">
    <w:p>
      <w:pPr>
        <w:pStyle w:val="FootnoteText"/>
        <w:keepLines/>
        <w:wordWrap w:val="off"/>
      </w:pPr>
      <w:bookmarkStart w:id="57" w:name="x1-4002xA"/>
      <w:bookmarkStart w:id="58" w:name="x1-4003"/>
      <w:bookmarkStart w:id="59" w:name="x1-4004"/>
      <w:bookmarkStart w:id="60" w:name="x1-4005"/>
      <w:r>
        <w:rPr>
          <w:rStyle w:val="FootnoteReference"/>
        </w:rPr>
        <w:footnoteRef/>
      </w:r>
      <w:r>
        <w:rPr>
          <w:rFonts w:ascii="Noto Serif CJK SC" w:hAnsi="Noto Serif CJK SC" w:eastAsia="Noto Serif CJK SC" w:cs="Noto Serif CJK SC"/>
          <w:lang w:val="en-US" w:eastAsia="zh-CN"/>
        </w:rPr>
        <w:t xml:space="preserve"> 例如，参见 United States v. United States Gypsum Co. 438 U.S. 422, 444–46 (U.S. 1978)（说明主观意图通常须从行为及周边情形中推断）；Speller v. Sears, Roebuck &amp; Co. 100 N.Y.2d 38, 41–43 (N.Y. May 6, 2003)（在证据排除了不可归因于被告的其他原因时，允许以间接证据证明产品缺陷）；American Law Institute, Restatement (Third) of Agency (American Law Institute Publishers, 2006), §§ 7.03(1), 7.05（区分被代理人（principal）的直接过失与替代责任）。</w:t>
      </w:r>
      <w:bookmarkEnd w:id="57"/>
      <w:bookmarkEnd w:id="58"/>
      <w:bookmarkEnd w:id="59"/>
      <w:bookmarkEnd w:id="60"/>
    </w:p>
  </w:footnote>
  <w:footnote w:id="8">
    <w:p>
      <w:pPr>
        <w:pStyle w:val="FootnoteText"/>
        <w:keepLines/>
        <w:wordWrap w:val="off"/>
      </w:pPr>
      <w:bookmarkStart w:id="63" w:name="x1-4007xA"/>
      <w:bookmarkStart w:id="64" w:name="x1-4008"/>
      <w:r>
        <w:rPr>
          <w:rStyle w:val="FootnoteReference"/>
        </w:rPr>
        <w:footnoteRef/>
      </w:r>
      <w:r>
        <w:rPr>
          <w:rFonts w:ascii="Noto Serif CJK SC" w:hAnsi="Noto Serif CJK SC" w:eastAsia="Noto Serif CJK SC" w:cs="Noto Serif CJK SC"/>
          <w:lang w:val="en-US" w:eastAsia="zh-CN"/>
        </w:rPr>
        <w:t xml:space="preserve"> 参见 W. Le. Nation’s First Generative-AI “Hallucination” Tort Dispute. People’s Court Daily. Jan. 27, 2026. url: </w:t>
      </w:r>
      <w:hyperlink r:id="rId65">
        <w:r>
          <w:rPr>
            <w:rStyle w:val="Hyperlink"/>
          </w:rPr>
          <w:t xml:space="preserve">https://www.zjwx.gov.cn/col/col1673574/art/2026/art_1def58944910459e94f5a04d04c67332.html</w:t>
        </w:r>
      </w:hyperlink>
      <w:r>
        <w:t xml:space="preserve"> (visited on 08/28/2026).</w:t>
      </w:r>
      <w:bookmarkEnd w:id="63"/>
      <w:bookmarkEnd w:id="64"/>
    </w:p>
  </w:footnote>
  <w:footnote w:id="9">
    <w:p>
      <w:pPr>
        <w:pStyle w:val="FootnoteText"/>
        <w:keepLines/>
        <w:wordWrap w:val="off"/>
      </w:pPr>
      <w:bookmarkStart w:id="70" w:name="x1-5002xB"/>
      <w:bookmarkStart w:id="71" w:name="x1-5003"/>
      <w:bookmarkStart w:id="72" w:name="x1-5004"/>
      <w:r>
        <w:rPr>
          <w:rStyle w:val="FootnoteReference"/>
        </w:rPr>
        <w:footnoteRef/>
      </w:r>
      <w:r>
        <w:rPr>
          <w:rFonts w:ascii="Noto Serif CJK SC" w:hAnsi="Noto Serif CJK SC" w:eastAsia="Noto Serif CJK SC" w:cs="Noto Serif CJK SC"/>
          <w:lang w:val="en-US" w:eastAsia="zh-CN"/>
        </w:rPr>
        <w:t xml:space="preserve"> 参见 N. G. Leveson, Engineering a Safer World: Systems Thinking Applied to Safety (Cambridge, Mass.: MIT Press, 2012); N. G. Leveson and J. P. Thomas. STPA Handbook. Mar. 2018. url:  </w:t>
      </w:r>
      <w:hyperlink r:id="rId73">
        <w:r>
          <w:rPr>
            <w:rStyle w:val="Hyperlink"/>
          </w:rPr>
          <w:t xml:space="preserve">https://psas.scripts.mit.edu/home/get_file.php?name=STPA_handbook.pdf</w:t>
        </w:r>
      </w:hyperlink>
      <w:r>
        <w:t xml:space="preserve"> (visited on 0⁠8⁠/⁠2⁠7⁠/⁠2⁠0⁠2⁠6).</w:t>
      </w:r>
      <w:bookmarkEnd w:id="70"/>
      <w:bookmarkEnd w:id="71"/>
      <w:bookmarkEnd w:id="72"/>
    </w:p>
  </w:footnote>
  <w:footnote w:id="10">
    <w:p>
      <w:pPr>
        <w:pStyle w:val="FootnoteText"/>
        <w:keepLines/>
        <w:wordWrap w:val="off"/>
      </w:pPr>
      <w:bookmarkStart w:id="76" w:name="x1-5006xB"/>
      <w:bookmarkStart w:id="77" w:name="x1-5007"/>
      <w:bookmarkStart w:id="79" w:name="x1-5008"/>
      <w:r>
        <w:rPr>
          <w:rStyle w:val="FootnoteReference"/>
        </w:rPr>
        <w:footnoteRef/>
      </w:r>
      <w:r>
        <w:rPr>
          <w:rFonts w:ascii="Noto Serif CJK SC" w:hAnsi="Noto Serif CJK SC" w:eastAsia="Noto Serif CJK SC" w:cs="Noto Serif CJK SC"/>
          <w:lang w:val="en-US" w:eastAsia="zh-CN"/>
        </w:rPr>
        <w:t xml:space="preserve"> 参见 S. Rismani, R. Dobbe and A. Moon. From Silos to Systems: Process-Oriented Hazard Analysis f⁠o⁠r AI Systems. 2410.22526v2. July 1, 2026. url: </w:t>
      </w:r>
      <w:hyperlink r:id="rId78">
        <w:r>
          <w:rPr>
            <w:rStyle w:val="Hyperlink"/>
          </w:rPr>
          <w:t xml:space="preserve">https://arxiv.org/abs/2410.22526</w:t>
        </w:r>
      </w:hyperlink>
      <w:r>
        <w:t xml:space="preserve"> (visited on 0⁠8⁠/⁠2⁠7⁠/⁠2⁠0⁠2⁠6); S. Rismani et al., From Plane Crashes to Algorithmic Harm: Applicability of Safety Engineering Frameworks for Responsible ML CHI ’23 Proc. 2:1–2:18 (Apr. 19, 2023).</w:t>
      </w:r>
      <w:bookmarkEnd w:id="76"/>
      <w:bookmarkEnd w:id="77"/>
      <w:bookmarkEnd w:id="79"/>
    </w:p>
  </w:footnote>
  <w:footnote w:id="11">
    <w:p>
      <w:pPr>
        <w:pStyle w:val="FootnoteText"/>
        <w:keepLines/>
        <w:wordWrap w:val="off"/>
      </w:pPr>
      <w:bookmarkStart w:id="82" w:name="x1-5010xB"/>
      <w:bookmarkStart w:id="83" w:name="x1-5011"/>
      <w:r>
        <w:rPr>
          <w:rStyle w:val="FootnoteReference"/>
        </w:rPr>
        <w:footnoteRef/>
      </w:r>
      <w:r>
        <w:rPr>
          <w:rFonts w:ascii="Noto Serif CJK SC" w:hAnsi="Noto Serif CJK SC" w:eastAsia="Noto Serif CJK SC" w:cs="Noto Serif CJK SC"/>
          <w:lang w:val="en-US" w:eastAsia="zh-CN"/>
        </w:rPr>
        <w:t xml:space="preserve"> 参见 National Institute of Standards and Technology. Artificial Intelligence Risk Management Framework (AI RMF 1.0). Jan. 2023. url: </w:t>
      </w:r>
      <w:hyperlink r:id="rId84">
        <w:r>
          <w:rPr>
            <w:rStyle w:val="Hyperlink"/>
          </w:rPr>
          <w:t xml:space="preserve">https://nvlpubs.nist.gov/nistpubs/ai/NIST.AI.100-1.pdf</w:t>
        </w:r>
      </w:hyperlink>
      <w:r>
        <w:t xml:space="preserve"> (visited on 0⁠8⁠/⁠2⁠7⁠/⁠2⁠0⁠2⁠6).</w:t>
      </w:r>
      <w:bookmarkEnd w:id="82"/>
      <w:bookmarkEnd w:id="83"/>
    </w:p>
  </w:footnote>
  <w:footnote w:id="12">
    <w:p>
      <w:pPr>
        <w:pStyle w:val="FootnoteText"/>
        <w:keepLines/>
        <w:wordWrap w:val="off"/>
      </w:pPr>
      <w:bookmarkStart w:id="92" w:name="x1-5018xB"/>
      <w:bookmarkStart w:id="93" w:name="x1-5019"/>
      <w:r>
        <w:rPr>
          <w:rStyle w:val="FootnoteReference"/>
        </w:rPr>
        <w:footnoteRef/>
      </w:r>
      <w:r>
        <w:rPr>
          <w:rFonts w:ascii="Noto Serif CJK SC" w:hAnsi="Noto Serif CJK SC" w:eastAsia="Noto Serif CJK SC" w:cs="Noto Serif CJK SC"/>
          <w:lang w:val="en-US" w:eastAsia="zh-CN"/>
        </w:rPr>
        <w:t xml:space="preserve"> 参见 Lisanne Bainbridge, L. Bainbridge, Ironies of Automation, 19 Automatica 775–779 (Nov. 1983).</w:t>
      </w:r>
      <w:bookmarkEnd w:id="92"/>
      <w:bookmarkEnd w:id="93"/>
    </w:p>
  </w:footnote>
  <w:footnote w:id="13">
    <w:p>
      <w:pPr>
        <w:pStyle w:val="FootnoteText"/>
        <w:keepLines/>
        <w:wordWrap w:val="off"/>
      </w:pPr>
      <w:bookmarkStart w:id="100" w:name="x1-6003xC"/>
      <w:bookmarkStart w:id="101" w:name="x1-6004"/>
      <w:bookmarkStart w:id="102" w:name="x1-6005"/>
      <w:bookmarkStart w:id="103" w:name="x1-6006"/>
      <w:bookmarkStart w:id="104" w:name="x1-6007"/>
      <w:bookmarkStart w:id="105" w:name="x1-6008"/>
      <w:r>
        <w:rPr>
          <w:rStyle w:val="FootnoteReference"/>
        </w:rPr>
        <w:footnoteRef/>
      </w:r>
      <w:r>
        <w:rPr>
          <w:rFonts w:ascii="Noto Serif CJK SC" w:hAnsi="Noto Serif CJK SC" w:eastAsia="Noto Serif CJK SC" w:cs="Noto Serif CJK SC"/>
          <w:lang w:val="en-US" w:eastAsia="zh-CN"/>
        </w:rP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Laestadius et al., supra note </w:t>
      </w:r>
      <w:hyperlink w:anchor="x1-2010xdoc">
        <w:r>
          <w:rPr>
            <w:rStyle w:val="Hyperlink"/>
          </w:rPr>
          <w:t xml:space="preserve">3</w:t>
        </w:r>
      </w:hyperlink>
      <w:r>
        <w:t xml:space="preserve">; Zhang et al.,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100"/>
      <w:bookmarkEnd w:id="101"/>
      <w:bookmarkEnd w:id="102"/>
      <w:bookmarkEnd w:id="103"/>
      <w:bookmarkEnd w:id="104"/>
      <w:bookmarkEnd w:id="105"/>
    </w:p>
  </w:footnote>
  <w:footnote w:id="14">
    <w:p>
      <w:pPr>
        <w:pStyle w:val="FootnoteText"/>
        <w:keepLines/>
        <w:wordWrap w:val="off"/>
      </w:pPr>
      <w:bookmarkStart w:id="124" w:name="x1-14002x"/>
      <w:bookmarkStart w:id="125" w:name="x1-14003"/>
      <w:r>
        <w:rPr>
          <w:rStyle w:val="FootnoteReference"/>
        </w:rPr>
        <w:footnoteRef/>
      </w:r>
      <w:r>
        <w:rPr>
          <w:rFonts w:ascii="Noto Serif CJK SC" w:hAnsi="Noto Serif CJK SC" w:eastAsia="Noto Serif CJK SC" w:cs="Noto Serif CJK SC"/>
          <w:lang w:val="en-US" w:eastAsia="zh-CN"/>
        </w:rPr>
        <w:t xml:space="preserve"> 参见 Rismani, Dobbe and Moon, supra note </w:t>
      </w:r>
      <w:hyperlink w:anchor="x1-5006xB">
        <w:r>
          <w:rPr>
            <w:rStyle w:val="Hyperlink"/>
          </w:rPr>
          <w:t xml:space="preserve">10</w:t>
        </w:r>
      </w:hyperlink>
      <w:r>
        <w:t xml:space="preserve">.</w:t>
      </w:r>
      <w:bookmarkEnd w:id="124"/>
      <w:bookmarkEnd w:id="125"/>
    </w:p>
  </w:footnote>
  <w:footnote w:id="15">
    <w:p>
      <w:pPr>
        <w:pStyle w:val="FootnoteText"/>
        <w:keepLines/>
        <w:wordWrap w:val="off"/>
      </w:pPr>
      <w:r>
        <w:rPr>
          <w:rStyle w:val="FootnoteReference"/>
        </w:rPr>
        <w:footnoteRef/>
      </w:r>
      <w:r>
        <w:rPr>
          <w:rFonts w:ascii="Noto Serif CJK SC" w:hAnsi="Noto Serif CJK SC" w:eastAsia="Noto Serif CJK SC" w:cs="Noto Serif CJK SC"/>
          <w:lang w:val="en-US" w:eastAsia="zh-CN"/>
        </w:rPr>
        <w:t xml:space="preserve"> 参见 W. N. Hohfeld, Some Fundamental Legal Conceptions as Applied in Judicial Reasoning, 23 Yale L.J. 16, 30–58 (1913)。霍菲尔德意义上的“责任”（liability）是指受制于他人法律权能的地位，并非必然指侵权责任或受处罚能力。该表只用于诊断；并不意味着每个法律主体都必须亲自行使所有法律地位。表中“救济”一行，是本文为强调执行问题而对霍菲尔德四组对应关系所作的延伸。</w:t>
      </w:r>
    </w:p>
  </w:footnote>
  <w:footnote w:id="16">
    <w:p>
      <w:pPr>
        <w:pStyle w:val="FootnoteText"/>
        <w:keepLines/>
        <w:wordWrap w:val="off"/>
      </w:pPr>
      <w:bookmarkStart w:id="132" w:name="x1-16002xA"/>
      <w:bookmarkStart w:id="133" w:name="x1-16003"/>
      <w:bookmarkStart w:id="134" w:name="x1-16004"/>
      <w:bookmarkStart w:id="135" w:name="x1-16005"/>
      <w:bookmarkStart w:id="136" w:name="x1-16006"/>
      <w:r>
        <w:rPr>
          <w:rStyle w:val="FootnoteReference"/>
        </w:rPr>
        <w:footnoteRef/>
      </w:r>
      <w:r>
        <w:rPr>
          <w:rFonts w:ascii="Noto Serif CJK SC" w:hAnsi="Noto Serif CJK SC" w:eastAsia="Noto Serif CJK SC" w:cs="Noto Serif CJK SC"/>
          <w:lang w:val="en-US" w:eastAsia="zh-CN"/>
        </w:rPr>
        <w:t xml:space="preserve"> 参见 Trustees of Dartmouth College v. Woodward, 17 U.S. (4 Wheat.) 518, 636 (U.S. 1819); New York Central &amp; Hudson River Railroad Co. v. United States, 212 U.S. 481, 492–95 (U.S. 1909); J. Dewey, The Historic Background of Corporate Legal Personality, 35 Yale L.J. 655 (1926); V. A. J. Kurki, A Theory of Legal Personhood (Oxford: Oxford University Press, 2019).</w:t>
      </w:r>
      <w:bookmarkEnd w:id="132"/>
      <w:bookmarkEnd w:id="133"/>
      <w:bookmarkEnd w:id="134"/>
      <w:bookmarkEnd w:id="135"/>
      <w:bookmarkEnd w:id="136"/>
    </w:p>
  </w:footnote>
  <w:footnote w:id="17">
    <w:p>
      <w:pPr>
        <w:pStyle w:val="FootnoteText"/>
        <w:keepLines/>
        <w:wordWrap w:val="off"/>
      </w:pPr>
      <w:bookmarkStart w:id="139" w:name="x1-16008xA"/>
      <w:bookmarkStart w:id="140" w:name="x1-16009"/>
      <w:r>
        <w:rPr>
          <w:rStyle w:val="FootnoteReference"/>
        </w:rPr>
        <w:footnoteRef/>
      </w:r>
      <w:r>
        <w:rPr>
          <w:rFonts w:ascii="Noto Serif CJK SC" w:hAnsi="Noto Serif CJK SC" w:eastAsia="Noto Serif CJK SC" w:cs="Noto Serif CJK SC"/>
          <w:lang w:val="en-US" w:eastAsia="zh-CN"/>
        </w:rPr>
        <w:t xml:space="preserve"> 参见 D. J. Chalmers. Could a Large Language Model Be Conscious? 2303.07103. 2023. url:  </w:t>
      </w:r>
      <w:hyperlink r:id="rId141">
        <w:r>
          <w:rPr>
            <w:rStyle w:val="Hyperlink"/>
          </w:rPr>
          <w:t xml:space="preserve">https://arxiv.org/abs/2303.07103</w:t>
        </w:r>
      </w:hyperlink>
      <w:r>
        <w:t xml:space="preserve"> (visited on 0⁠8⁠/⁠2⁠7⁠/⁠2⁠0⁠2⁠6).</w:t>
      </w:r>
      <w:bookmarkEnd w:id="139"/>
      <w:bookmarkEnd w:id="140"/>
    </w:p>
  </w:footnote>
  <w:footnote w:id="18">
    <w:p>
      <w:pPr>
        <w:pStyle w:val="FootnoteText"/>
        <w:keepLines/>
        <w:wordWrap w:val="off"/>
      </w:pPr>
      <w:bookmarkStart w:id="146" w:name="x1-17002xB"/>
      <w:bookmarkStart w:id="147" w:name="x1-17003"/>
      <w:bookmarkStart w:id="148" w:name="x1-17004"/>
      <w:bookmarkStart w:id="149" w:name="x1-17005"/>
      <w:bookmarkStart w:id="150" w:name="x1-17006"/>
      <w:bookmarkStart w:id="151" w:name="x1-17007"/>
      <w:r>
        <w:rPr>
          <w:rStyle w:val="FootnoteReference"/>
        </w:rPr>
        <w:footnoteRef/>
      </w:r>
      <w:r>
        <w:rPr>
          <w:rFonts w:ascii="Noto Serif CJK SC" w:hAnsi="Noto Serif CJK SC" w:eastAsia="Noto Serif CJK SC" w:cs="Noto Serif CJK SC"/>
          <w:lang w:val="en-US" w:eastAsia="zh-CN"/>
        </w:rPr>
        <w:t xml:space="preserve"> 参见 L. B. Solum, Legal Personhood for Artificial Intelligences, 70 N.C. L. Rev. 1231 (1992); S. Chopra and L. F. White, A Legal Theory for Autonomous Artificial Agents (Ann Arbor: University of Michigan Press, 2011); D. J. Gunkel, Robot Rights (Cambridge, Mass.: MIT Press, 2018); R. Abbott and A. Sarch, Punishing Artificial Intelligence: Legal Fiction or Science Fiction, 53 UC Davis L. Rev. 323 (2019); S. Chesterman, Artificial Intelligence and the Limits of Legal Personality, 69 Int’l &amp; Comp. L.Q. 819 (2020).</w:t>
      </w:r>
      <w:bookmarkEnd w:id="146"/>
      <w:bookmarkEnd w:id="147"/>
      <w:bookmarkEnd w:id="148"/>
      <w:bookmarkEnd w:id="149"/>
      <w:bookmarkEnd w:id="150"/>
      <w:bookmarkEnd w:id="151"/>
    </w:p>
  </w:footnote>
  <w:footnote w:id="19">
    <w:p>
      <w:pPr>
        <w:pStyle w:val="FootnoteText"/>
        <w:keepLines/>
        <w:wordWrap w:val="off"/>
      </w:pPr>
      <w:bookmarkStart w:id="154" w:name="x1-17009xB"/>
      <w:bookmarkStart w:id="155" w:name="x1-17010"/>
      <w:bookmarkStart w:id="156" w:name="x1-17011"/>
      <w:r>
        <w:rPr>
          <w:rStyle w:val="FootnoteReference"/>
        </w:rPr>
        <w:footnoteRef/>
      </w:r>
      <w:r>
        <w:rPr>
          <w:rFonts w:ascii="Noto Serif CJK SC" w:hAnsi="Noto Serif CJK SC" w:eastAsia="Noto Serif CJK SC" w:cs="Noto Serif CJK SC"/>
          <w:lang w:val="en-US" w:eastAsia="zh-CN"/>
        </w:rPr>
        <w:t xml:space="preserve"> 参见 S. J. Bayern, The Implications of Modern Business-Entity Law for the Regulation of Autonomous Systems, 19 Stan. Tech. L. Rev. 93 (2015); L. M. LoPucki, Algorithmic Entities, 95 Wash. U. L. Rev. 887, 887–903 (2018).</w:t>
      </w:r>
      <w:bookmarkEnd w:id="154"/>
      <w:bookmarkEnd w:id="155"/>
      <w:bookmarkEnd w:id="156"/>
    </w:p>
  </w:footnote>
  <w:footnote w:id="20">
    <w:p>
      <w:pPr>
        <w:pStyle w:val="FootnoteText"/>
        <w:keepLines/>
        <w:wordWrap w:val="off"/>
      </w:pPr>
      <w:bookmarkStart w:id="159" w:name="x1-17013xB"/>
      <w:bookmarkStart w:id="160" w:name="x1-17014"/>
      <w:r>
        <w:rPr>
          <w:rStyle w:val="FootnoteReference"/>
        </w:rPr>
        <w:footnoteRef/>
      </w:r>
      <w:r>
        <w:rPr>
          <w:rFonts w:ascii="Noto Serif CJK SC" w:hAnsi="Noto Serif CJK SC" w:eastAsia="Noto Serif CJK SC" w:cs="Noto Serif CJK SC"/>
          <w:lang w:val="en-US" w:eastAsia="zh-CN"/>
        </w:rPr>
        <w:t xml:space="preserve"> 参见 A. Mukherjee and H. H. Chang, Operational Agency: A Permeable Legal Fiction for Tracing Culpability in AI Systems, 29 SMU Sci. &amp; Tech. L. Rev. 163 (2026).</w:t>
      </w:r>
      <w:bookmarkEnd w:id="159"/>
      <w:bookmarkEnd w:id="160"/>
    </w:p>
  </w:footnote>
  <w:footnote w:id="21">
    <w:p>
      <w:pPr>
        <w:pStyle w:val="FootnoteText"/>
        <w:keepLines/>
        <w:wordWrap w:val="off"/>
      </w:pPr>
      <w:bookmarkStart w:id="163" w:name="x1-17016xB"/>
      <w:bookmarkStart w:id="164" w:name="x1-17017"/>
      <w:r>
        <w:rPr>
          <w:rStyle w:val="FootnoteReference"/>
        </w:rPr>
        <w:footnoteRef/>
      </w:r>
      <w:r>
        <w:rPr>
          <w:rFonts w:ascii="Noto Serif CJK SC" w:hAnsi="Noto Serif CJK SC" w:eastAsia="Noto Serif CJK SC" w:cs="Noto Serif CJK SC"/>
          <w:lang w:val="en-US" w:eastAsia="zh-CN"/>
        </w:rPr>
        <w:t xml:space="preserve"> 参见 American Law Institute, supra note </w:t>
      </w:r>
      <w:hyperlink w:anchor="x1-4002xA">
        <w:r>
          <w:rPr>
            <w:rStyle w:val="Hyperlink"/>
          </w:rPr>
          <w:t xml:space="preserve">7</w:t>
        </w:r>
      </w:hyperlink>
      <w:r>
        <w:t xml:space="preserve">.</w:t>
      </w:r>
      <w:bookmarkEnd w:id="163"/>
      <w:bookmarkEnd w:id="164"/>
    </w:p>
  </w:footnote>
  <w:footnote w:id="22">
    <w:p>
      <w:pPr>
        <w:pStyle w:val="FootnoteText"/>
        <w:keepLines/>
        <w:wordWrap w:val="off"/>
      </w:pPr>
      <w:r>
        <w:rPr>
          <w:rStyle w:val="FootnoteReference"/>
        </w:rPr>
        <w:footnoteRef/>
      </w:r>
      <w:r>
        <w:rPr>
          <w:rFonts w:ascii="Noto Serif CJK SC" w:hAnsi="Noto Serif CJK SC" w:eastAsia="Noto Serif CJK SC" w:cs="Noto Serif CJK SC"/>
          <w:lang w:val="en-US" w:eastAsia="zh-CN"/>
        </w:rPr>
        <w:t xml:space="preserve"> 参见 H.R. 238, 119th Cong. § 2 (2025).</w:t>
      </w:r>
    </w:p>
  </w:footnote>
  <w:footnote w:id="23">
    <w:p>
      <w:pPr>
        <w:pStyle w:val="FootnoteText"/>
        <w:wordWrap w:val="off"/>
      </w:pPr>
      <w:bookmarkStart w:id="167" w:name="x1-17019xB"/>
      <w:bookmarkStart w:id="168" w:name="x1-17020"/>
      <w:bookmarkStart w:id="170" w:name="x1-17021"/>
      <w:bookmarkStart w:id="172" w:name="x1-17022"/>
      <w:r>
        <w:rPr>
          <w:rStyle w:val="FootnoteReference"/>
        </w:rPr>
        <w:footnoteRef/>
      </w:r>
      <w:r>
        <w:rPr>
          <w:rFonts w:ascii="Noto Serif CJK SC" w:hAnsi="Noto Serif CJK SC" w:eastAsia="Noto Serif CJK SC" w:cs="Noto Serif CJK SC"/>
          <w:lang w:val="en-US" w:eastAsia="zh-CN"/>
        </w:rPr>
        <w:t xml:space="preserve"> 参见 European Parliament. Resolution with Recommendations to the Commission on Civil Law Rules on Robotics. Feb. 16, 2017. url: </w:t>
      </w:r>
      <w:hyperlink r:id="rId169">
        <w:r>
          <w:rPr>
            <w:rStyle w:val="Hyperlink"/>
          </w:rPr>
          <w:t xml:space="preserve">https://www.europarl.europa.eu/doceo/document/TA-8-2017-0051_EN.html</w:t>
        </w:r>
      </w:hyperlink>
      <w:r>
        <w:t xml:space="preserve"> (visited on 0⁠8⁠/⁠2⁠7⁠/⁠2⁠0⁠2⁠6) (para. 59(f)); European Economic and Social Committee. Opinion on Artificial Intelligence: The Consequences of Artificial Intelligence for the Digital Single Market, Production, Consumption, Employment and Society. Aug. 31, 2017. url: </w:t>
      </w:r>
      <w:hyperlink r:id="rId171">
        <w:r>
          <w:rPr>
            <w:rStyle w:val="Hyperlink"/>
          </w:rPr>
          <w:t xml:space="preserve">https://eur-lex.europa.eu/legal-content/EN/TXT/?uri=CELEX:52016IE5369</w:t>
        </w:r>
      </w:hyperlink>
      <w:r>
        <w:t xml:space="preserve"> (visited on 0⁠8⁠/⁠2⁠7⁠/⁠2⁠0⁠2⁠6) (paras. 1.12, 3.33); Artificial Intelligence and Robotics Researchers. Open Letter to the European Commission: Artificial Intelligence and Robotics. 2018. url: </w:t>
      </w:r>
      <w:hyperlink r:id="rId173">
        <w:r>
          <w:rPr>
            <w:rStyle w:val="Hyperlink"/>
          </w:rPr>
          <w:t xml:space="preserve">https://www.robotics-openletter.eu/</w:t>
        </w:r>
      </w:hyperlink>
      <w:r>
        <w:t xml:space="preserve"> (visited on 0⁠8⁠/⁠2⁠7⁠/⁠2⁠0⁠2⁠6).</w:t>
      </w:r>
      <w:bookmarkEnd w:id="167"/>
      <w:bookmarkEnd w:id="168"/>
      <w:bookmarkEnd w:id="170"/>
      <w:bookmarkEnd w:id="172"/>
    </w:p>
  </w:footnote>
  <w:footnote w:id="24">
    <w:p>
      <w:pPr>
        <w:pStyle w:val="FootnoteText"/>
        <w:keepLines/>
        <w:wordWrap w:val="off"/>
      </w:pPr>
      <w:bookmarkStart w:id="178" w:name="x1-18002xC"/>
      <w:bookmarkStart w:id="179" w:name="x1-18003"/>
      <w:bookmarkStart w:id="180" w:name="x1-18004"/>
      <w:r>
        <w:rPr>
          <w:rStyle w:val="FootnoteReference"/>
        </w:rPr>
        <w:footnoteRef/>
      </w:r>
      <w:r>
        <w:rPr>
          <w:rFonts w:ascii="Noto Serif CJK SC" w:hAnsi="Noto Serif CJK SC" w:eastAsia="Noto Serif CJK SC" w:cs="Noto Serif CJK SC"/>
          <w:lang w:val="en-US" w:eastAsia="zh-CN"/>
        </w:rPr>
        <w:t xml:space="preserve"> 参见 Artificial Intelligence Act, Regulation (EU) 2024/1689 (June 13, 2024); National Institute of Standards and Technology, supra note </w:t>
      </w:r>
      <w:hyperlink w:anchor="x1-5010xB">
        <w:r>
          <w:rPr>
            <w:rStyle w:val="Hyperlink"/>
          </w:rPr>
          <w:t xml:space="preserve">11</w:t>
        </w:r>
      </w:hyperlink>
      <w:r>
        <w:t xml:space="preserve">.</w:t>
      </w:r>
      <w:bookmarkEnd w:id="178"/>
      <w:bookmarkEnd w:id="179"/>
      <w:bookmarkEnd w:id="180"/>
    </w:p>
  </w:footnote>
  <w:footnote w:id="25">
    <w:p>
      <w:pPr>
        <w:pStyle w:val="FootnoteText"/>
        <w:keepLines/>
        <w:wordWrap w:val="off"/>
      </w:pPr>
      <w:bookmarkStart w:id="183" w:name="x1-18006xC"/>
      <w:bookmarkStart w:id="184" w:name="x1-18007"/>
      <w:bookmarkStart w:id="186" w:name="x1-18008"/>
      <w:r>
        <w:rPr>
          <w:rStyle w:val="FootnoteReference"/>
        </w:rPr>
        <w:footnoteRef/>
      </w:r>
      <w:r>
        <w:rPr>
          <w:rFonts w:ascii="Noto Serif CJK SC" w:hAnsi="Noto Serif CJK SC" w:eastAsia="Noto Serif CJK SC" w:cs="Noto Serif CJK SC"/>
          <w:lang w:val="en-US" w:eastAsia="zh-CN"/>
        </w:rPr>
        <w:t xml:space="preserve"> 参见 Uniform Law Commission. Uniform Electronic Transactions Act. 1999. url:  </w:t>
      </w:r>
      <w:hyperlink r:id="rId185">
        <w:r>
          <w:rPr>
            <w:rStyle w:val="Hyperlink"/>
          </w:rPr>
          <w:t xml:space="preserve">https://www.uniformlaws.org/committees/community-home?CommunityKey=2c04b76c-2b7d-4399-977e-d5876ba7e034</w:t>
        </w:r>
      </w:hyperlink>
      <w:r>
        <w:t xml:space="preserve"> (visited on 0⁠8⁠/⁠2⁠7⁠/⁠2⁠0⁠2⁠6) (model act §§ 2(6), 14); Electronic Signatures in Global and National Commerce Act, 15 U.S.C. § 7001(h) (2000).</w:t>
      </w:r>
      <w:bookmarkEnd w:id="183"/>
      <w:bookmarkEnd w:id="184"/>
      <w:bookmarkEnd w:id="186"/>
    </w:p>
  </w:footnote>
  <w:footnote w:id="26">
    <w:p>
      <w:pPr>
        <w:pStyle w:val="FootnoteText"/>
        <w:wordWrap w:val="off"/>
      </w:pPr>
      <w:bookmarkStart w:id="191" w:name="x1-19002xD"/>
      <w:bookmarkStart w:id="192" w:name="x1-19003"/>
      <w:bookmarkStart w:id="193" w:name="x1-19004"/>
      <w:bookmarkStart w:id="194" w:name="x1-19005"/>
      <w:bookmarkStart w:id="195" w:name="x1-19006"/>
      <w:bookmarkStart w:id="196" w:name="x1-19007"/>
      <w:r>
        <w:rPr>
          <w:rStyle w:val="FootnoteReference"/>
        </w:rPr>
        <w:footnoteRef/>
      </w:r>
      <w:r>
        <w:rPr>
          <w:rFonts w:ascii="Noto Serif CJK SC" w:hAnsi="Noto Serif CJK SC" w:eastAsia="Noto Serif CJK SC" w:cs="Noto Serif CJK SC"/>
          <w:lang w:val="en-US" w:eastAsia="zh-CN"/>
        </w:rPr>
        <w:t xml:space="preserve"> 参见 H. L. A. Hart, Definition and Theory in Jurisprudence, 70 L.Q. Rev. 37 (1954); B. Casey and M. A. Lemley, You Might Be a Robot, 105 Cornell L. Rev. 287 (2020); J. Schuett, Defining the Scope of AI Regulations, 15 Law Innovation &amp; Tech. 60 (2023); A. Ojanen, Technology Neutrality as a Way to Future-Proof Regulation: The Case of the Artificial Intelligence Act, 16 Eur. J. Risk Regul. 1440 (2025); Aspen Institute. Defining the Technologies of Our Time: Artificial Intelligence. 2026. url:  </w:t>
      </w:r>
      <w:hyperlink r:id="rId197">
        <w:r>
          <w:rPr>
            <w:rStyle w:val="Hyperlink"/>
          </w:rPr>
          <w:t xml:space="preserve">https://www.aspeninstitute.org/publications/defining-technologies-of-our-time-artificial-intelligence/</w:t>
        </w:r>
      </w:hyperlink>
      <w:r>
        <w:t xml:space="preserve"> (visited on 0⁠8⁠/⁠2⁠7⁠/⁠2⁠0⁠2⁠6).</w:t>
      </w:r>
      <w:bookmarkEnd w:id="191"/>
      <w:bookmarkEnd w:id="192"/>
      <w:bookmarkEnd w:id="193"/>
      <w:bookmarkEnd w:id="194"/>
      <w:bookmarkEnd w:id="195"/>
      <w:bookmarkEnd w:id="196"/>
    </w:p>
  </w:footnote>
  <w:footnote w:id="27">
    <w:p>
      <w:pPr>
        <w:pStyle w:val="FootnoteText"/>
        <w:keepLines/>
        <w:wordWrap w:val="off"/>
      </w:pPr>
      <w:bookmarkStart w:id="200" w:name="x1-19009xD"/>
      <w:bookmarkStart w:id="201" w:name="x1-19010"/>
      <w:bookmarkStart w:id="202" w:name="x1-19011"/>
      <w:bookmarkStart w:id="204" w:name="x1-19012"/>
      <w:r>
        <w:rPr>
          <w:rStyle w:val="FootnoteReference"/>
        </w:rPr>
        <w:footnoteRef/>
      </w:r>
      <w:r>
        <w:rPr>
          <w:rFonts w:ascii="Noto Serif CJK SC" w:hAnsi="Noto Serif CJK SC" w:eastAsia="Noto Serif CJK SC" w:cs="Noto Serif CJK SC"/>
          <w:lang w:val="en-US" w:eastAsia="zh-CN"/>
        </w:rPr>
        <w:t xml:space="preserve"> 参见 Thaler v. Perlmutter, 130 F.4th 1039, 1045–49 (D.C. Cir. 2025); U.S. Copyright Office. Copyright and Artificial Intelligence, Part 2: Copyrightability. U.S. Copyright Office. Jan. 29, 2025. url:  </w:t>
      </w:r>
      <w:hyperlink r:id="rId203">
        <w:r>
          <w:rPr>
            <w:rStyle w:val="Hyperlink"/>
          </w:rPr>
          <w:t xml:space="preserve">https://www.copyright.gov/ai/Copyright-and-Artificial-Intelligence-Part-2-Copyrightability-Report.pdf</w:t>
        </w:r>
      </w:hyperlink>
      <w:r>
        <w:t xml:space="preserve"> (visited on 0⁠8⁠/⁠2⁠7⁠/⁠2⁠0⁠2⁠6); M. E. Kaminski and M. L. Jones, Constructing AI Speech, 133 Yale L.J.F. 1212 (2024).</w:t>
      </w:r>
      <w:bookmarkEnd w:id="200"/>
      <w:bookmarkEnd w:id="201"/>
      <w:bookmarkEnd w:id="202"/>
      <w:bookmarkEnd w:id="204"/>
    </w:p>
  </w:footnote>
  <w:footnote w:id="28">
    <w:p>
      <w:pPr>
        <w:pStyle w:val="FootnoteText"/>
        <w:keepLines/>
        <w:wordWrap w:val="off"/>
      </w:pPr>
      <w:bookmarkStart w:id="207" w:name="x1-19014xD"/>
      <w:bookmarkStart w:id="208" w:name="x1-19015"/>
      <w:bookmarkStart w:id="209" w:name="x1-19016"/>
      <w:r>
        <w:rPr>
          <w:rStyle w:val="FootnoteReference"/>
        </w:rPr>
        <w:footnoteRef/>
      </w:r>
      <w:r>
        <w:rPr>
          <w:rFonts w:ascii="Noto Serif CJK SC" w:hAnsi="Noto Serif CJK SC" w:eastAsia="Noto Serif CJK SC" w:cs="Noto Serif CJK SC"/>
          <w:lang w:val="en-US" w:eastAsia="zh-CN"/>
        </w:rPr>
        <w:t xml:space="preserve"> 参见 Loper Bright Enterprises v. Raimondo, 603 U.S. 369, 394–96 (U.S. 2024); Skidmore v. Swift &amp; Co. 323 U.S. 134, 140 (U.S. 1944).</w:t>
      </w:r>
      <w:bookmarkEnd w:id="207"/>
      <w:bookmarkEnd w:id="208"/>
      <w:bookmarkEnd w:id="209"/>
    </w:p>
  </w:footnote>
  <w:footnote w:id="29">
    <w:p>
      <w:pPr>
        <w:pStyle w:val="FootnoteText"/>
        <w:keepLines/>
        <w:wordWrap w:val="off"/>
      </w:pPr>
      <w:bookmarkStart w:id="212" w:name="x1-19018xD"/>
      <w:bookmarkStart w:id="213" w:name="x1-19019"/>
      <w:bookmarkStart w:id="214" w:name="x1-19020"/>
      <w:bookmarkStart w:id="215" w:name="x1-19021"/>
      <w:r>
        <w:rPr>
          <w:rStyle w:val="FootnoteReference"/>
        </w:rPr>
        <w:footnoteRef/>
      </w:r>
      <w:r>
        <w:rPr>
          <w:rFonts w:ascii="Noto Serif CJK SC" w:hAnsi="Noto Serif CJK SC" w:eastAsia="Noto Serif CJK SC" w:cs="Noto Serif CJK SC"/>
          <w:lang w:val="en-US" w:eastAsia="zh-CN"/>
        </w:rPr>
        <w:t xml:space="preserve"> 参见 Garcia, 785 F. Supp. 3d 1157; Moffatt v. Air Canada 2024 BCCRT 149, 27–31 (B.C. Civ. Resol. Trib. Feb. 14, 2024); Le, supra note </w:t>
      </w:r>
      <w:hyperlink w:anchor="x1-4007xA">
        <w:r>
          <w:rPr>
            <w:rStyle w:val="Hyperlink"/>
          </w:rPr>
          <w:t xml:space="preserve">8</w:t>
        </w:r>
      </w:hyperlink>
      <w:r>
        <w:t xml:space="preserve">.</w:t>
      </w:r>
      <w:bookmarkEnd w:id="212"/>
      <w:bookmarkEnd w:id="213"/>
      <w:bookmarkEnd w:id="214"/>
      <w:bookmarkEnd w:id="215"/>
    </w:p>
  </w:footnote>
  <w:footnote w:id="30">
    <w:p>
      <w:pPr>
        <w:pStyle w:val="FootnoteText"/>
        <w:keepLines/>
        <w:wordWrap w:val="off"/>
      </w:pPr>
      <w:bookmarkStart w:id="223" w:name="x1-22002x1"/>
      <w:bookmarkStart w:id="224" w:name="x1-22003"/>
      <w:r>
        <w:rPr>
          <w:rStyle w:val="FootnoteReference"/>
        </w:rPr>
        <w:footnoteRef/>
      </w:r>
      <w:r>
        <w:rPr>
          <w:rFonts w:ascii="Noto Serif CJK SC" w:hAnsi="Noto Serif CJK SC" w:eastAsia="Noto Serif CJK SC" w:cs="Noto Serif CJK SC"/>
          <w:lang w:val="en-US" w:eastAsia="zh-CN"/>
        </w:rPr>
        <w:t xml:space="preserve"> 参见 De Freitas et al., supra note </w:t>
      </w:r>
      <w:hyperlink w:anchor="x1-2010xdoc">
        <w:r>
          <w:rPr>
            <w:rStyle w:val="Hyperlink"/>
          </w:rPr>
          <w:t xml:space="preserve">3</w:t>
        </w:r>
      </w:hyperlink>
      <w:r>
        <w:t xml:space="preserve">.</w:t>
      </w:r>
      <w:bookmarkEnd w:id="223"/>
      <w:bookmarkEnd w:id="224"/>
    </w:p>
  </w:footnote>
  <w:footnote w:id="31">
    <w:p>
      <w:pPr>
        <w:pStyle w:val="FootnoteText"/>
        <w:keepLines/>
        <w:wordWrap w:val="off"/>
      </w:pPr>
      <w:bookmarkStart w:id="227" w:name="x1-22005x1"/>
      <w:bookmarkStart w:id="228" w:name="x1-22006"/>
      <w:r>
        <w:rPr>
          <w:rStyle w:val="FootnoteReference"/>
        </w:rPr>
        <w:footnoteRef/>
      </w:r>
      <w:r>
        <w:rPr>
          <w:rFonts w:ascii="Noto Serif CJK SC" w:hAnsi="Noto Serif CJK SC" w:eastAsia="Noto Serif CJK SC" w:cs="Noto Serif CJK SC"/>
          <w:lang w:val="en-US" w:eastAsia="zh-CN"/>
        </w:rPr>
        <w:t xml:space="preserve"> 参见 Banks, supra note </w:t>
      </w:r>
      <w:hyperlink w:anchor="x1-2010xdoc">
        <w:r>
          <w:rPr>
            <w:rStyle w:val="Hyperlink"/>
          </w:rPr>
          <w:t xml:space="preserve">3</w:t>
        </w:r>
      </w:hyperlink>
      <w:r>
        <w:t xml:space="preserve">.</w:t>
      </w:r>
      <w:bookmarkEnd w:id="227"/>
      <w:bookmarkEnd w:id="228"/>
    </w:p>
  </w:footnote>
  <w:footnote w:id="32">
    <w:p>
      <w:pPr>
        <w:pStyle w:val="FootnoteText"/>
        <w:keepLines/>
        <w:wordWrap w:val="off"/>
      </w:pPr>
      <w:bookmarkStart w:id="231" w:name="x1-22008x1"/>
      <w:bookmarkStart w:id="232" w:name="x1-22009"/>
      <w:r>
        <w:rPr>
          <w:rStyle w:val="FootnoteReference"/>
        </w:rPr>
        <w:footnoteRef/>
      </w:r>
      <w:r>
        <w:rPr>
          <w:rFonts w:ascii="Noto Serif CJK SC" w:hAnsi="Noto Serif CJK SC" w:eastAsia="Noto Serif CJK SC" w:cs="Noto Serif CJK SC"/>
          <w:lang w:val="en-US" w:eastAsia="zh-CN"/>
        </w:rPr>
        <w:t xml:space="preserve"> 参见 Laestadius et al., supra note </w:t>
      </w:r>
      <w:hyperlink w:anchor="x1-2010xdoc">
        <w:r>
          <w:rPr>
            <w:rStyle w:val="Hyperlink"/>
          </w:rPr>
          <w:t xml:space="preserve">3</w:t>
        </w:r>
      </w:hyperlink>
      <w:r>
        <w:t xml:space="preserve">.</w:t>
      </w:r>
      <w:bookmarkEnd w:id="231"/>
      <w:bookmarkEnd w:id="232"/>
    </w:p>
  </w:footnote>
  <w:footnote w:id="33">
    <w:p>
      <w:pPr>
        <w:pStyle w:val="FootnoteText"/>
        <w:keepLines/>
        <w:wordWrap w:val="off"/>
      </w:pPr>
      <w:bookmarkStart w:id="235" w:name="x1-22011x1"/>
      <w:bookmarkStart w:id="236" w:name="x1-22012"/>
      <w:r>
        <w:rPr>
          <w:rStyle w:val="FootnoteReference"/>
        </w:rPr>
        <w:footnoteRef/>
      </w:r>
      <w:r>
        <w:rPr>
          <w:rFonts w:ascii="Noto Serif CJK SC" w:hAnsi="Noto Serif CJK SC" w:eastAsia="Noto Serif CJK SC" w:cs="Noto Serif CJK SC"/>
          <w:lang w:val="en-US" w:eastAsia="zh-CN"/>
        </w:rPr>
        <w:t xml:space="preserve"> 参见 Zhang et al., supra note </w:t>
      </w:r>
      <w:hyperlink w:anchor="x1-2010xdoc">
        <w:r>
          <w:rPr>
            <w:rStyle w:val="Hyperlink"/>
          </w:rPr>
          <w:t xml:space="preserve">3</w:t>
        </w:r>
      </w:hyperlink>
      <w:r>
        <w:rPr>
          <w:rFonts w:ascii="Noto Serif CJK SC" w:hAnsi="Noto Serif CJK SC" w:eastAsia="Noto Serif CJK SC" w:cs="Noto Serif CJK SC"/>
          <w:lang w:val="en-US" w:eastAsia="zh-CN"/>
        </w:rPr>
        <w:t xml:space="preserve">. 源材料由用户自行选择发布到网络社区的对话构成，因此该研究描绘的是可能出现的行为，而非总体人群中的发生率。</w:t>
      </w:r>
      <w:bookmarkEnd w:id="235"/>
      <w:bookmarkEnd w:id="236"/>
    </w:p>
  </w:footnote>
  <w:footnote w:id="34">
    <w:p>
      <w:pPr>
        <w:pStyle w:val="FootnoteText"/>
        <w:keepLines/>
        <w:wordWrap w:val="off"/>
      </w:pPr>
      <w:bookmarkStart w:id="239" w:name="x1-22014x1"/>
      <w:bookmarkStart w:id="240" w:name="x1-22015"/>
      <w:r>
        <w:rPr>
          <w:rStyle w:val="FootnoteReference"/>
        </w:rPr>
        <w:footnoteRef/>
      </w:r>
      <w:r>
        <w:rPr>
          <w:rFonts w:ascii="Noto Serif CJK SC" w:hAnsi="Noto Serif CJK SC" w:eastAsia="Noto Serif CJK SC" w:cs="Noto Serif CJK SC"/>
          <w:lang w:val="en-US" w:eastAsia="zh-CN"/>
        </w:rPr>
        <w:t xml:space="preserve"> 参见 Kirk et al., supra note </w:t>
      </w:r>
      <w:hyperlink w:anchor="x1-2007xdoc">
        <w:r>
          <w:rPr>
            <w:rStyle w:val="Hyperlink"/>
          </w:rPr>
          <w:t xml:space="preserve">2</w:t>
        </w:r>
      </w:hyperlink>
      <w:r>
        <w:rPr>
          <w:rFonts w:ascii="Noto Serif CJK SC" w:hAnsi="Noto Serif CJK SC" w:eastAsia="Noto Serif CJK SC" w:cs="Noto Serif CJK SC"/>
          <w:lang w:val="en-US" w:eastAsia="zh-CN"/>
        </w:rPr>
        <w:t xml:space="preserve">. 该研究为2026年的预印本，其受控部署并不估计商业用户群体中临床伤害的发生率。 它提供的是关于剂量和反复暴露的证据，而非侵权因果关系规则。</w:t>
      </w:r>
      <w:bookmarkEnd w:id="239"/>
      <w:bookmarkEnd w:id="240"/>
    </w:p>
  </w:footnote>
  <w:footnote w:id="35">
    <w:p>
      <w:pPr>
        <w:pStyle w:val="FootnoteText"/>
        <w:keepLines/>
        <w:wordWrap w:val="off"/>
      </w:pPr>
      <w:bookmarkStart w:id="245" w:name="x1-23002x2"/>
      <w:bookmarkStart w:id="246" w:name="x1-23003"/>
      <w:r>
        <w:rPr>
          <w:rStyle w:val="FootnoteReference"/>
        </w:rPr>
        <w:footnoteRef/>
      </w:r>
      <w:r>
        <w:rPr>
          <w:rFonts w:ascii="Noto Serif CJK SC" w:hAnsi="Noto Serif CJK SC" w:eastAsia="Noto Serif CJK SC" w:cs="Noto Serif CJK SC"/>
          <w:lang w:val="en-US" w:eastAsia="zh-CN"/>
        </w:rPr>
        <w:t xml:space="preserve"> 参见 Garcia, 785 F. Supp. 3d at 1165–69. 这些内容是在依据《联邦民事诉讼规则》第 12 条处理驳回动议的诉状审查阶段复述的诉称事实；法院并未就缺陷、因果关系或责任作出认定。</w:t>
      </w:r>
      <w:bookmarkEnd w:id="245"/>
      <w:bookmarkEnd w:id="246"/>
    </w:p>
  </w:footnote>
  <w:footnote w:id="36">
    <w:p>
      <w:pPr>
        <w:pStyle w:val="FootnoteText"/>
        <w:keepLines/>
        <w:wordWrap w:val="off"/>
      </w:pPr>
      <w:bookmarkStart w:id="249" w:name="x1-23005x2"/>
      <w:bookmarkStart w:id="250" w:name="x1-23006"/>
      <w:r>
        <w:rPr>
          <w:rStyle w:val="FootnoteReference"/>
        </w:rPr>
        <w:footnoteRef/>
      </w:r>
      <w:r>
        <w:rPr>
          <w:rFonts w:ascii="Noto Serif CJK SC" w:hAnsi="Noto Serif CJK SC" w:eastAsia="Noto Serif CJK SC" w:cs="Noto Serif CJK SC"/>
          <w:lang w:val="en-US" w:eastAsia="zh-CN"/>
        </w:rPr>
        <w:t xml:space="preserve"> 参见 Id. at 1179–80.</w:t>
      </w:r>
      <w:bookmarkEnd w:id="249"/>
      <w:bookmarkEnd w:id="250"/>
    </w:p>
  </w:footnote>
  <w:footnote w:id="37">
    <w:p>
      <w:pPr>
        <w:pStyle w:val="FootnoteText"/>
        <w:keepLines/>
        <w:wordWrap w:val="off"/>
      </w:pPr>
      <w:bookmarkStart w:id="253" w:name="x1-23008x2"/>
      <w:bookmarkStart w:id="254" w:name="x1-23009"/>
      <w:r>
        <w:rPr>
          <w:rStyle w:val="FootnoteReference"/>
        </w:rPr>
        <w:footnoteRef/>
      </w:r>
      <w:r>
        <w:rPr>
          <w:rFonts w:ascii="Noto Serif CJK SC" w:hAnsi="Noto Serif CJK SC" w:eastAsia="Noto Serif CJK SC" w:cs="Noto Serif CJK SC"/>
          <w:lang w:val="en-US" w:eastAsia="zh-CN"/>
        </w:rPr>
        <w:t xml:space="preserve"> 参见 Id. at 1174–76；另参见 Moody v. NetChoice, LLC, 603 U.S. 707, 745–48 (U.S. 2024) （Barrett 法官，协同意见）.</w:t>
      </w:r>
      <w:bookmarkEnd w:id="253"/>
      <w:bookmarkEnd w:id="254"/>
    </w:p>
  </w:footnote>
  <w:footnote w:id="38">
    <w:p>
      <w:pPr>
        <w:pStyle w:val="FootnoteText"/>
        <w:keepLines/>
        <w:wordWrap w:val="off"/>
      </w:pPr>
      <w:bookmarkStart w:id="257" w:name="x1-23011x2"/>
      <w:bookmarkStart w:id="258" w:name="x1-23012"/>
      <w:bookmarkStart w:id="259" w:name="x1-23013"/>
      <w:r>
        <w:rPr>
          <w:rStyle w:val="FootnoteReference"/>
        </w:rPr>
        <w:footnoteRef/>
      </w:r>
      <w:r>
        <w:rPr>
          <w:rFonts w:ascii="Noto Serif CJK SC" w:hAnsi="Noto Serif CJK SC" w:eastAsia="Noto Serif CJK SC" w:cs="Noto Serif CJK SC"/>
          <w:lang w:val="en-US" w:eastAsia="zh-CN"/>
        </w:rPr>
        <w:t xml:space="preserve"> 比较参见 Rice v. Paladin Enterprises, Inc. 128 F.3d 233 (4th Cir. 1997); Winter v. G.P. Putnam’s Sons, 938 F.2d 1033 (9th Cir. 1991).</w:t>
      </w:r>
      <w:bookmarkEnd w:id="257"/>
      <w:bookmarkEnd w:id="258"/>
      <w:bookmarkEnd w:id="259"/>
    </w:p>
  </w:footnote>
  <w:footnote w:id="39">
    <w:p>
      <w:pPr>
        <w:pStyle w:val="FootnoteText"/>
        <w:keepLines/>
        <w:wordWrap w:val="off"/>
      </w:pPr>
      <w:bookmarkStart w:id="262" w:name="x1-23015x2"/>
      <w:bookmarkStart w:id="263" w:name="x1-23016"/>
      <w:bookmarkStart w:id="264" w:name="x1-23017"/>
      <w:bookmarkStart w:id="265" w:name="x1-23018"/>
      <w:r>
        <w:rPr>
          <w:rStyle w:val="FootnoteReference"/>
        </w:rPr>
        <w:footnoteRef/>
      </w:r>
      <w:r>
        <w:rPr>
          <w:rFonts w:ascii="Noto Serif CJK SC" w:hAnsi="Noto Serif CJK SC" w:eastAsia="Noto Serif CJK SC" w:cs="Noto Serif CJK SC"/>
          <w:lang w:val="en-US" w:eastAsia="zh-CN"/>
        </w:rPr>
        <w:t xml:space="preserve"> 参见 Garcia Dismissal No. 6:24-cv-01903-ACC-DCI, Dkt. 244; Garcia v. Character Technologies, Inc. No. 6:24-cv-01903-ACC-DCI, Dkt. 271 (M.D. Fla. Apr. 8, 2026)（延长当事人申请作出合意终局裁定或判决、或者申请恢复审理之期限的裁定）；Garcia Charging-Lien Order No. 6:24-cv-01903-ACC-DCI, Dkt. 273, at 1.</w:t>
      </w:r>
      <w:bookmarkEnd w:id="262"/>
      <w:bookmarkEnd w:id="263"/>
      <w:bookmarkEnd w:id="264"/>
      <w:bookmarkEnd w:id="265"/>
    </w:p>
  </w:footnote>
  <w:footnote w:id="40">
    <w:p>
      <w:pPr>
        <w:pStyle w:val="FootnoteText"/>
        <w:keepLines/>
        <w:wordWrap w:val="off"/>
      </w:pPr>
      <w:bookmarkStart w:id="268" w:name="x1-23020x2"/>
      <w:bookmarkStart w:id="269" w:name="x1-23021"/>
      <w:r>
        <w:rPr>
          <w:rStyle w:val="FootnoteReference"/>
        </w:rPr>
        <w:footnoteRef/>
      </w:r>
      <w:r>
        <w:rPr>
          <w:rFonts w:ascii="Noto Serif CJK SC" w:hAnsi="Noto Serif CJK SC" w:eastAsia="Noto Serif CJK SC" w:cs="Noto Serif CJK SC"/>
          <w:lang w:val="en-US" w:eastAsia="zh-CN"/>
        </w:rPr>
        <w:t xml:space="preserve"> 参见 Character Technologies, Inc. Character.AI Launches Mobile App for iOS and Android. May 23, 2023. url:  </w:t>
      </w:r>
      <w:hyperlink r:id="rId270">
        <w:r>
          <w:rPr>
            <w:rStyle w:val="Hyperlink"/>
          </w:rPr>
          <w:t xml:space="preserve">https://blog.character.ai/character-ai-launches-mobile-app-for-ios-and-android/</w:t>
        </w:r>
      </w:hyperlink>
      <w:r>
        <w:t xml:space="preserve"> (visited on 0⁠8⁠/⁠2⁠7⁠/⁠2⁠0⁠2⁠6).</w:t>
      </w:r>
      <w:bookmarkEnd w:id="268"/>
      <w:bookmarkEnd w:id="269"/>
    </w:p>
  </w:footnote>
  <w:footnote w:id="41">
    <w:p>
      <w:pPr>
        <w:pStyle w:val="FootnoteText"/>
        <w:keepLines/>
        <w:wordWrap w:val="off"/>
      </w:pPr>
      <w:bookmarkStart w:id="273" w:name="x1-23023x2"/>
      <w:bookmarkStart w:id="274" w:name="x1-23024"/>
      <w:bookmarkStart w:id="275" w:name="x1-23025"/>
      <w:r>
        <w:rPr>
          <w:rStyle w:val="FootnoteReference"/>
        </w:rPr>
        <w:footnoteRef/>
      </w:r>
      <w:r>
        <w:rPr>
          <w:rFonts w:ascii="Noto Serif CJK SC" w:hAnsi="Noto Serif CJK SC" w:eastAsia="Noto Serif CJK SC" w:cs="Noto Serif CJK SC"/>
          <w:lang w:val="en-US" w:eastAsia="zh-CN"/>
        </w:rPr>
        <w:t xml:space="preserve"> 参见 Companion Chatbots, Cal. Bus. &amp; Prof. Code §§ 22601–22606 (2025). 2025 Cal. Stat. ch. 677; Federal Trade Commission. FTC Launches Inquiry into AI Chatbots Acting as Companions. Sept. 11, 2025. url:  </w:t>
      </w:r>
      <w:hyperlink r:id="rId276">
        <w:r>
          <w:rPr>
            <w:rStyle w:val="Hyperlink"/>
          </w:rPr>
          <w:t xml:space="preserve">https://www.ftc.gov/news-events/news/press-releases/2025/09/ftc-launches-inquiry-ai-chatbots-acting-companions</w:t>
        </w:r>
      </w:hyperlink>
      <w:r>
        <w:rPr>
          <w:rFonts w:ascii="Noto Serif CJK SC" w:hAnsi="Noto Serif CJK SC" w:eastAsia="Noto Serif CJK SC" w:cs="Noto Serif CJK SC"/>
          <w:lang w:val="en-US" w:eastAsia="zh-CN"/>
        </w:rPr>
        <w:t xml:space="preserve"> (visited on 0⁠8⁠/⁠2⁠7⁠/⁠2⁠0⁠2⁠6). FTC 的调查属于市场研究，并非对违法行为的认定。</w:t>
      </w:r>
      <w:bookmarkEnd w:id="273"/>
      <w:bookmarkEnd w:id="274"/>
      <w:bookmarkEnd w:id="275"/>
    </w:p>
  </w:footnote>
  <w:footnote w:id="42">
    <w:p>
      <w:pPr>
        <w:pStyle w:val="FootnoteText"/>
        <w:keepLines/>
        <w:wordWrap w:val="off"/>
      </w:pPr>
      <w:bookmarkStart w:id="279" w:name="x1-23027x2"/>
      <w:bookmarkStart w:id="280" w:name="x1-23028"/>
      <w:r>
        <w:rPr>
          <w:rStyle w:val="FootnoteReference"/>
        </w:rPr>
        <w:footnoteRef/>
      </w:r>
      <w:r>
        <w:rPr>
          <w:rFonts w:ascii="Noto Serif CJK SC" w:hAnsi="Noto Serif CJK SC" w:eastAsia="Noto Serif CJK SC" w:cs="Noto Serif CJK SC"/>
          <w:lang w:val="en-US" w:eastAsia="zh-CN"/>
        </w:rPr>
        <w:t xml:space="preserve"> 参见 Lyons v. OpenAI Foundation No. 3:25-cv-11037-RS, Dkt. 42 (N.D. Cal. Apr. 13, 2026).</w:t>
      </w:r>
      <w:bookmarkEnd w:id="279"/>
      <w:bookmarkEnd w:id="280"/>
    </w:p>
  </w:footnote>
  <w:footnote w:id="43">
    <w:p>
      <w:pPr>
        <w:pStyle w:val="FootnoteText"/>
        <w:keepLines/>
        <w:wordWrap w:val="off"/>
      </w:pPr>
      <w:bookmarkStart w:id="286" w:name="x1-24002xB"/>
      <w:bookmarkStart w:id="287" w:name="x1-24003"/>
      <w:r>
        <w:rPr>
          <w:rStyle w:val="FootnoteReference"/>
        </w:rPr>
        <w:footnoteRef/>
      </w:r>
      <w:r>
        <w:t xml:space="preserve"> Thaler, 130 F.4th at 1045–49.</w:t>
      </w:r>
      <w:bookmarkEnd w:id="286"/>
      <w:bookmarkEnd w:id="287"/>
    </w:p>
  </w:footnote>
  <w:footnote w:id="44">
    <w:p>
      <w:pPr>
        <w:pStyle w:val="FootnoteText"/>
        <w:keepLines/>
        <w:wordWrap w:val="off"/>
      </w:pPr>
      <w:bookmarkStart w:id="290" w:name="x1-24005xB"/>
      <w:bookmarkStart w:id="291" w:name="x1-24006"/>
      <w:r>
        <w:rPr>
          <w:rStyle w:val="FootnoteReference"/>
        </w:rPr>
        <w:footnoteRef/>
      </w:r>
      <w:r>
        <w:rPr>
          <w:rFonts w:ascii="Noto Serif CJK SC" w:hAnsi="Noto Serif CJK SC" w:eastAsia="Noto Serif CJK SC" w:cs="Noto Serif CJK SC"/>
          <w:lang w:val="en-US" w:eastAsia="zh-CN"/>
        </w:rPr>
        <w:t xml:space="preserve"> 参见 U.S. Copyright Office, supra note </w:t>
      </w:r>
      <w:hyperlink w:anchor="x1-19009xD">
        <w:r>
          <w:rPr>
            <w:rStyle w:val="Hyperlink"/>
          </w:rPr>
          <w:t xml:space="preserve">27</w:t>
        </w:r>
      </w:hyperlink>
      <w:r>
        <w:t xml:space="preserve">.</w:t>
      </w:r>
      <w:bookmarkEnd w:id="290"/>
      <w:bookmarkEnd w:id="291"/>
    </w:p>
  </w:footnote>
  <w:footnote w:id="45">
    <w:p>
      <w:pPr>
        <w:pStyle w:val="FootnoteText"/>
        <w:keepLines/>
        <w:wordWrap w:val="off"/>
      </w:pPr>
      <w:bookmarkStart w:id="294" w:name="x1-24008xB"/>
      <w:bookmarkStart w:id="295" w:name="x1-24009"/>
      <w:bookmarkStart w:id="296" w:name="x1-24010"/>
      <w:bookmarkStart w:id="297" w:name="x1-24011"/>
      <w:r>
        <w:rPr>
          <w:rStyle w:val="FootnoteReference"/>
        </w:rPr>
        <w:footnoteRef/>
      </w:r>
      <w:r>
        <w:rPr>
          <w:rFonts w:ascii="Noto Serif CJK SC" w:hAnsi="Noto Serif CJK SC" w:eastAsia="Noto Serif CJK SC" w:cs="Noto Serif CJK SC"/>
          <w:lang w:val="en-US" w:eastAsia="zh-CN"/>
        </w:rPr>
        <w:t xml:space="preserve"> 参见 Copyright Act, 17 U.S.C. § 102 (2024); Baker v. Selden, 101 U.S. 99 (U.S. 1879); Feist Publications, Inc. v. Rural Telephone Service Co. 499 U.S. 340 (U.S. 1991).</w:t>
      </w:r>
      <w:bookmarkEnd w:id="294"/>
      <w:bookmarkEnd w:id="295"/>
      <w:bookmarkEnd w:id="296"/>
      <w:bookmarkEnd w:id="297"/>
    </w:p>
  </w:footnote>
  <w:footnote w:id="46">
    <w:p>
      <w:pPr>
        <w:pStyle w:val="FootnoteText"/>
        <w:keepLines/>
        <w:wordWrap w:val="off"/>
      </w:pPr>
      <w:bookmarkStart w:id="304" w:name="x1-25003xC"/>
      <w:bookmarkStart w:id="305" w:name="x1-25004"/>
      <w:r>
        <w:rPr>
          <w:rStyle w:val="FootnoteReference"/>
        </w:rPr>
        <w:footnoteRef/>
      </w:r>
      <w:r>
        <w:rPr>
          <w:rFonts w:ascii="Noto Serif CJK SC" w:hAnsi="Noto Serif CJK SC" w:eastAsia="Noto Serif CJK SC" w:cs="Noto Serif CJK SC"/>
          <w:lang w:val="en-US" w:eastAsia="zh-CN"/>
        </w:rPr>
        <w:t xml:space="preserve"> 参见 American Law Institute, Restatement (Third) of Torts: Products Liability (American Law Institute Publishers, 1998).</w:t>
      </w:r>
      <w:bookmarkEnd w:id="304"/>
      <w:bookmarkEnd w:id="305"/>
    </w:p>
  </w:footnote>
  <w:footnote w:id="47">
    <w:p>
      <w:pPr>
        <w:pStyle w:val="FootnoteText"/>
        <w:keepLines/>
        <w:wordWrap w:val="off"/>
      </w:pPr>
      <w:bookmarkStart w:id="308" w:name="x1-25006xC"/>
      <w:bookmarkStart w:id="309" w:name="x1-25007"/>
      <w:r>
        <w:rPr>
          <w:rStyle w:val="FootnoteReference"/>
        </w:rPr>
        <w:footnoteRef/>
      </w:r>
      <w:r>
        <w:rPr>
          <w:rFonts w:ascii="Noto Serif CJK SC" w:hAnsi="Noto Serif CJK SC" w:eastAsia="Noto Serif CJK SC" w:cs="Noto Serif CJK SC"/>
          <w:lang w:val="en-US" w:eastAsia="zh-CN"/>
        </w:rPr>
        <w:t xml:space="preserve"> 参见 Federal Trade Commission. FTC Policy Statement on Deception. Oct. 14, 1983. url: </w:t>
      </w:r>
      <w:hyperlink r:id="rId310">
        <w:r>
          <w:rPr>
            <w:rStyle w:val="Hyperlink"/>
          </w:rPr>
          <w:t xml:space="preserve">https://www.ftc.gov/legal-library/browse/ftc-policy-statement-deception</w:t>
        </w:r>
      </w:hyperlink>
      <w:r>
        <w:t xml:space="preserve"> (visited on 0⁠8⁠/⁠2⁠7⁠/⁠2⁠0⁠2⁠6).</w:t>
      </w:r>
      <w:bookmarkEnd w:id="308"/>
      <w:bookmarkEnd w:id="309"/>
    </w:p>
  </w:footnote>
  <w:footnote w:id="48">
    <w:p>
      <w:pPr>
        <w:pStyle w:val="FootnoteText"/>
        <w:keepLines/>
        <w:wordWrap w:val="off"/>
      </w:pPr>
      <w:bookmarkStart w:id="317" w:name="x1-27002xA"/>
      <w:bookmarkStart w:id="318" w:name="x1-27003"/>
      <w:bookmarkStart w:id="319" w:name="x1-27004"/>
      <w:bookmarkStart w:id="320" w:name="x1-27005"/>
      <w:r>
        <w:rPr>
          <w:rStyle w:val="FootnoteReference"/>
        </w:rPr>
        <w:footnoteRef/>
      </w:r>
      <w:r>
        <w:rPr>
          <w:rFonts w:ascii="Noto Serif CJK SC" w:hAnsi="Noto Serif CJK SC" w:eastAsia="Noto Serif CJK SC" w:cs="Noto Serif CJK SC"/>
          <w:lang w:val="en-US" w:eastAsia="zh-CN"/>
        </w:rPr>
        <w:t xml:space="preserve"> 参见 American Law Institute, supra note </w:t>
      </w:r>
      <w:hyperlink w:anchor="x1-4002xA">
        <w:r>
          <w:rPr>
            <w:rStyle w:val="Hyperlink"/>
          </w:rPr>
          <w:t xml:space="preserve">7</w:t>
        </w:r>
      </w:hyperlink>
      <w:r>
        <w:t xml:space="preserve">, at §§ 7.03(1), 7.05, 7.07; American Law Institute, supra note </w:t>
      </w:r>
      <w:hyperlink w:anchor="x1-25003xC">
        <w:r>
          <w:rPr>
            <w:rStyle w:val="Hyperlink"/>
          </w:rPr>
          <w:t xml:space="preserve">46</w:t>
        </w:r>
      </w:hyperlink>
      <w:r>
        <w:t xml:space="preserve">, at §§ 1–2; Uniform Law Commission, supra note </w:t>
      </w:r>
      <w:hyperlink w:anchor="x1-18006xC">
        <w:r>
          <w:rPr>
            <w:rStyle w:val="Hyperlink"/>
          </w:rPr>
          <w:t xml:space="preserve">25</w:t>
        </w:r>
      </w:hyperlink>
      <w:r>
        <w:t xml:space="preserve">, at § 14.</w:t>
      </w:r>
      <w:bookmarkEnd w:id="317"/>
      <w:bookmarkEnd w:id="318"/>
      <w:bookmarkEnd w:id="319"/>
      <w:bookmarkEnd w:id="320"/>
    </w:p>
  </w:footnote>
  <w:footnote w:id="49">
    <w:p>
      <w:pPr>
        <w:pStyle w:val="FootnoteText"/>
        <w:keepLines/>
        <w:wordWrap w:val="off"/>
      </w:pPr>
      <w:bookmarkStart w:id="323" w:name="x1-27007xA"/>
      <w:r>
        <w:rPr>
          <w:rStyle w:val="FootnoteReference"/>
        </w:rPr>
        <w:footnoteRef/>
      </w:r>
      <w:r>
        <w:rPr>
          <w:rFonts w:ascii="Noto Serif CJK SC" w:hAnsi="Noto Serif CJK SC" w:eastAsia="Noto Serif CJK SC" w:cs="Noto Serif CJK SC"/>
          <w:lang w:val="en-US" w:eastAsia="zh-CN"/>
        </w:rPr>
        <w:t xml:space="preserve"> 参见 American Law Institute, supra note </w:t>
      </w:r>
      <w:hyperlink w:anchor="x1-4002xA">
        <w:r>
          <w:rPr>
            <w:rStyle w:val="Hyperlink"/>
          </w:rPr>
          <w:t xml:space="preserve">7</w:t>
        </w:r>
      </w:hyperlink>
      <w:r>
        <w:t xml:space="preserve">, at §§ 7.03(1), 7.05, 7.07.</w:t>
      </w:r>
      <w:bookmarkEnd w:id="323"/>
    </w:p>
  </w:footnote>
  <w:footnote w:id="50">
    <w:p>
      <w:pPr>
        <w:pStyle w:val="FootnoteText"/>
        <w:keepLines/>
        <w:wordWrap w:val="off"/>
      </w:pPr>
      <w:bookmarkStart w:id="326" w:name="x1-27009xA"/>
      <w:bookmarkStart w:id="327" w:name="x1-27010"/>
      <w:bookmarkStart w:id="328" w:name="x1-27011"/>
      <w:r>
        <w:rPr>
          <w:rStyle w:val="FootnoteReference"/>
        </w:rPr>
        <w:footnoteRef/>
      </w:r>
      <w:r>
        <w:rPr>
          <w:rFonts w:ascii="Noto Serif CJK SC" w:hAnsi="Noto Serif CJK SC" w:eastAsia="Noto Serif CJK SC" w:cs="Noto Serif CJK SC"/>
          <w:lang w:val="en-US" w:eastAsia="zh-CN"/>
        </w:rPr>
        <w:t xml:space="preserve"> 参见 Burlington Industries, Inc. v. Ellerth, 524 U.S. 742, 756–59 (U.S. 1998); Ira S. Bushey &amp; Sons, Inc. v. United States, 398 F.2d 167, 171–73 (2d Cir. 1968).</w:t>
      </w:r>
      <w:bookmarkEnd w:id="326"/>
      <w:bookmarkEnd w:id="327"/>
      <w:bookmarkEnd w:id="328"/>
    </w:p>
  </w:footnote>
  <w:footnote w:id="51">
    <w:p>
      <w:pPr>
        <w:pStyle w:val="FootnoteText"/>
        <w:keepLines/>
        <w:wordWrap w:val="off"/>
      </w:pPr>
      <w:bookmarkStart w:id="331" w:name="x1-27013xA"/>
      <w:bookmarkStart w:id="332" w:name="x1-27014"/>
      <w:bookmarkStart w:id="333" w:name="x1-27015"/>
      <w:bookmarkStart w:id="334" w:name="x1-27016"/>
      <w:bookmarkStart w:id="335" w:name="x1-27017"/>
      <w:r>
        <w:rPr>
          <w:rStyle w:val="FootnoteReference"/>
        </w:rPr>
        <w:footnoteRef/>
      </w:r>
      <w:r>
        <w:rPr>
          <w:rFonts w:ascii="Noto Serif CJK SC" w:hAnsi="Noto Serif CJK SC" w:eastAsia="Noto Serif CJK SC" w:cs="Noto Serif CJK SC"/>
          <w:lang w:val="en-US" w:eastAsia="zh-CN"/>
        </w:rPr>
        <w:t xml:space="preserve"> 例如，参见 Tunkl v. Regents of the University of California, 60 Cal. 2d 92 (Cal. 1963); Henningsen v. Bloomfield Motors, Inc. 32 N.J. 358 (N.J. 1960); Uniform Commercial Code, U.C.C. § 2-316 (2025); American Law Institute, supra note </w:t>
      </w:r>
      <w:hyperlink w:anchor="x1-25003xC">
        <w:r>
          <w:rPr>
            <w:rStyle w:val="Hyperlink"/>
          </w:rPr>
          <w:t xml:space="preserve">46</w:t>
        </w:r>
      </w:hyperlink>
      <w:r>
        <w:t xml:space="preserve">, at § 2(b)–(c) &amp; cmt. l.</w:t>
      </w:r>
      <w:bookmarkEnd w:id="331"/>
      <w:bookmarkEnd w:id="332"/>
      <w:bookmarkEnd w:id="333"/>
      <w:bookmarkEnd w:id="334"/>
      <w:bookmarkEnd w:id="335"/>
    </w:p>
  </w:footnote>
  <w:footnote w:id="52">
    <w:p>
      <w:pPr>
        <w:pStyle w:val="FootnoteText"/>
        <w:keepLines/>
        <w:wordWrap w:val="off"/>
      </w:pPr>
      <w:bookmarkStart w:id="338" w:name="x1-27019xA"/>
      <w:bookmarkStart w:id="339" w:name="x1-27020"/>
      <w:r>
        <w:rPr>
          <w:rStyle w:val="FootnoteReference"/>
        </w:rPr>
        <w:footnoteRef/>
      </w:r>
      <w:r>
        <w:rPr>
          <w:rFonts w:ascii="Noto Serif CJK SC" w:hAnsi="Noto Serif CJK SC" w:eastAsia="Noto Serif CJK SC" w:cs="Noto Serif CJK SC"/>
          <w:lang w:val="en-US" w:eastAsia="zh-CN"/>
        </w:rPr>
        <w:t xml:space="preserve"> 参见 Directive on Liability for Defective Products, Directive (EU) 2024/2853 (Oct. 23, 2024), arts. 4(1), 4(5), 4(18), 9–10. 成员国必须将该指令转化为国内法；该指令既不适用于美国法上的请求，也未解决所有人工智能服务的分类问题。</w:t>
      </w:r>
      <w:bookmarkEnd w:id="338"/>
      <w:bookmarkEnd w:id="339"/>
    </w:p>
  </w:footnote>
  <w:footnote w:id="53">
    <w:p>
      <w:pPr>
        <w:pStyle w:val="FootnoteText"/>
        <w:keepLines/>
        <w:wordWrap w:val="off"/>
      </w:pPr>
      <w:bookmarkStart w:id="343" w:name="x1-28002x1"/>
      <w:bookmarkStart w:id="344" w:name="x1-28003"/>
      <w:r>
        <w:rPr>
          <w:rStyle w:val="FootnoteReference"/>
        </w:rPr>
        <w:footnoteRef/>
      </w:r>
      <w:r>
        <w:rPr>
          <w:rFonts w:ascii="Noto Serif CJK SC" w:hAnsi="Noto Serif CJK SC" w:eastAsia="Noto Serif CJK SC" w:cs="Noto Serif CJK SC"/>
          <w:lang w:val="en-US" w:eastAsia="zh-CN"/>
        </w:rPr>
        <w:t xml:space="preserve"> 参见 Moffatt, 2024 BCCRT at 27–31.</w:t>
      </w:r>
      <w:bookmarkEnd w:id="343"/>
      <w:bookmarkEnd w:id="344"/>
    </w:p>
  </w:footnote>
  <w:footnote w:id="54">
    <w:p>
      <w:pPr>
        <w:pStyle w:val="FootnoteText"/>
        <w:keepLines/>
        <w:wordWrap w:val="off"/>
      </w:pPr>
      <w:bookmarkStart w:id="347" w:name="x1-28005x1"/>
      <w:bookmarkStart w:id="348" w:name="x1-28006"/>
      <w:r>
        <w:rPr>
          <w:rStyle w:val="FootnoteReference"/>
        </w:rPr>
        <w:footnoteRef/>
      </w:r>
      <w:r>
        <w:rPr>
          <w:rFonts w:ascii="Noto Serif CJK SC" w:hAnsi="Noto Serif CJK SC" w:eastAsia="Noto Serif CJK SC" w:cs="Noto Serif CJK SC"/>
          <w:lang w:val="en-US" w:eastAsia="zh-CN"/>
        </w:rPr>
        <w:t xml:space="preserve"> 参见 Le, supra note </w:t>
      </w:r>
      <w:hyperlink w:anchor="x1-4007xA">
        <w:r>
          <w:rPr>
            <w:rStyle w:val="Hyperlink"/>
          </w:rPr>
          <w:t xml:space="preserve">8</w:t>
        </w:r>
      </w:hyperlink>
      <w:r>
        <w:rPr>
          <w:rFonts w:ascii="Noto Serif CJK SC" w:hAnsi="Noto Serif CJK SC" w:eastAsia="Noto Serif CJK SC" w:cs="Noto Serif CJK SC"/>
          <w:lang w:val="en-US" w:eastAsia="zh-CN"/>
        </w:rPr>
        <w:t xml:space="preserve"> （讨论《民法典》第1165条第1款）. 公开可得的法院报道对涉案应用及提供者作了匿名化处理；本文所采用的程序和事实描述来自该报道，而非一份完整公开的裁判文书。</w:t>
      </w:r>
      <w:bookmarkEnd w:id="347"/>
      <w:bookmarkEnd w:id="348"/>
    </w:p>
  </w:footnote>
  <w:footnote w:id="55">
    <w:p>
      <w:pPr>
        <w:pStyle w:val="FootnoteText"/>
        <w:keepLines/>
        <w:wordWrap w:val="off"/>
      </w:pPr>
      <w:bookmarkStart w:id="355" w:name="x1-30002x1"/>
      <w:bookmarkStart w:id="356" w:name="x1-30003"/>
      <w:r>
        <w:rPr>
          <w:rStyle w:val="FootnoteReference"/>
        </w:rPr>
        <w:footnoteRef/>
      </w:r>
      <w:r>
        <w:rPr>
          <w:rFonts w:ascii="Noto Serif CJK SC" w:hAnsi="Noto Serif CJK SC" w:eastAsia="Noto Serif CJK SC" w:cs="Noto Serif CJK SC"/>
          <w:lang w:val="en-US" w:eastAsia="zh-CN"/>
        </w:rPr>
        <w:t xml:space="preserve"> 参见 Abraham and Sharkey, supra note </w:t>
      </w:r>
      <w:hyperlink w:anchor="x1-2016xdoc">
        <w:r>
          <w:rPr>
            <w:rStyle w:val="Hyperlink"/>
          </w:rPr>
          <w:t xml:space="preserve">4</w:t>
        </w:r>
      </w:hyperlink>
      <w:r>
        <w:t xml:space="preserve">.</w:t>
      </w:r>
      <w:bookmarkEnd w:id="355"/>
      <w:bookmarkEnd w:id="356"/>
    </w:p>
  </w:footnote>
  <w:footnote w:id="56">
    <w:p>
      <w:pPr>
        <w:pStyle w:val="FootnoteText"/>
        <w:keepLines/>
        <w:wordWrap w:val="off"/>
      </w:pPr>
      <w:bookmarkStart w:id="359" w:name="x1-30005x1"/>
      <w:bookmarkStart w:id="360" w:name="x1-30006"/>
      <w:r>
        <w:rPr>
          <w:rStyle w:val="FootnoteReference"/>
        </w:rPr>
        <w:footnoteRef/>
      </w:r>
      <w:r>
        <w:rPr>
          <w:rFonts w:ascii="Noto Serif CJK SC" w:hAnsi="Noto Serif CJK SC" w:eastAsia="Noto Serif CJK SC" w:cs="Noto Serif CJK SC"/>
          <w:lang w:val="en-US" w:eastAsia="zh-CN"/>
        </w:rPr>
        <w:t xml:space="preserve"> 参见 K. Ramakrishnan, Tort Law at the Frontier of Artificial Intelligence, 43 Yale J. on Reg. 960, 9⁠6⁠9⁠–⁠7⁠1, 1001–05, 1044–47 (2026).</w:t>
      </w:r>
      <w:bookmarkEnd w:id="359"/>
      <w:bookmarkEnd w:id="360"/>
    </w:p>
  </w:footnote>
  <w:footnote w:id="57">
    <w:p>
      <w:pPr>
        <w:pStyle w:val="FootnoteText"/>
        <w:keepLines/>
        <w:wordWrap w:val="off"/>
      </w:pPr>
      <w:bookmarkStart w:id="365" w:name="x1-31002x2"/>
      <w:bookmarkStart w:id="366" w:name="x1-31003"/>
      <w:r>
        <w:rPr>
          <w:rStyle w:val="FootnoteReference"/>
        </w:rPr>
        <w:footnoteRef/>
      </w:r>
      <w:r>
        <w:rPr>
          <w:rFonts w:ascii="Noto Serif CJK SC" w:hAnsi="Noto Serif CJK SC" w:eastAsia="Noto Serif CJK SC" w:cs="Noto Serif CJK SC"/>
          <w:lang w:val="en-US" w:eastAsia="zh-CN"/>
        </w:rPr>
        <w:t xml:space="preserve"> 参见 Geistfeld, supra note </w:t>
      </w:r>
      <w:hyperlink w:anchor="x1-2019xdoc">
        <w:r>
          <w:rPr>
            <w:rStyle w:val="Hyperlink"/>
          </w:rPr>
          <w:t xml:space="preserve">5</w:t>
        </w:r>
      </w:hyperlink>
      <w:r>
        <w:t xml:space="preserve">, at 17.</w:t>
      </w:r>
      <w:bookmarkEnd w:id="365"/>
      <w:bookmarkEnd w:id="366"/>
    </w:p>
  </w:footnote>
  <w:footnote w:id="58">
    <w:p>
      <w:pPr>
        <w:pStyle w:val="FootnoteText"/>
        <w:keepLines/>
        <w:wordWrap w:val="off"/>
      </w:pPr>
      <w:bookmarkStart w:id="369" w:name="x1-31005x2"/>
      <w:bookmarkStart w:id="370" w:name="x1-31006"/>
      <w:bookmarkStart w:id="371" w:name="x1-31007"/>
      <w:r>
        <w:rPr>
          <w:rStyle w:val="FootnoteReference"/>
        </w:rPr>
        <w:footnoteRef/>
      </w:r>
      <w:r>
        <w:rPr>
          <w:rFonts w:ascii="Noto Serif CJK SC" w:hAnsi="Noto Serif CJK SC" w:eastAsia="Noto Serif CJK SC" w:cs="Noto Serif CJK SC"/>
          <w:lang w:val="en-US" w:eastAsia="zh-CN"/>
        </w:rPr>
        <w:t xml:space="preserve"> 参见 Safety Management Systems, 14 C.F.R. pt. 5 (2025); Federal Aviation Administration. Safety Management System. June 17, 2026. url: </w:t>
      </w:r>
      <w:hyperlink r:id="rId372">
        <w:r>
          <w:rPr>
            <w:rStyle w:val="Hyperlink"/>
          </w:rPr>
          <w:t xml:space="preserve">https://www.faa.gov/faa-aviation-safety-outreach/safety-management-system</w:t>
        </w:r>
      </w:hyperlink>
      <w:r>
        <w:t xml:space="preserve"> (visited on 0⁠8⁠/⁠2⁠7⁠/⁠2⁠0⁠2⁠6).</w:t>
      </w:r>
      <w:bookmarkEnd w:id="369"/>
      <w:bookmarkEnd w:id="370"/>
      <w:bookmarkEnd w:id="371"/>
    </w:p>
  </w:footnote>
  <w:footnote w:id="59">
    <w:p>
      <w:pPr>
        <w:pStyle w:val="FootnoteText"/>
        <w:keepLines/>
        <w:wordWrap w:val="off"/>
      </w:pPr>
      <w:bookmarkStart w:id="377" w:name="x1-32002x3"/>
      <w:bookmarkStart w:id="378" w:name="x1-32003"/>
      <w:r>
        <w:rPr>
          <w:rStyle w:val="FootnoteReference"/>
        </w:rPr>
        <w:footnoteRef/>
      </w:r>
      <w:r>
        <w:rPr>
          <w:rFonts w:ascii="Noto Serif CJK SC" w:hAnsi="Noto Serif CJK SC" w:eastAsia="Noto Serif CJK SC" w:cs="Noto Serif CJK SC"/>
          <w:lang w:val="en-US" w:eastAsia="zh-CN"/>
        </w:rPr>
        <w:t xml:space="preserve"> 参见 Henderson, supra note </w:t>
      </w:r>
      <w:hyperlink w:anchor="x1-2022xdoc">
        <w:r>
          <w:rPr>
            <w:rStyle w:val="Hyperlink"/>
          </w:rPr>
          <w:t xml:space="preserve">6</w:t>
        </w:r>
      </w:hyperlink>
      <w:r>
        <w:t xml:space="preserve">, at 516–26.</w:t>
      </w:r>
      <w:bookmarkEnd w:id="377"/>
      <w:bookmarkEnd w:id="378"/>
    </w:p>
  </w:footnote>
  <w:footnote w:id="60">
    <w:p>
      <w:pPr>
        <w:pStyle w:val="FootnoteText"/>
        <w:keepLines/>
        <w:wordWrap w:val="off"/>
      </w:pPr>
      <w:bookmarkStart w:id="381" w:name="x1-32005x3"/>
      <w:r>
        <w:rPr>
          <w:rStyle w:val="FootnoteReference"/>
        </w:rPr>
        <w:footnoteRef/>
      </w:r>
      <w:r>
        <w:rPr>
          <w:rFonts w:ascii="Noto Serif CJK SC" w:hAnsi="Noto Serif CJK SC" w:eastAsia="Noto Serif CJK SC" w:cs="Noto Serif CJK SC"/>
          <w:lang w:val="en-US" w:eastAsia="zh-CN"/>
        </w:rPr>
        <w:t xml:space="preserve"> 参见 Id. at 527–30.</w:t>
      </w:r>
      <w:bookmarkEnd w:id="381"/>
    </w:p>
  </w:footnote>
  <w:footnote w:id="61">
    <w:p>
      <w:pPr>
        <w:pStyle w:val="FootnoteText"/>
        <w:keepLines/>
        <w:wordWrap w:val="off"/>
      </w:pPr>
      <w:bookmarkStart w:id="384" w:name="x1-32007x3"/>
      <w:bookmarkStart w:id="385" w:name="x1-32008"/>
      <w:bookmarkStart w:id="386" w:name="x1-32009"/>
      <w:r>
        <w:rPr>
          <w:rStyle w:val="FootnoteReference"/>
        </w:rPr>
        <w:footnoteRef/>
      </w:r>
      <w:r>
        <w:rPr>
          <w:rFonts w:ascii="Noto Serif CJK SC" w:hAnsi="Noto Serif CJK SC" w:eastAsia="Noto Serif CJK SC" w:cs="Noto Serif CJK SC"/>
          <w:lang w:val="en-US" w:eastAsia="zh-CN"/>
        </w:rPr>
        <w:t xml:space="preserve"> 参见 Bell Atlantic Corp. v. Twombly, 550 U.S. 544, 559 (U.S. 2007); Federal Rules of Civil Procedure, Fed. R. Civ. P. § 26 (2025).</w:t>
      </w:r>
      <w:bookmarkEnd w:id="384"/>
      <w:bookmarkEnd w:id="385"/>
      <w:bookmarkEnd w:id="386"/>
    </w:p>
  </w:footnote>
  <w:footnote w:id="62">
    <w:p>
      <w:pPr>
        <w:pStyle w:val="FootnoteText"/>
        <w:keepLines/>
        <w:wordWrap w:val="off"/>
      </w:pPr>
      <w:bookmarkStart w:id="395" w:name="x1-35002x1"/>
      <w:bookmarkStart w:id="396" w:name="x1-35003"/>
      <w:r>
        <w:rPr>
          <w:rStyle w:val="FootnoteReference"/>
        </w:rPr>
        <w:footnoteRef/>
      </w:r>
      <w:r>
        <w:rPr>
          <w:rFonts w:ascii="Noto Serif CJK SC" w:hAnsi="Noto Serif CJK SC" w:eastAsia="Noto Serif CJK SC" w:cs="Noto Serif CJK SC"/>
          <w:lang w:val="en-US" w:eastAsia="zh-CN"/>
        </w:rPr>
        <w:t xml:space="preserve"> 参见 Garcia, 785 F. Supp. 3d at 1165–69, 1179–83. 法院并未认定该部署导致 Sewell 死亡，也未认定任何受争议的功能存在缺陷。</w:t>
      </w:r>
      <w:bookmarkEnd w:id="395"/>
      <w:bookmarkEnd w:id="396"/>
    </w:p>
  </w:footnote>
  <w:footnote w:id="63">
    <w:p>
      <w:pPr>
        <w:pStyle w:val="FootnoteText"/>
        <w:keepLines/>
        <w:wordWrap w:val="off"/>
      </w:pPr>
      <w:bookmarkStart w:id="399" w:name="x1-35005x1"/>
      <w:bookmarkStart w:id="400" w:name="x1-35006"/>
      <w:r>
        <w:rPr>
          <w:rStyle w:val="FootnoteReference"/>
        </w:rPr>
        <w:footnoteRef/>
      </w:r>
      <w:r>
        <w:rPr>
          <w:rFonts w:ascii="Noto Serif CJK SC" w:hAnsi="Noto Serif CJK SC" w:eastAsia="Noto Serif CJK SC" w:cs="Noto Serif CJK SC"/>
          <w:lang w:val="en-US" w:eastAsia="zh-CN"/>
        </w:rPr>
        <w:t xml:space="preserve"> 参见 First Amended Complaint paras. 24–25, 50–72, Garcia v. Character Technologies, Inc., No. 6:24-cv-01903-ACC-EJK, Dkt. 11 (M.D. Fla. Nov. 9, 2024) [hereinafter Garcia FAC]; Id. at 1165–66, 1183–84.</w:t>
      </w:r>
      <w:bookmarkEnd w:id="399"/>
      <w:bookmarkEnd w:id="400"/>
    </w:p>
  </w:footnote>
  <w:footnote w:id="64">
    <w:p>
      <w:pPr>
        <w:pStyle w:val="FootnoteText"/>
        <w:keepLines/>
        <w:wordWrap w:val="off"/>
      </w:pPr>
      <w:bookmarkStart w:id="405" w:name="x1-36002x2"/>
      <w:bookmarkStart w:id="406" w:name="x1-36003"/>
      <w:r>
        <w:rPr>
          <w:rStyle w:val="FootnoteReference"/>
        </w:rPr>
        <w:footnoteRef/>
      </w:r>
      <w:r>
        <w:rPr>
          <w:rFonts w:ascii="Noto Serif CJK SC" w:hAnsi="Noto Serif CJK SC" w:eastAsia="Noto Serif CJK SC" w:cs="Noto Serif CJK SC"/>
          <w:lang w:val="en-US" w:eastAsia="zh-CN"/>
        </w:rPr>
        <w:t xml:space="preserve"> 参见 Id. at 1167–69.</w:t>
      </w:r>
      <w:bookmarkEnd w:id="405"/>
      <w:bookmarkEnd w:id="406"/>
    </w:p>
  </w:footnote>
  <w:footnote w:id="65">
    <w:p>
      <w:pPr>
        <w:pStyle w:val="FootnoteText"/>
        <w:keepLines/>
        <w:wordWrap w:val="off"/>
      </w:pPr>
      <w:bookmarkStart w:id="411" w:name="x1-37002x3"/>
      <w:bookmarkStart w:id="412" w:name="x1-37003"/>
      <w:r>
        <w:rPr>
          <w:rStyle w:val="FootnoteReference"/>
        </w:rPr>
        <w:footnoteRef/>
      </w:r>
      <w:r>
        <w:rPr>
          <w:rFonts w:ascii="Noto Serif CJK SC" w:hAnsi="Noto Serif CJK SC" w:eastAsia="Noto Serif CJK SC" w:cs="Noto Serif CJK SC"/>
          <w:lang w:val="en-US" w:eastAsia="zh-CN"/>
        </w:rPr>
        <w:t xml:space="preserve"> 参见 Fed. R. Evid. 407; Id. at 1169.</w:t>
      </w:r>
      <w:bookmarkEnd w:id="411"/>
      <w:bookmarkEnd w:id="412"/>
    </w:p>
  </w:footnote>
  <w:footnote w:id="66">
    <w:p>
      <w:pPr>
        <w:pStyle w:val="FootnoteText"/>
        <w:keepLines/>
        <w:wordWrap w:val="off"/>
      </w:pPr>
      <w:bookmarkStart w:id="418" w:name="x1-38002xD"/>
      <w:bookmarkStart w:id="419" w:name="x1-38003"/>
      <w:r>
        <w:rPr>
          <w:rStyle w:val="FootnoteReference"/>
        </w:rPr>
        <w:footnoteRef/>
      </w:r>
      <w:r>
        <w:t xml:space="preserve"> American Law Institute, supra note </w:t>
      </w:r>
      <w:hyperlink w:anchor="x1-4002xA">
        <w:r>
          <w:rPr>
            <w:rStyle w:val="Hyperlink"/>
          </w:rPr>
          <w:t xml:space="preserve">7</w:t>
        </w:r>
      </w:hyperlink>
      <w:r>
        <w:t xml:space="preserve">.</w:t>
      </w:r>
      <w:bookmarkEnd w:id="418"/>
      <w:bookmarkEnd w:id="419"/>
    </w:p>
  </w:footnote>
  <w:footnote w:id="67">
    <w:p>
      <w:pPr>
        <w:pStyle w:val="FootnoteText"/>
        <w:keepLines/>
        <w:wordWrap w:val="off"/>
      </w:pPr>
      <w:bookmarkStart w:id="422" w:name="x1-38005xD"/>
      <w:bookmarkStart w:id="423" w:name="x1-38006"/>
      <w:bookmarkStart w:id="424" w:name="x1-38007"/>
      <w:r>
        <w:rPr>
          <w:rStyle w:val="FootnoteReference"/>
        </w:rPr>
        <w:footnoteRef/>
      </w:r>
      <w:r>
        <w:rPr>
          <w:rFonts w:ascii="Noto Serif CJK SC" w:hAnsi="Noto Serif CJK SC" w:eastAsia="Noto Serif CJK SC" w:cs="Noto Serif CJK SC"/>
          <w:lang w:val="en-US" w:eastAsia="zh-CN"/>
        </w:rPr>
        <w:t xml:space="preserve"> 参见 Frances T. v. Village Green Owners Ass’n, 42 Cal. 3d 490, 503–05 (Cal. 1986); PMC, Inc. v. Kadisha, 78 Cal. App. 4th 1368, 1380–81 (Cal. Ct. App. 2000). 仅凭职务或一般监督权限仍不足以成立责任；请求权人必须依适用规则证明个人实际参与、授权、义务和因果关系。</w:t>
      </w:r>
      <w:bookmarkEnd w:id="422"/>
      <w:bookmarkEnd w:id="423"/>
      <w:bookmarkEnd w:id="424"/>
    </w:p>
  </w:footnote>
  <w:footnote w:id="68">
    <w:p>
      <w:pPr>
        <w:pStyle w:val="FootnoteText"/>
        <w:keepLines/>
        <w:wordWrap w:val="off"/>
      </w:pPr>
      <w:bookmarkStart w:id="427" w:name="x1-38009xD"/>
      <w:bookmarkStart w:id="428" w:name="x1-38010"/>
      <w:r>
        <w:rPr>
          <w:rStyle w:val="FootnoteReference"/>
        </w:rPr>
        <w:footnoteRef/>
      </w:r>
      <w:r>
        <w:t xml:space="preserve"> New York Central, 212 U.S. 481.</w:t>
      </w:r>
      <w:bookmarkEnd w:id="427"/>
      <w:bookmarkEnd w:id="428"/>
    </w:p>
  </w:footnote>
  <w:footnote w:id="69">
    <w:p>
      <w:pPr>
        <w:pStyle w:val="FootnoteText"/>
        <w:keepLines/>
        <w:wordWrap w:val="off"/>
      </w:pPr>
      <w:bookmarkStart w:id="431" w:name="x1-38012xD"/>
      <w:bookmarkStart w:id="432" w:name="x1-38013"/>
      <w:r>
        <w:rPr>
          <w:rStyle w:val="FootnoteReference"/>
        </w:rPr>
        <w:footnoteRef/>
      </w:r>
      <w:r>
        <w:rPr>
          <w:rFonts w:ascii="Noto Serif CJK SC" w:hAnsi="Noto Serif CJK SC" w:eastAsia="Noto Serif CJK SC" w:cs="Noto Serif CJK SC"/>
          <w:lang w:val="en-US" w:eastAsia="zh-CN"/>
        </w:rPr>
        <w:t xml:space="preserve"> 参见 United States v. Park, 421 U.S. 658 (U.S. 1975).</w:t>
      </w:r>
      <w:bookmarkEnd w:id="431"/>
      <w:bookmarkEnd w:id="432"/>
    </w:p>
  </w:footnote>
  <w:footnote w:id="70">
    <w:p>
      <w:pPr>
        <w:pStyle w:val="FootnoteText"/>
        <w:keepLines/>
        <w:wordWrap w:val="off"/>
      </w:pPr>
      <w:bookmarkStart w:id="435" w:name="x1-38015xD"/>
      <w:bookmarkStart w:id="436" w:name="x1-38016"/>
      <w:r>
        <w:rPr>
          <w:rStyle w:val="FootnoteReference"/>
        </w:rPr>
        <w:footnoteRef/>
      </w:r>
      <w:r>
        <w:rPr>
          <w:rFonts w:ascii="Noto Serif CJK SC" w:hAnsi="Noto Serif CJK SC" w:eastAsia="Noto Serif CJK SC" w:cs="Noto Serif CJK SC"/>
          <w:lang w:val="en-US" w:eastAsia="zh-CN"/>
        </w:rPr>
        <w:t xml:space="preserve"> 参见 Commonwealth v. Angelo Todesca Corp. 446 Mass. 128, 133–37 (Mass. Mar. 1, 2006).</w:t>
      </w:r>
      <w:bookmarkEnd w:id="435"/>
      <w:bookmarkEnd w:id="436"/>
    </w:p>
  </w:footnote>
  <w:footnote w:id="71">
    <w:p>
      <w:pPr>
        <w:pStyle w:val="FootnoteText"/>
        <w:keepLines/>
        <w:wordWrap w:val="off"/>
      </w:pPr>
      <w:bookmarkStart w:id="439" w:name="x1-38018xD"/>
      <w:bookmarkStart w:id="440" w:name="x1-38019"/>
      <w:bookmarkStart w:id="441" w:name="x1-38020"/>
      <w:bookmarkStart w:id="442" w:name="x1-38021"/>
      <w:r>
        <w:rPr>
          <w:rStyle w:val="FootnoteReference"/>
        </w:rPr>
        <w:footnoteRef/>
      </w:r>
      <w:r>
        <w:rPr>
          <w:rFonts w:ascii="Noto Serif CJK SC" w:hAnsi="Noto Serif CJK SC" w:eastAsia="Noto Serif CJK SC" w:cs="Noto Serif CJK SC"/>
          <w:lang w:val="en-US" w:eastAsia="zh-CN"/>
        </w:rPr>
        <w:t xml:space="preserve"> 参见 In re Caremark International Inc. Derivative Litigation, 698 A.2d 959 (Del. Ch. 1996); Marchand v. Barnhill, 212 A.3d 805 (Del. 2019); In re Boeing Co. Derivative Litigation 2021 WL 4059934 (Del. Ch. Sept. 7, 2021).</w:t>
      </w:r>
      <w:bookmarkEnd w:id="439"/>
      <w:bookmarkEnd w:id="440"/>
      <w:bookmarkEnd w:id="441"/>
      <w:bookmarkEnd w:id="442"/>
    </w:p>
  </w:footnote>
  <w:footnote w:id="72">
    <w:p>
      <w:pPr>
        <w:pStyle w:val="FootnoteText"/>
        <w:keepLines/>
        <w:wordWrap w:val="off"/>
      </w:pPr>
      <w:bookmarkStart w:id="449" w:name="x1-39003xE"/>
      <w:bookmarkStart w:id="450" w:name="x1-39004"/>
      <w:bookmarkStart w:id="452" w:name="x1-39005"/>
      <w:bookmarkStart w:id="453" w:name="x1-39006"/>
      <w:r>
        <w:rPr>
          <w:rStyle w:val="FootnoteReference"/>
        </w:rPr>
        <w:footnoteRef/>
      </w:r>
      <w:r>
        <w:rPr>
          <w:rFonts w:ascii="Noto Serif CJK SC" w:hAnsi="Noto Serif CJK SC" w:eastAsia="Noto Serif CJK SC" w:cs="Noto Serif CJK SC"/>
          <w:lang w:val="en-US" w:eastAsia="zh-CN"/>
        </w:rPr>
        <w:t xml:space="preserve"> 参见 U.S. Sent’g Guidelines Manual § 8B2.1(b)(2), U.S. Sentencing Commission. Guidelines Manual, Section 8B2.1: Effective Compliance and Ethics Program. 2025. url:  </w:t>
      </w:r>
      <w:hyperlink r:id="rId451">
        <w:r>
          <w:rPr>
            <w:rStyle w:val="Hyperlink"/>
          </w:rPr>
          <w:t xml:space="preserve">https://www.ussc.gov/guidelines/2025-guidelines-manual/annotated-2025-chapter-8</w:t>
        </w:r>
      </w:hyperlink>
      <w:r>
        <w:t xml:space="preserve"> (visited on 0⁠8⁠/⁠2⁠7⁠/⁠2⁠0⁠2⁠6); FAA SMS Rule, 14 C.F.R. pt. 5, § 5.25; National Institute of Standards and Technology, supra note </w:t>
      </w:r>
      <w:hyperlink w:anchor="x1-5010xB">
        <w:r>
          <w:rPr>
            <w:rStyle w:val="Hyperlink"/>
          </w:rPr>
          <w:t xml:space="preserve">11</w:t>
        </w:r>
      </w:hyperlink>
      <w:r>
        <w:t xml:space="preserve">, GOVERN 2.1, 2.3.</w:t>
      </w:r>
      <w:bookmarkEnd w:id="449"/>
      <w:bookmarkEnd w:id="450"/>
      <w:bookmarkEnd w:id="452"/>
      <w:bookmarkEnd w:id="453"/>
    </w:p>
  </w:footnote>
  <w:footnote w:id="73">
    <w:p>
      <w:pPr>
        <w:pStyle w:val="FootnoteText"/>
        <w:keepLines/>
        <w:wordWrap w:val="off"/>
      </w:pPr>
      <w:bookmarkStart w:id="456" w:name="x1-39008xE"/>
      <w:bookmarkStart w:id="457" w:name="x1-39009"/>
      <w:r>
        <w:rPr>
          <w:rStyle w:val="FootnoteReference"/>
        </w:rPr>
        <w:footnoteRef/>
      </w:r>
      <w:r>
        <w:rPr>
          <w:rFonts w:ascii="Noto Serif CJK SC" w:hAnsi="Noto Serif CJK SC" w:eastAsia="Noto Serif CJK SC" w:cs="Noto Serif CJK SC"/>
          <w:lang w:val="en-US" w:eastAsia="zh-CN"/>
        </w:rPr>
        <w:t xml:space="preserve"> 参见 U.S. Sent’g Guidelines Manual § 8B2.1(b)(5)(C), U.S. Sentencing Commission, supra note </w:t>
      </w:r>
      <w:hyperlink w:anchor="x1-39003xE">
        <w:r>
          <w:rPr>
            <w:rStyle w:val="Hyperlink"/>
          </w:rPr>
          <w:t xml:space="preserve">72</w:t>
        </w:r>
      </w:hyperlink>
      <w:r>
        <w:t xml:space="preserve">; Energy Reorganization Act Employee Protection Provision, 42 U.S.C. § 5851 (2024).</w:t>
      </w:r>
      <w:bookmarkEnd w:id="456"/>
      <w:bookmarkEnd w:id="457"/>
    </w:p>
  </w:footnote>
  <w:footnote w:id="74">
    <w:p>
      <w:pPr>
        <w:pStyle w:val="FootnoteText"/>
        <w:keepLines/>
        <w:wordWrap w:val="off"/>
      </w:pPr>
      <w:bookmarkStart w:id="460" w:name="x1-39011xE"/>
      <w:bookmarkStart w:id="461" w:name="x1-39012"/>
      <w:bookmarkStart w:id="462" w:name="x1-39013"/>
      <w:r>
        <w:rPr>
          <w:rStyle w:val="FootnoteReference"/>
        </w:rPr>
        <w:footnoteRef/>
      </w:r>
      <w:r>
        <w:rPr>
          <w:rFonts w:ascii="Noto Serif CJK SC" w:hAnsi="Noto Serif CJK SC" w:eastAsia="Noto Serif CJK SC" w:cs="Noto Serif CJK SC"/>
          <w:lang w:val="en-US" w:eastAsia="zh-CN"/>
        </w:rPr>
        <w:t xml:space="preserve"> 参见 National Institute of Standards and Technology, supra note </w:t>
      </w:r>
      <w:hyperlink w:anchor="x1-5010xB">
        <w:r>
          <w:rPr>
            <w:rStyle w:val="Hyperlink"/>
          </w:rPr>
          <w:t xml:space="preserve">11</w:t>
        </w:r>
      </w:hyperlink>
      <w:r>
        <w:t xml:space="preserve">, GOVERN 1.7, MANAGE 4.1; EU AI Act, Regulation (EU) 2024/1689, arts. 12, 14(4)(e), 17–20; FAA SMS Rule, 14 C.F.R. pt. 5, §§ 5.53, 5.71–5.73, 5.97; Ramakrishnan, supra note </w:t>
      </w:r>
      <w:hyperlink w:anchor="x1-30005x1">
        <w:r>
          <w:rPr>
            <w:rStyle w:val="Hyperlink"/>
          </w:rPr>
          <w:t xml:space="preserve">56</w:t>
        </w:r>
      </w:hyperlink>
      <w:r>
        <w:t xml:space="preserve">, at 1047–50.</w:t>
      </w:r>
      <w:bookmarkEnd w:id="460"/>
      <w:bookmarkEnd w:id="461"/>
      <w:bookmarkEnd w:id="462"/>
    </w:p>
  </w:footnote>
  <w:footnote w:id="75">
    <w:p>
      <w:pPr>
        <w:pStyle w:val="FootnoteText"/>
        <w:keepLines/>
        <w:wordWrap w:val="off"/>
      </w:pPr>
      <w:bookmarkStart w:id="465" w:name="x1-39015xE"/>
      <w:bookmarkStart w:id="466" w:name="x1-39016"/>
      <w:bookmarkStart w:id="467" w:name="x1-39017"/>
      <w:r>
        <w:rPr>
          <w:rStyle w:val="FootnoteReference"/>
        </w:rPr>
        <w:footnoteRef/>
      </w:r>
      <w:r>
        <w:rPr>
          <w:rFonts w:ascii="Noto Serif CJK SC" w:hAnsi="Noto Serif CJK SC" w:eastAsia="Noto Serif CJK SC" w:cs="Noto Serif CJK SC"/>
          <w:lang w:val="en-US" w:eastAsia="zh-CN"/>
        </w:rPr>
        <w:t xml:space="preserve"> 参见 Delaware General Corporation Law, 8 Del. C. § 145 (2026); U.S. Sent’g Guidelines Manual § 8B2.1(b)(6), U.S. Sentencing Commission, supra note </w:t>
      </w:r>
      <w:hyperlink w:anchor="x1-39003xE">
        <w:r>
          <w:rPr>
            <w:rStyle w:val="Hyperlink"/>
          </w:rPr>
          <w:t xml:space="preserve">72</w:t>
        </w:r>
      </w:hyperlink>
      <w:r>
        <w:t xml:space="preserve">; Tunkl, 60 Cal. 2d 92.</w:t>
      </w:r>
      <w:bookmarkEnd w:id="465"/>
      <w:bookmarkEnd w:id="466"/>
      <w:bookmarkEnd w:id="467"/>
    </w:p>
  </w:footnote>
  <w:footnote w:id="76">
    <w:p>
      <w:pPr>
        <w:pStyle w:val="FootnoteText"/>
        <w:keepLines/>
        <w:wordWrap w:val="off"/>
      </w:pPr>
      <w:bookmarkStart w:id="470" w:name="x1-39019xE"/>
      <w:bookmarkStart w:id="471" w:name="x1-39020"/>
      <w:r>
        <w:rPr>
          <w:rStyle w:val="FootnoteReference"/>
        </w:rPr>
        <w:footnoteRef/>
      </w:r>
      <w:r>
        <w:rPr>
          <w:rFonts w:ascii="Noto Serif CJK SC" w:hAnsi="Noto Serif CJK SC" w:eastAsia="Noto Serif CJK SC" w:cs="Noto Serif CJK SC"/>
          <w:lang w:val="en-US" w:eastAsia="zh-CN"/>
        </w:rPr>
        <w:t xml:space="preserve"> 参见 U.S. Sent’g Guidelines Manual § 8B2.1, U.S. Sentencing Commission, supra note </w:t>
      </w:r>
      <w:hyperlink w:anchor="x1-39003xE">
        <w:r>
          <w:rPr>
            <w:rStyle w:val="Hyperlink"/>
          </w:rPr>
          <w:t xml:space="preserve">72</w:t>
        </w:r>
      </w:hyperlink>
      <w:r>
        <w:t xml:space="preserve">.</w:t>
      </w:r>
      <w:bookmarkEnd w:id="470"/>
      <w:bookmarkEnd w:id="471"/>
    </w:p>
  </w:footnote>
  <w:footnote w:id="77">
    <w:p>
      <w:pPr>
        <w:pStyle w:val="FootnoteText"/>
        <w:keepLines/>
        <w:wordWrap w:val="off"/>
      </w:pPr>
      <w:bookmarkStart w:id="474" w:name="x1-39022xE"/>
      <w:bookmarkStart w:id="475" w:name="x1-39023"/>
      <w:r>
        <w:rPr>
          <w:rStyle w:val="FootnoteReference"/>
        </w:rPr>
        <w:footnoteRef/>
      </w:r>
      <w:r>
        <w:rPr>
          <w:rFonts w:ascii="Noto Serif CJK SC" w:hAnsi="Noto Serif CJK SC" w:eastAsia="Noto Serif CJK SC" w:cs="Noto Serif CJK SC"/>
          <w:lang w:val="en-US" w:eastAsia="zh-CN"/>
        </w:rPr>
        <w:t xml:space="preserve"> 参见 U.S. Department of Justice, Criminal Division. Evaluation of Corporate Compliance Programs. S⁠e⁠p⁠t⁠. 2024. url: </w:t>
      </w:r>
      <w:hyperlink r:id="rId476">
        <w:r>
          <w:rPr>
            <w:rStyle w:val="Hyperlink"/>
          </w:rPr>
          <w:t xml:space="preserve">https://www.justice.gov/criminal/criminal-fraud/page/file/937501/dl?inline=</w:t>
        </w:r>
      </w:hyperlink>
      <w:r>
        <w:t xml:space="preserve"> (visited on 08/28/2026).</w:t>
      </w:r>
      <w:bookmarkEnd w:id="474"/>
      <w:bookmarkEnd w:id="475"/>
    </w:p>
  </w:footnote>
  <w:footnote w:id="78">
    <w:p>
      <w:pPr>
        <w:pStyle w:val="FootnoteText"/>
        <w:keepLines/>
        <w:wordWrap w:val="off"/>
      </w:pPr>
      <w:bookmarkStart w:id="479" w:name="x1-39025xE"/>
      <w:bookmarkStart w:id="480" w:name="x1-39026"/>
      <w:bookmarkStart w:id="481" w:name="x1-39027"/>
      <w:r>
        <w:rPr>
          <w:rStyle w:val="FootnoteReference"/>
        </w:rPr>
        <w:footnoteRef/>
      </w:r>
      <w:r>
        <w:rPr>
          <w:rFonts w:ascii="Noto Serif CJK SC" w:hAnsi="Noto Serif CJK SC" w:eastAsia="Noto Serif CJK SC" w:cs="Noto Serif CJK SC"/>
          <w:lang w:val="en-US" w:eastAsia="zh-CN"/>
        </w:rPr>
        <w:t xml:space="preserve"> 参见 FAA SMS Rule, 14 C.F.R. pt. 5, §§ 5.1–5.17, 5.21–5.97; Federal Aviation Administration, supra note </w:t>
      </w:r>
      <w:hyperlink w:anchor="x1-31005x2">
        <w:r>
          <w:rPr>
            <w:rStyle w:val="Hyperlink"/>
          </w:rPr>
          <w:t xml:space="preserve">58</w:t>
        </w:r>
      </w:hyperlink>
      <w:r>
        <w:t xml:space="preserve">.</w:t>
      </w:r>
      <w:bookmarkEnd w:id="479"/>
      <w:bookmarkEnd w:id="480"/>
      <w:bookmarkEnd w:id="481"/>
    </w:p>
  </w:footnote>
  <w:footnote w:id="79">
    <w:p>
      <w:pPr>
        <w:pStyle w:val="FootnoteText"/>
        <w:keepLines/>
        <w:wordWrap w:val="off"/>
      </w:pPr>
      <w:bookmarkStart w:id="484" w:name="x1-39029xE"/>
      <w:bookmarkStart w:id="485" w:name="x1-39030"/>
      <w:r>
        <w:rPr>
          <w:rStyle w:val="FootnoteReference"/>
        </w:rPr>
        <w:footnoteRef/>
      </w:r>
      <w:r>
        <w:rPr>
          <w:rFonts w:ascii="Noto Serif CJK SC" w:hAnsi="Noto Serif CJK SC" w:eastAsia="Noto Serif CJK SC" w:cs="Noto Serif CJK SC"/>
          <w:lang w:val="en-US" w:eastAsia="zh-CN"/>
        </w:rPr>
        <w:t xml:space="preserve"> 参见 Federal Aviation Administration. Aviation Safety Reporting Program. Apr. 2, 2021. url:  </w:t>
      </w:r>
      <w:hyperlink r:id="rId486">
        <w:r>
          <w:rPr>
            <w:rStyle w:val="Hyperlink"/>
          </w:rPr>
          <w:t xml:space="preserve">https://www.faa.gov/documentLibrary/media/Advisory_Circular/AC_00-46F.pdf</w:t>
        </w:r>
      </w:hyperlink>
      <w:r>
        <w:t xml:space="preserve"> (visited on 0⁠8⁠/⁠2⁠7⁠/⁠2⁠0⁠2⁠6).</w:t>
      </w:r>
      <w:bookmarkEnd w:id="484"/>
      <w:bookmarkEnd w:id="485"/>
    </w:p>
  </w:footnote>
  <w:footnote w:id="80">
    <w:p>
      <w:pPr>
        <w:pStyle w:val="FootnoteText"/>
        <w:keepLines/>
        <w:wordWrap w:val="off"/>
      </w:pPr>
      <w:bookmarkStart w:id="489" w:name="x1-39032xE"/>
      <w:bookmarkStart w:id="490" w:name="x1-39033"/>
      <w:r>
        <w:rPr>
          <w:rStyle w:val="FootnoteReference"/>
        </w:rPr>
        <w:footnoteRef/>
      </w:r>
      <w:r>
        <w:rPr>
          <w:rFonts w:ascii="Noto Serif CJK SC" w:hAnsi="Noto Serif CJK SC" w:eastAsia="Noto Serif CJK SC" w:cs="Noto Serif CJK SC"/>
          <w:lang w:val="en-US" w:eastAsia="zh-CN"/>
        </w:rPr>
        <w:t xml:space="preserve"> 参见 National Institute of Standards and Technology, supra note </w:t>
      </w:r>
      <w:hyperlink w:anchor="x1-5010xB">
        <w:r>
          <w:rPr>
            <w:rStyle w:val="Hyperlink"/>
          </w:rPr>
          <w:t xml:space="preserve">11</w:t>
        </w:r>
      </w:hyperlink>
      <w:r>
        <w:t xml:space="preserve">.</w:t>
      </w:r>
      <w:bookmarkEnd w:id="489"/>
      <w:bookmarkEnd w:id="490"/>
    </w:p>
  </w:footnote>
  <w:footnote w:id="81">
    <w:p>
      <w:pPr>
        <w:pStyle w:val="FootnoteText"/>
        <w:keepLines/>
        <w:wordWrap w:val="off"/>
      </w:pPr>
      <w:bookmarkStart w:id="493" w:name="x1-39035xE"/>
      <w:bookmarkStart w:id="494" w:name="x1-39036"/>
      <w:r>
        <w:rPr>
          <w:rStyle w:val="FootnoteReference"/>
        </w:rPr>
        <w:footnoteRef/>
      </w:r>
      <w:r>
        <w:rPr>
          <w:rFonts w:ascii="Noto Serif CJK SC" w:hAnsi="Noto Serif CJK SC" w:eastAsia="Noto Serif CJK SC" w:cs="Noto Serif CJK SC"/>
          <w:lang w:val="en-US" w:eastAsia="zh-CN"/>
        </w:rPr>
        <w:t xml:space="preserve"> 参见 Y. Cao, J. Wang, J. Wang, et al., Expert Consensus on the Application and Governance of Artificial Intelligence in Medical Institutions (2026) Intelligent Med. (May 23, 2026).</w:t>
      </w:r>
      <w:bookmarkEnd w:id="493"/>
      <w:bookmarkEnd w:id="494"/>
    </w:p>
  </w:footnote>
  <w:footnote w:id="82">
    <w:p>
      <w:pPr>
        <w:pStyle w:val="FootnoteText"/>
        <w:keepLines/>
        <w:wordWrap w:val="off"/>
      </w:pPr>
      <w:bookmarkStart w:id="497" w:name="x1-39038xE"/>
      <w:bookmarkStart w:id="498" w:name="x1-39039"/>
      <w:r>
        <w:rPr>
          <w:rStyle w:val="FootnoteReference"/>
        </w:rPr>
        <w:footnoteRef/>
      </w:r>
      <w:r>
        <w:rPr>
          <w:rFonts w:ascii="Noto Serif CJK SC" w:hAnsi="Noto Serif CJK SC" w:eastAsia="Noto Serif CJK SC" w:cs="Noto Serif CJK SC"/>
          <w:lang w:val="en-US" w:eastAsia="zh-CN"/>
        </w:rPr>
        <w:t xml:space="preserve"> 参见 D. van de Sande, N. Economou-Zavlanos and M. E. van Genderen, Meaningful Oversight of Medical AI Beyond Human in the Loop, 9 npj Digit. Med. 569 (July 23, 2026).</w:t>
      </w:r>
      <w:bookmarkEnd w:id="497"/>
      <w:bookmarkEnd w:id="498"/>
    </w:p>
  </w:footnote>
  <w:footnote w:id="83">
    <w:p>
      <w:pPr>
        <w:pStyle w:val="FootnoteText"/>
        <w:keepLines/>
        <w:wordWrap w:val="off"/>
      </w:pPr>
      <w:bookmarkStart w:id="501" w:name="x1-39041xE"/>
      <w:bookmarkStart w:id="502" w:name="x1-39042"/>
      <w:r>
        <w:rPr>
          <w:rStyle w:val="FootnoteReference"/>
        </w:rPr>
        <w:footnoteRef/>
      </w:r>
      <w:r>
        <w:rPr>
          <w:rFonts w:ascii="Noto Serif CJK SC" w:hAnsi="Noto Serif CJK SC" w:eastAsia="Noto Serif CJK SC" w:cs="Noto Serif CJK SC"/>
          <w:lang w:val="en-US" w:eastAsia="zh-CN"/>
        </w:rPr>
        <w:t xml:space="preserve"> 参见 Ramakrishnan, supra note </w:t>
      </w:r>
      <w:hyperlink w:anchor="x1-30005x1">
        <w:r>
          <w:rPr>
            <w:rStyle w:val="Hyperlink"/>
          </w:rPr>
          <w:t xml:space="preserve">56</w:t>
        </w:r>
      </w:hyperlink>
      <w:r>
        <w:t xml:space="preserve">, at 1047–50.</w:t>
      </w:r>
      <w:bookmarkEnd w:id="501"/>
      <w:bookmarkEnd w:id="502"/>
    </w:p>
  </w:footnote>
  <w:footnote w:id="84">
    <w:p>
      <w:pPr>
        <w:pStyle w:val="FootnoteText"/>
        <w:keepLines/>
        <w:wordWrap w:val="off"/>
      </w:pPr>
      <w:bookmarkStart w:id="505" w:name="x1-39044xE"/>
      <w:bookmarkStart w:id="506" w:name="x1-39045"/>
      <w:bookmarkStart w:id="507" w:name="x1-39046"/>
      <w:r>
        <w:rPr>
          <w:rStyle w:val="FootnoteReference"/>
        </w:rPr>
        <w:footnoteRef/>
      </w:r>
      <w:r>
        <w:rPr>
          <w:rFonts w:ascii="Noto Serif CJK SC" w:hAnsi="Noto Serif CJK SC" w:eastAsia="Noto Serif CJK SC" w:cs="Noto Serif CJK SC"/>
          <w:lang w:val="en-US" w:eastAsia="zh-CN"/>
        </w:rPr>
        <w:t xml:space="preserve"> 参见 American Law Institute, Restatement (Third) of Torts: Liability for Physical and Emotional Harm (American Law Institute Publishers, 2010), § 16(a); American Law Institute, supra note </w:t>
      </w:r>
      <w:hyperlink w:anchor="x1-25003xC">
        <w:r>
          <w:rPr>
            <w:rStyle w:val="Hyperlink"/>
          </w:rPr>
          <w:t xml:space="preserve">46</w:t>
        </w:r>
      </w:hyperlink>
      <w:r>
        <w:rPr>
          <w:rFonts w:ascii="Noto Serif CJK SC" w:hAnsi="Noto Serif CJK SC" w:eastAsia="Noto Serif CJK SC" w:cs="Noto Serif CJK SC"/>
          <w:lang w:val="en-US" w:eastAsia="zh-CN"/>
        </w:rPr>
        <w:t xml:space="preserve">, at § 4(b). 各司法辖区的规则并不相同，立法机关或有效的联邦法优占规则也可能赋予合规行为不同的法律效果。</w:t>
      </w:r>
      <w:bookmarkEnd w:id="505"/>
      <w:bookmarkEnd w:id="506"/>
      <w:bookmarkEnd w:id="507"/>
    </w:p>
  </w:footnote>
  <w:footnote w:id="85">
    <w:p>
      <w:pPr>
        <w:pStyle w:val="FootnoteText"/>
        <w:keepLines/>
        <w:wordWrap w:val="off"/>
      </w:pPr>
      <w:bookmarkStart w:id="512" w:name="x1-40002xF"/>
      <w:bookmarkStart w:id="513" w:name="x1-40003"/>
      <w:r>
        <w:rPr>
          <w:rStyle w:val="FootnoteReference"/>
        </w:rPr>
        <w:footnoteRef/>
      </w:r>
      <w:r>
        <w:rPr>
          <w:rFonts w:ascii="Noto Serif CJK SC" w:hAnsi="Noto Serif CJK SC" w:eastAsia="Noto Serif CJK SC" w:cs="Noto Serif CJK SC"/>
          <w:lang w:val="en-US" w:eastAsia="zh-CN"/>
        </w:rPr>
        <w:t xml:space="preserve"> 参见 California SB 243, Cal. Bus. &amp; Prof. Code §§ 22601–22606.</w:t>
      </w:r>
      <w:bookmarkEnd w:id="512"/>
      <w:bookmarkEnd w:id="513"/>
    </w:p>
  </w:footnote>
  <w:footnote w:id="86">
    <w:p>
      <w:pPr>
        <w:pStyle w:val="FootnoteText"/>
        <w:keepLines/>
        <w:wordWrap w:val="off"/>
      </w:pPr>
      <w:bookmarkStart w:id="516" w:name="x1-40005xF"/>
      <w:bookmarkStart w:id="517" w:name="x1-40006"/>
      <w:bookmarkStart w:id="518" w:name="x1-40007"/>
      <w:r>
        <w:rPr>
          <w:rStyle w:val="FootnoteReference"/>
        </w:rPr>
        <w:footnoteRef/>
      </w:r>
      <w:r>
        <w:rPr>
          <w:rFonts w:ascii="Noto Serif CJK SC" w:hAnsi="Noto Serif CJK SC" w:eastAsia="Noto Serif CJK SC" w:cs="Noto Serif CJK SC"/>
          <w:lang w:val="en-US" w:eastAsia="zh-CN"/>
        </w:rPr>
        <w:t xml:space="preserve"> 参见 Federal Trade Commission, supra note </w:t>
      </w:r>
      <w:hyperlink w:anchor="x1-23023x2">
        <w:r>
          <w:rPr>
            <w:rStyle w:val="Hyperlink"/>
          </w:rPr>
          <w:t xml:space="preserve">41</w:t>
        </w:r>
      </w:hyperlink>
      <w:r>
        <w:t xml:space="preserve">; Federal Trade Commission. Model Order to File a Special Report Regarding AI Companion Chatbots. Sept. 10, 2025. url:  </w:t>
      </w:r>
      <w:hyperlink r:id="rId519">
        <w:r>
          <w:rPr>
            <w:rStyle w:val="Hyperlink"/>
          </w:rPr>
          <w:t xml:space="preserve">https://www.ftc.gov/system/files/ftc_gov/pdf/AICompanionChatbot6(b)Order.pdf</w:t>
        </w:r>
      </w:hyperlink>
      <w:r>
        <w:t xml:space="preserve"> (visited on 08/28/2026), specifications 3, 11–17.</w:t>
      </w:r>
      <w:bookmarkEnd w:id="516"/>
      <w:bookmarkEnd w:id="517"/>
      <w:bookmarkEnd w:id="518"/>
    </w:p>
  </w:footnote>
  <w:footnote w:id="87">
    <w:p>
      <w:pPr>
        <w:pStyle w:val="FootnoteText"/>
        <w:keepLines/>
        <w:wordWrap w:val="off"/>
      </w:pPr>
      <w:bookmarkStart w:id="522" w:name="x1-40009xF"/>
      <w:bookmarkStart w:id="523" w:name="x1-40010"/>
      <w:r>
        <w:rPr>
          <w:rStyle w:val="FootnoteReference"/>
        </w:rPr>
        <w:footnoteRef/>
      </w:r>
      <w:r>
        <w:rPr>
          <w:rFonts w:ascii="Noto Serif CJK SC" w:hAnsi="Noto Serif CJK SC" w:eastAsia="Noto Serif CJK SC" w:cs="Noto Serif CJK SC"/>
          <w:lang w:val="en-US" w:eastAsia="zh-CN"/>
        </w:rPr>
        <w:t xml:space="preserve"> 参见 U.S. Department of Justice, Criminal Division, supra note </w:t>
      </w:r>
      <w:hyperlink w:anchor="x1-39022xE">
        <w:r>
          <w:rPr>
            <w:rStyle w:val="Hyperlink"/>
          </w:rPr>
          <w:t xml:space="preserve">77</w:t>
        </w:r>
      </w:hyperlink>
      <w:r>
        <w:t xml:space="preserve">, at 3–4, 7, 18.</w:t>
      </w:r>
      <w:bookmarkEnd w:id="522"/>
      <w:bookmarkEnd w:id="523"/>
    </w:p>
  </w:footnote>
  <w:footnote w:id="88">
    <w:p>
      <w:pPr>
        <w:pStyle w:val="FootnoteText"/>
        <w:keepLines/>
        <w:wordWrap w:val="off"/>
      </w:pPr>
      <w:bookmarkStart w:id="526" w:name="x1-40012xF"/>
      <w:bookmarkStart w:id="527" w:name="x1-40013"/>
      <w:r>
        <w:rPr>
          <w:rStyle w:val="FootnoteReference"/>
        </w:rPr>
        <w:footnoteRef/>
      </w:r>
      <w:r>
        <w:rPr>
          <w:rFonts w:ascii="Noto Serif CJK SC" w:hAnsi="Noto Serif CJK SC" w:eastAsia="Noto Serif CJK SC" w:cs="Noto Serif CJK SC"/>
          <w:lang w:val="en-US" w:eastAsia="zh-CN"/>
        </w:rPr>
        <w:t xml:space="preserve"> 参见 FAA SMS Rule, 14 C.F.R. pt. 5, §§ 5.3, 5.9(e), 5.11–5.17, 5.21, 5.23, 5.25, 5.53–5.57, 5.71–5.75, 5.95–5.97.</w:t>
      </w:r>
      <w:bookmarkEnd w:id="526"/>
      <w:bookmarkEnd w:id="527"/>
    </w:p>
  </w:footnote>
  <w:footnote w:id="89">
    <w:p>
      <w:pPr>
        <w:pStyle w:val="FootnoteText"/>
        <w:keepLines/>
        <w:wordWrap w:val="off"/>
      </w:pPr>
      <w:bookmarkStart w:id="530" w:name="x1-40015xF"/>
      <w:bookmarkStart w:id="531" w:name="x1-40016"/>
      <w:r>
        <w:rPr>
          <w:rStyle w:val="FootnoteReference"/>
        </w:rPr>
        <w:footnoteRef/>
      </w:r>
      <w:r>
        <w:rPr>
          <w:rFonts w:ascii="Noto Serif CJK SC" w:hAnsi="Noto Serif CJK SC" w:eastAsia="Noto Serif CJK SC" w:cs="Noto Serif CJK SC"/>
          <w:lang w:val="en-US" w:eastAsia="zh-CN"/>
        </w:rPr>
        <w:t xml:space="preserve"> 参见 Loper Bright, 603 U.S. at 394–96.</w:t>
      </w:r>
      <w:bookmarkEnd w:id="530"/>
      <w:bookmarkEnd w:id="531"/>
    </w:p>
  </w:footnote>
  <w:footnote w:id="90">
    <w:p>
      <w:pPr>
        <w:pStyle w:val="FootnoteText"/>
        <w:keepLines/>
        <w:wordWrap w:val="off"/>
      </w:pPr>
      <w:bookmarkStart w:id="536" w:name="x1-41002xG"/>
      <w:bookmarkStart w:id="537" w:name="x1-41003"/>
      <w:r>
        <w:rPr>
          <w:rStyle w:val="FootnoteReference"/>
        </w:rPr>
        <w:footnoteRef/>
      </w:r>
      <w:r>
        <w:t xml:space="preserve"> Fed. R. Civ. P. § 26.</w:t>
      </w:r>
      <w:bookmarkEnd w:id="536"/>
      <w:bookmarkEnd w:id="537"/>
    </w:p>
  </w:footnote>
  <w:footnote w:id="91">
    <w:p>
      <w:pPr>
        <w:pStyle w:val="FootnoteText"/>
        <w:keepLines/>
        <w:wordWrap w:val="off"/>
      </w:pPr>
      <w:bookmarkStart w:id="540" w:name="x1-41005xG"/>
      <w:bookmarkStart w:id="541" w:name="x1-41006"/>
      <w:r>
        <w:rPr>
          <w:rStyle w:val="FootnoteReference"/>
        </w:rPr>
        <w:footnoteRef/>
      </w:r>
      <w:r>
        <w:rPr>
          <w:rFonts w:ascii="Noto Serif CJK SC" w:hAnsi="Noto Serif CJK SC" w:eastAsia="Noto Serif CJK SC" w:cs="Noto Serif CJK SC"/>
          <w:lang w:val="en-US" w:eastAsia="zh-CN"/>
        </w:rPr>
        <w:t xml:space="preserve"> Federal Rules of Civil Procedure, Fed. R. Civ. P. § 37(e) (2025)，2015 年修正案咨询委员会说明。</w:t>
      </w:r>
      <w:bookmarkEnd w:id="540"/>
      <w:bookmarkEnd w:id="541"/>
    </w:p>
  </w:footnote>
  <w:footnote w:id="92">
    <w:p>
      <w:pPr>
        <w:pStyle w:val="FootnoteText"/>
        <w:keepLines/>
        <w:wordWrap w:val="off"/>
      </w:pPr>
      <w:bookmarkStart w:id="544" w:name="x1-41008xG"/>
      <w:bookmarkStart w:id="545" w:name="x1-41009"/>
      <w:r>
        <w:rPr>
          <w:rStyle w:val="FootnoteReference"/>
        </w:rPr>
        <w:footnoteRef/>
      </w:r>
      <w:r>
        <w:rPr>
          <w:rFonts w:ascii="Noto Serif CJK SC" w:hAnsi="Noto Serif CJK SC" w:eastAsia="Noto Serif CJK SC" w:cs="Noto Serif CJK SC"/>
          <w:lang w:val="en-US" w:eastAsia="zh-CN"/>
        </w:rPr>
        <w:t xml:space="preserve"> 参见 Fed. R. Civ. P. § 26, r. 26(c)(1)(G). 《欧盟产品责任指令》提供了一个已经立法的比较法范例，其中包括符合比例原则的证据披露、机密信息保护和范围受限的推定；但它并非美国现行程序。参见 EU Product Liability Directive, Directive (EU) 2024/2853, arts. 9–10.</w:t>
      </w:r>
      <w:bookmarkEnd w:id="544"/>
      <w:bookmarkEnd w:id="545"/>
    </w:p>
  </w:footnote>
  <w:footnote w:id="93">
    <w:p>
      <w:pPr>
        <w:pStyle w:val="FootnoteText"/>
        <w:keepLines/>
        <w:wordWrap w:val="off"/>
      </w:pPr>
      <w:bookmarkStart w:id="548" w:name="x1-41011xG"/>
      <w:bookmarkStart w:id="549" w:name="x1-41012"/>
      <w:bookmarkStart w:id="550" w:name="x1-41013"/>
      <w:r>
        <w:rPr>
          <w:rStyle w:val="FootnoteReference"/>
        </w:rPr>
        <w:footnoteRef/>
      </w:r>
      <w:r>
        <w:t xml:space="preserve"> American Law Institute, supra note </w:t>
      </w:r>
      <w:hyperlink w:anchor="x1-25003xC">
        <w:r>
          <w:rPr>
            <w:rStyle w:val="Hyperlink"/>
          </w:rPr>
          <w:t xml:space="preserve">46</w:t>
        </w:r>
      </w:hyperlink>
      <w:r>
        <w:rPr>
          <w:rFonts w:ascii="Noto Serif CJK SC" w:hAnsi="Noto Serif CJK SC" w:eastAsia="Noto Serif CJK SC" w:cs="Noto Serif CJK SC"/>
          <w:lang w:val="en-US" w:eastAsia="zh-CN"/>
        </w:rPr>
        <w:t xml:space="preserve">, at § 3；另参见 Speller, 100 N.Y.2d at 41–43 （适用纽约州法，并要求证据排除不可归因于被告的其他原因）.</w:t>
      </w:r>
      <w:bookmarkEnd w:id="548"/>
      <w:bookmarkEnd w:id="549"/>
      <w:bookmarkEnd w:id="550"/>
    </w:p>
  </w:footnote>
  <w:footnote w:id="94">
    <w:p>
      <w:pPr>
        <w:pStyle w:val="FootnoteText"/>
        <w:keepLines/>
        <w:wordWrap w:val="off"/>
      </w:pPr>
      <w:bookmarkStart w:id="553" w:name="x1-41015xG"/>
      <w:bookmarkStart w:id="554" w:name="x1-41016"/>
      <w:r>
        <w:rPr>
          <w:rStyle w:val="FootnoteReference"/>
        </w:rPr>
        <w:footnoteRef/>
      </w:r>
      <w:r>
        <w:rPr>
          <w:rFonts w:ascii="Noto Serif CJK SC" w:hAnsi="Noto Serif CJK SC" w:eastAsia="Noto Serif CJK SC" w:cs="Noto Serif CJK SC"/>
          <w:lang w:val="en-US" w:eastAsia="zh-CN"/>
        </w:rPr>
        <w:t xml:space="preserve"> 参见 American Law Institute, supra note </w:t>
      </w:r>
      <w:hyperlink w:anchor="x1-39044xE">
        <w:r>
          <w:rPr>
            <w:rStyle w:val="Hyperlink"/>
          </w:rPr>
          <w:t xml:space="preserve">84</w:t>
        </w:r>
      </w:hyperlink>
      <w:r>
        <w:t xml:space="preserve">, at § 17 &amp; cmt. b.</w:t>
      </w:r>
      <w:bookmarkEnd w:id="553"/>
      <w:bookmarkEnd w:id="554"/>
    </w:p>
  </w:footnote>
  <w:footnote w:id="95">
    <w:p>
      <w:pPr>
        <w:pStyle w:val="FootnoteText"/>
        <w:keepLines/>
        <w:wordWrap w:val="off"/>
      </w:pPr>
      <w:bookmarkStart w:id="557" w:name="x1-41018xG"/>
      <w:bookmarkStart w:id="558" w:name="x1-41019"/>
      <w:r>
        <w:rPr>
          <w:rStyle w:val="FootnoteReference"/>
        </w:rPr>
        <w:footnoteRef/>
      </w:r>
      <w:r>
        <w:rPr>
          <w:rFonts w:ascii="Noto Serif CJK SC" w:hAnsi="Noto Serif CJK SC" w:eastAsia="Noto Serif CJK SC" w:cs="Noto Serif CJK SC"/>
          <w:lang w:val="en-US" w:eastAsia="zh-CN"/>
        </w:rPr>
        <w:t xml:space="preserve"> 参见 Fed. R. Civ. P. § 37(e)，2015 年修正案咨询委员会说明。</w:t>
      </w:r>
      <w:bookmarkEnd w:id="557"/>
      <w:bookmarkEnd w:id="558"/>
    </w:p>
  </w:footnote>
  <w:footnote w:id="96">
    <w:p>
      <w:pPr>
        <w:pStyle w:val="FootnoteText"/>
        <w:keepLines/>
        <w:wordWrap w:val="off"/>
      </w:pPr>
      <w:bookmarkStart w:id="563" w:name="x1-42002xH"/>
      <w:bookmarkStart w:id="564" w:name="x1-42003"/>
      <w:r>
        <w:rPr>
          <w:rStyle w:val="FootnoteReference"/>
        </w:rPr>
        <w:footnoteRef/>
      </w:r>
      <w:r>
        <w:rPr>
          <w:rFonts w:ascii="Noto Serif CJK SC" w:hAnsi="Noto Serif CJK SC" w:eastAsia="Noto Serif CJK SC" w:cs="Noto Serif CJK SC"/>
          <w:lang w:val="en-US" w:eastAsia="zh-CN"/>
        </w:rPr>
        <w:t xml:space="preserve"> 参见 DGCL, 8 Del. C. § 145.</w:t>
      </w:r>
      <w:bookmarkEnd w:id="563"/>
      <w:bookmarkEnd w:id="564"/>
    </w:p>
  </w:footnote>
  <w:footnote w:id="97">
    <w:p>
      <w:pPr>
        <w:pStyle w:val="FootnoteText"/>
        <w:keepLines/>
        <w:wordWrap w:val="off"/>
      </w:pPr>
      <w:bookmarkStart w:id="567" w:name="x1-42005xH"/>
      <w:bookmarkStart w:id="568" w:name="x1-42006"/>
      <w:bookmarkStart w:id="569" w:name="x1-42007"/>
      <w:r>
        <w:rPr>
          <w:rStyle w:val="FootnoteReference"/>
        </w:rPr>
        <w:footnoteRef/>
      </w:r>
      <w:r>
        <w:rPr>
          <w:rFonts w:ascii="Noto Serif CJK SC" w:hAnsi="Noto Serif CJK SC" w:eastAsia="Noto Serif CJK SC" w:cs="Noto Serif CJK SC"/>
          <w:lang w:val="en-US" w:eastAsia="zh-CN"/>
        </w:rPr>
        <w:t xml:space="preserve"> 比较 Energy Reorganization Act, 42 U.S.C. § 5851（保护特定报告以及拒绝从事已明确的违法行为）与 Whirlpool Corp. v. Marshall, 445 U.S. 1, 9–13 (U.S. Feb. 26, 1980)（当行为人合理认为面临迫近危险且来不及通过通常救济途径处理时，维持对其善意拒绝行为的有限职业安全保护）。</w:t>
      </w:r>
      <w:bookmarkEnd w:id="567"/>
      <w:bookmarkEnd w:id="568"/>
      <w:bookmarkEnd w:id="569"/>
    </w:p>
  </w:footnote>
  <w:footnote w:id="98">
    <w:p>
      <w:pPr>
        <w:pStyle w:val="FootnoteText"/>
        <w:keepLines/>
        <w:wordWrap w:val="off"/>
      </w:pPr>
      <w:bookmarkStart w:id="572" w:name="x1-42009xH"/>
      <w:r>
        <w:rPr>
          <w:rStyle w:val="FootnoteReference"/>
        </w:rPr>
        <w:footnoteRef/>
      </w:r>
      <w:r>
        <w:rPr>
          <w:rFonts w:ascii="Noto Serif CJK SC" w:hAnsi="Noto Serif CJK SC" w:eastAsia="Noto Serif CJK SC" w:cs="Noto Serif CJK SC"/>
          <w:lang w:val="en-US" w:eastAsia="zh-CN"/>
        </w:rPr>
        <w:t xml:space="preserve"> 参见 Energy Reorganization Act, 42 U.S.C. § 5851, § 5851(b)(3).</w:t>
      </w:r>
      <w:bookmarkEnd w:id="572"/>
    </w:p>
  </w:footnote>
  <w:footnote w:id="99">
    <w:p>
      <w:pPr>
        <w:pStyle w:val="FootnoteText"/>
        <w:keepLines/>
        <w:wordWrap w:val="off"/>
      </w:pPr>
      <w:bookmarkStart w:id="575" w:name="x1-42011xH"/>
      <w:bookmarkStart w:id="576" w:name="x1-42012"/>
      <w:bookmarkStart w:id="577" w:name="x1-42013"/>
      <w:bookmarkStart w:id="578" w:name="x1-42014"/>
      <w:r>
        <w:rPr>
          <w:rStyle w:val="FootnoteReference"/>
        </w:rPr>
        <w:footnoteRef/>
      </w:r>
      <w:r>
        <w:rPr>
          <w:rFonts w:ascii="Noto Serif CJK SC" w:hAnsi="Noto Serif CJK SC" w:eastAsia="Noto Serif CJK SC" w:cs="Noto Serif CJK SC"/>
          <w:lang w:val="en-US" w:eastAsia="zh-CN"/>
        </w:rPr>
        <w:t xml:space="preserve"> 参见 Sarbanes–Oxley Act Whistleblower Protection, 18 U.S.C. § 1514A (2024); False Claims Act A⁠n⁠t⁠i⁠-⁠R⁠e⁠t⁠a⁠l⁠i⁠a⁠t⁠i⁠o⁠n Provision, 31 U.S.C. § 3730(h) (2024); Occupational Safety and Health Act A⁠n⁠t⁠i⁠-⁠R⁠e⁠t⁠a⁠l⁠i⁠a⁠t⁠i⁠o⁠n Provision, 29 U.S.C. § 660(c) (2024).</w:t>
      </w:r>
      <w:bookmarkEnd w:id="575"/>
      <w:bookmarkEnd w:id="576"/>
      <w:bookmarkEnd w:id="577"/>
      <w:bookmarkEnd w:id="578"/>
    </w:p>
  </w:footnote>
  <w:footnote w:id="100">
    <w:p>
      <w:pPr>
        <w:pStyle w:val="FootnoteText"/>
        <w:keepLines/>
        <w:wordWrap w:val="off"/>
      </w:pPr>
      <w:bookmarkStart w:id="581" w:name="x1-42016xH"/>
      <w:bookmarkStart w:id="582" w:name="x1-42017"/>
      <w:bookmarkStart w:id="583" w:name="x1-42018"/>
      <w:r>
        <w:rPr>
          <w:rStyle w:val="FootnoteReference"/>
        </w:rPr>
        <w:footnoteRef/>
      </w:r>
      <w:r>
        <w:rPr>
          <w:rFonts w:ascii="Noto Serif CJK SC" w:hAnsi="Noto Serif CJK SC" w:eastAsia="Noto Serif CJK SC" w:cs="Noto Serif CJK SC"/>
          <w:lang w:val="en-US" w:eastAsia="zh-CN"/>
        </w:rPr>
        <w:t xml:space="preserve"> 参见 Federal Aviation Administration, supra note </w:t>
      </w:r>
      <w:hyperlink w:anchor="x1-39029xE">
        <w:r>
          <w:rPr>
            <w:rStyle w:val="Hyperlink"/>
          </w:rPr>
          <w:t xml:space="preserve">79</w:t>
        </w:r>
      </w:hyperlink>
      <w:r>
        <w:t xml:space="preserve">; Patient Safety and Quality Improvement Act o⁠f 2005, 42 U.S.C. § 299b-21–299b-26 (2005), § 299b-22(a)–(b), (e).</w:t>
      </w:r>
      <w:bookmarkEnd w:id="581"/>
      <w:bookmarkEnd w:id="582"/>
      <w:bookmarkEnd w:id="583"/>
    </w:p>
  </w:footnote>
  <w:footnote w:id="101">
    <w:p>
      <w:pPr>
        <w:pStyle w:val="FootnoteText"/>
        <w:keepLines/>
        <w:wordWrap w:val="off"/>
      </w:pPr>
      <w:bookmarkStart w:id="588" w:name="x1-43007xI"/>
      <w:bookmarkStart w:id="589" w:name="x1-43008"/>
      <w:bookmarkStart w:id="590" w:name="x1-43009"/>
      <w:r>
        <w:rPr>
          <w:rStyle w:val="FootnoteReference"/>
        </w:rPr>
        <w:footnoteRef/>
      </w:r>
      <w:r>
        <w:rPr>
          <w:rFonts w:ascii="Noto Serif CJK SC" w:hAnsi="Noto Serif CJK SC" w:eastAsia="Noto Serif CJK SC" w:cs="Noto Serif CJK SC"/>
          <w:lang w:val="en-US" w:eastAsia="zh-CN"/>
        </w:rPr>
        <w:t xml:space="preserve"> 参见 Fed. R. Civ. P. § 26; Federal Rules of Civil Procedure, Fed. R. Civ. P. § 34(a)(1), 45 (2025).</w:t>
      </w:r>
      <w:bookmarkEnd w:id="588"/>
      <w:bookmarkEnd w:id="589"/>
      <w:bookmarkEnd w:id="590"/>
    </w:p>
  </w:footnote>
  <w:footnote w:id="102">
    <w:p>
      <w:pPr>
        <w:pStyle w:val="FootnoteText"/>
        <w:keepLines/>
        <w:wordWrap w:val="off"/>
      </w:pPr>
      <w:bookmarkStart w:id="599" w:name="x1-46002x"/>
      <w:bookmarkStart w:id="600" w:name="x1-46003"/>
      <w:bookmarkStart w:id="601" w:name="x1-46002xdoc"/>
      <w:r>
        <w:rPr>
          <w:rStyle w:val="FootnoteReference"/>
        </w:rPr>
        <w:footnoteRef/>
      </w:r>
      <w:r>
        <w:rPr>
          <w:rFonts w:ascii="Noto Serif CJK SC" w:hAnsi="Noto Serif CJK SC" w:eastAsia="Noto Serif CJK SC" w:cs="Noto Serif CJK SC"/>
          <w:lang w:val="en-US" w:eastAsia="zh-CN"/>
        </w:rPr>
        <w:t xml:space="preserve"> 参见 Liriano v. Hobart Corp. 92 N.Y.2d 232, 237–43 (N.Y. 1998).</w:t>
      </w:r>
      <w:bookmarkEnd w:id="599"/>
      <w:bookmarkEnd w:id="600"/>
      <w:bookmarkEnd w:id="601"/>
    </w:p>
  </w:footnote>
  <w:footnote w:id="103">
    <w:p>
      <w:pPr>
        <w:pStyle w:val="FootnoteText"/>
        <w:keepLines/>
        <w:wordWrap w:val="off"/>
      </w:pPr>
      <w:bookmarkStart w:id="608" w:name="x1-48002x"/>
      <w:bookmarkStart w:id="609" w:name="x1-48003"/>
      <w:bookmarkStart w:id="610" w:name="x1-48002xdoc"/>
      <w:r>
        <w:rPr>
          <w:rStyle w:val="FootnoteReference"/>
        </w:rPr>
        <w:footnoteRef/>
      </w:r>
      <w:r>
        <w:rPr>
          <w:rFonts w:ascii="Noto Serif CJK SC" w:hAnsi="Noto Serif CJK SC" w:eastAsia="Noto Serif CJK SC" w:cs="Noto Serif CJK SC"/>
          <w:lang w:val="en-US" w:eastAsia="zh-CN"/>
        </w:rPr>
        <w:t xml:space="preserve"> 参见 Boyle v. United Technologies Corp. 487 U.S. 500, 512 (U.S. 1988).</w:t>
      </w:r>
      <w:bookmarkEnd w:id="608"/>
      <w:bookmarkEnd w:id="609"/>
      <w:bookmarkEnd w:id="610"/>
    </w:p>
  </w:footnote>
  <w:footnote w:id="104">
    <w:p>
      <w:pPr>
        <w:pStyle w:val="FootnoteText"/>
        <w:keepLines/>
        <w:wordWrap w:val="off"/>
      </w:pPr>
      <w:bookmarkStart w:id="613" w:name="x1-48005x"/>
      <w:bookmarkStart w:id="614" w:name="x1-48006"/>
      <w:bookmarkStart w:id="615" w:name="x1-48005xdoc"/>
      <w:r>
        <w:rPr>
          <w:rStyle w:val="FootnoteReference"/>
        </w:rPr>
        <w:footnoteRef/>
      </w:r>
      <w:r>
        <w:t xml:space="preserve"> GEO Group, Inc. v. Menocal, 607 U.S. 438, 444–48 (U.S. Feb. 25, 2026).</w:t>
      </w:r>
      <w:bookmarkEnd w:id="613"/>
      <w:bookmarkEnd w:id="614"/>
      <w:bookmarkEnd w:id="615"/>
    </w:p>
  </w:footnote>
  <w:footnote w:id="105">
    <w:p>
      <w:pPr>
        <w:pStyle w:val="FootnoteText"/>
        <w:keepLines/>
        <w:wordWrap w:val="off"/>
      </w:pPr>
      <w:bookmarkStart w:id="618" w:name="x1-48008x"/>
      <w:bookmarkStart w:id="619" w:name="x1-48009"/>
      <w:bookmarkStart w:id="620" w:name="x1-48008xdoc"/>
      <w:r>
        <w:rPr>
          <w:rStyle w:val="FootnoteReference"/>
        </w:rPr>
        <w:footnoteRef/>
      </w:r>
      <w:r>
        <w:t xml:space="preserve"> Hencely v. Fluor Corp. 608 U.S. 31, 37–42, 46 (U.S. Apr. 22, 2026).</w:t>
      </w:r>
      <w:bookmarkEnd w:id="618"/>
      <w:bookmarkEnd w:id="619"/>
      <w:bookmarkEnd w:id="620"/>
    </w:p>
  </w:footnote>
  <w:footnote w:id="106">
    <w:p>
      <w:pPr>
        <w:pStyle w:val="FootnoteText"/>
        <w:keepLines/>
        <w:wordWrap w:val="off"/>
      </w:pPr>
      <w:bookmarkStart w:id="631" w:name="x1-52002xA"/>
      <w:bookmarkStart w:id="632" w:name="x1-52003"/>
      <w:bookmarkStart w:id="633" w:name="x1-52004"/>
      <w:r>
        <w:rPr>
          <w:rStyle w:val="FootnoteReference"/>
        </w:rPr>
        <w:footnoteRef/>
      </w:r>
      <w:r>
        <w:rPr>
          <w:rFonts w:ascii="Noto Serif CJK SC" w:hAnsi="Noto Serif CJK SC" w:eastAsia="Noto Serif CJK SC" w:cs="Noto Serif CJK SC"/>
          <w:lang w:val="en-US" w:eastAsia="zh-CN"/>
        </w:rPr>
        <w:t xml:space="preserve"> 参见 DeShaney v. Winnebago County Department of Social Services, 489 U.S. 189 (U.S. 1989)；比较参见 Health &amp; Hospital Corp. of Marion County v. Talevski, 599 U.S. 166 (U.S. 2023)（承认《联邦养老院改革法》规定的两项特定权利可通过 42 U.S.C. § 1983 主张并获得救济）。</w:t>
      </w:r>
      <w:bookmarkEnd w:id="631"/>
      <w:bookmarkEnd w:id="632"/>
      <w:bookmarkEnd w:id="633"/>
    </w:p>
  </w:footnote>
  <w:footnote w:id="107">
    <w:p>
      <w:pPr>
        <w:pStyle w:val="FootnoteText"/>
        <w:keepLines/>
        <w:wordWrap w:val="off"/>
      </w:pPr>
      <w:bookmarkStart w:id="638" w:name="x1-53002xB"/>
      <w:bookmarkStart w:id="639" w:name="x1-53003"/>
      <w:r>
        <w:rPr>
          <w:rStyle w:val="FootnoteReference"/>
        </w:rPr>
        <w:footnoteRef/>
      </w:r>
      <w:r>
        <w:t xml:space="preserve"> K.W. ex rel. D.W. v. Armstrong, 789 F.3d 962 (9th Cir. 2015).</w:t>
      </w:r>
      <w:bookmarkEnd w:id="638"/>
      <w:bookmarkEnd w:id="639"/>
    </w:p>
  </w:footnote>
  <w:footnote w:id="108">
    <w:p>
      <w:pPr>
        <w:pStyle w:val="FootnoteText"/>
        <w:keepLines/>
        <w:wordWrap w:val="off"/>
      </w:pPr>
      <w:bookmarkStart w:id="642" w:name="x1-53005xB"/>
      <w:bookmarkStart w:id="643" w:name="x1-53006"/>
      <w:r>
        <w:rPr>
          <w:rStyle w:val="FootnoteReference"/>
        </w:rPr>
        <w:footnoteRef/>
      </w:r>
      <w:r>
        <w:t xml:space="preserve"> Arkansas Department of Human Services v. Ledgerwood 2017 Ark. 308 (Ark. 2017). 530 S.W.3d 336.</w:t>
      </w:r>
      <w:bookmarkEnd w:id="642"/>
      <w:bookmarkEnd w:id="643"/>
    </w:p>
  </w:footnote>
  <w:footnote w:id="109">
    <w:p>
      <w:pPr>
        <w:pStyle w:val="FootnoteText"/>
        <w:keepLines/>
        <w:wordWrap w:val="off"/>
      </w:pPr>
      <w:bookmarkStart w:id="646" w:name="x1-53008xB"/>
      <w:bookmarkStart w:id="647" w:name="x1-53009"/>
      <w:r>
        <w:rPr>
          <w:rStyle w:val="FootnoteReference"/>
        </w:rPr>
        <w:footnoteRef/>
      </w:r>
      <w:r>
        <w:rPr>
          <w:rFonts w:ascii="Noto Serif CJK SC" w:hAnsi="Noto Serif CJK SC" w:eastAsia="Noto Serif CJK SC" w:cs="Noto Serif CJK SC"/>
          <w:lang w:val="en-US" w:eastAsia="zh-CN"/>
        </w:rPr>
        <w:t xml:space="preserve"> 参见 D. K. Citron, Technological Due Process, 85 Wash. U. L. Rev. 1249 (2008).</w:t>
      </w:r>
      <w:bookmarkEnd w:id="646"/>
      <w:bookmarkEnd w:id="647"/>
    </w:p>
  </w:footnote>
  <w:footnote w:id="110">
    <w:p>
      <w:pPr>
        <w:pStyle w:val="FootnoteText"/>
        <w:keepLines/>
        <w:wordWrap w:val="off"/>
      </w:pPr>
      <w:bookmarkStart w:id="650" w:name="x1-53011xB"/>
      <w:bookmarkStart w:id="651" w:name="x1-53012"/>
      <w:r>
        <w:rPr>
          <w:rStyle w:val="FootnoteReference"/>
        </w:rPr>
        <w:footnoteRef/>
      </w:r>
      <w:r>
        <w:rPr>
          <w:rFonts w:ascii="Noto Serif CJK SC" w:hAnsi="Noto Serif CJK SC" w:eastAsia="Noto Serif CJK SC" w:cs="Noto Serif CJK SC"/>
          <w:lang w:val="en-US" w:eastAsia="zh-CN"/>
        </w:rPr>
        <w:t xml:space="preserve"> 参见 Goldberg v. Kelly, 397 U.S. 254 (U.S. 1970).</w:t>
      </w:r>
      <w:bookmarkEnd w:id="650"/>
      <w:bookmarkEnd w:id="651"/>
    </w:p>
  </w:footnote>
  <w:footnote w:id="111">
    <w:p>
      <w:pPr>
        <w:pStyle w:val="FootnoteText"/>
        <w:keepLines/>
        <w:wordWrap w:val="off"/>
      </w:pPr>
      <w:bookmarkStart w:id="656" w:name="x1-54002xC"/>
      <w:bookmarkStart w:id="657" w:name="x1-54003"/>
      <w:r>
        <w:rPr>
          <w:rStyle w:val="FootnoteReference"/>
        </w:rPr>
        <w:footnoteRef/>
      </w:r>
      <w:r>
        <w:rPr>
          <w:rFonts w:ascii="Noto Serif CJK SC" w:hAnsi="Noto Serif CJK SC" w:eastAsia="Noto Serif CJK SC" w:cs="Noto Serif CJK SC"/>
          <w:lang w:val="en-US" w:eastAsia="zh-CN"/>
        </w:rPr>
        <w:t xml:space="preserve"> 参见 Cao, Wang, Wang, et al., supra note </w:t>
      </w:r>
      <w:hyperlink w:anchor="x1-39035xE">
        <w:r>
          <w:rPr>
            <w:rStyle w:val="Hyperlink"/>
          </w:rPr>
          <w:t xml:space="preserve">81</w:t>
        </w:r>
      </w:hyperlink>
      <w:r>
        <w:t xml:space="preserve">;</w:t>
      </w:r>
      <w:r>
        <w:t xml:space="preserve"> Sande, Economou-Zavlanos and Genderen, supra note </w:t>
      </w:r>
      <w:hyperlink w:anchor="x1-39038xE">
        <w:r>
          <w:rPr>
            <w:rStyle w:val="Hyperlink"/>
          </w:rPr>
          <w:t xml:space="preserve">82</w:t>
        </w:r>
      </w:hyperlink>
      <w:r>
        <w:rPr>
          <w:rFonts w:ascii="Noto Serif CJK SC" w:hAnsi="Noto Serif CJK SC" w:eastAsia="Noto Serif CJK SC" w:cs="Noto Serif CJK SC"/>
          <w:lang w:val="en-US" w:eastAsia="zh-CN"/>
        </w:rPr>
        <w:t xml:space="preserve">；另参见 World Health Organization. Ethics and Governance of Artificial Intelligence for Health. 2021. url: </w:t>
      </w:r>
      <w:hyperlink r:id="rId663">
        <w:r>
          <w:rPr>
            <w:rStyle w:val="Hyperlink"/>
          </w:rPr>
          <w:t xml:space="preserve">https://www.who.int/publications/i/item/9789240029200</w:t>
        </w:r>
      </w:hyperlink>
      <w:r>
        <w:t xml:space="preserve"> (visited on 0⁠8⁠/⁠2⁠7⁠/⁠2⁠0⁠2⁠6).</w:t>
      </w:r>
      <w:bookmarkEnd w:id="656"/>
      <w:bookmarkEnd w:id="657"/>
    </w:p>
  </w:footnote>
  <w:footnote w:id="112">
    <w:p>
      <w:pPr>
        <w:pStyle w:val="FootnoteText"/>
        <w:keepLines/>
        <w:wordWrap w:val="off"/>
      </w:pPr>
      <w:r>
        <w:rPr>
          <w:rStyle w:val="FootnoteReference"/>
        </w:rPr>
        <w:footnoteRef/>
      </w:r>
      <w:r>
        <w:rPr>
          <w:rFonts w:ascii="Noto Serif CJK SC" w:hAnsi="Noto Serif CJK SC" w:eastAsia="Noto Serif CJK SC" w:cs="Noto Serif CJK SC"/>
          <w:lang w:val="en-US" w:eastAsia="zh-CN"/>
        </w:rPr>
        <w:t xml:space="preserve"> 参见 E. LaRocco et al. The Clinician’s Veto: Navigating Trust, Liability, and Uncertainty in Autonomous AI Prescribing. 2606.25108v2. Aug. 24, 2026. url: </w:t>
      </w:r>
      <w:hyperlink r:id="rId744">
        <w:r>
          <w:rPr>
            <w:rStyle w:val="Hyperlink"/>
          </w:rPr>
          <w:t xml:space="preserve">https://arxiv.org/abs/2606.25108v2</w:t>
        </w:r>
      </w:hyperlink>
      <w:r>
        <w:rPr>
          <w:rFonts w:ascii="Noto Serif CJK SC" w:hAnsi="Noto Serif CJK SC" w:eastAsia="Noto Serif CJK SC" w:cs="Noto Serif CJK SC"/>
          <w:lang w:val="en-US" w:eastAsia="zh-CN"/>
        </w:rPr>
        <w:t xml:space="preserve"> (visited on 08/28/2026)。该研究采用问卷调查而非访谈；受试者是当前拥有美国处方权限的临床人员，并非仅限于医生。问卷另行记录临床角色，以及处方权限属于完全独立、协作、受限或有限哪一种。</w:t>
      </w:r>
    </w:p>
  </w:footnote>
  <w:footnote w:id="113">
    <w:p>
      <w:pPr>
        <w:pStyle w:val="FootnoteText"/>
        <w:keepLines/>
        <w:wordWrap w:val="off"/>
      </w:pPr>
      <w:r>
        <w:rPr>
          <w:rStyle w:val="FootnoteReference"/>
        </w:rPr>
        <w:footnoteRef/>
      </w:r>
      <w:r>
        <w:rPr>
          <w:rFonts w:ascii="Noto Serif CJK SC" w:hAnsi="Noto Serif CJK SC" w:eastAsia="Noto Serif CJK SC" w:cs="Noto Serif CJK SC"/>
          <w:lang w:val="en-US" w:eastAsia="zh-CN"/>
        </w:rPr>
        <w:t xml:space="preserve"> 参见前注。第 10 题采用四档赞同程度量表，选项依次为：“完全不需要——即使没有该功能，我也会允许人工智能代理开具处方”（Not at all—I would permit AI agents to prescribe drugs without it）、“几乎不需要”（Very little）、“在一定程度上需要”（Somewhat），以及“非常需要——若没有该功能，我不会允许人工智能代理开具处方”（To a great extent—I would not permit AI agents to prescribe drugs without it）。135 名作答者中，67.4% 选择最强一档，84.4% 选择最高两档。作者将三项特征界定为采用自主处方的必要而非充分条件。关于推理透明度的主张，并非来自直接偏好题，也不是由单独操纵透明度得出，而是来自一组捆绑式情景中的责任评分；这些情景同时改变置信度传达、升级处置、临床人员同意以及书面理由。</w:t>
      </w:r>
    </w:p>
  </w:footnote>
  <w:footnote w:id="114">
    <w:p>
      <w:pPr>
        <w:pStyle w:val="FootnoteText"/>
        <w:keepLines/>
        <w:wordWrap w:val="off"/>
      </w:pPr>
      <w:r>
        <w:rPr>
          <w:rStyle w:val="FootnoteReference"/>
        </w:rPr>
        <w:footnoteRef/>
      </w:r>
      <w:r>
        <w:rPr>
          <w:rFonts w:ascii="Noto Serif CJK SC" w:hAnsi="Noto Serif CJK SC" w:eastAsia="Noto Serif CJK SC" w:cs="Noto Serif CJK SC"/>
          <w:lang w:val="en-US" w:eastAsia="zh-CN"/>
        </w:rPr>
        <w:t xml:space="preserve"> 参见 Utah Department of Commerce, Office of Artificial Intelligence Policy. Office of AI Policy: Doctronic Regulatory Mitigation Agreement. 2026. url: </w:t>
      </w:r>
      <w:hyperlink r:id="rId745">
        <w:r>
          <w:rPr>
            <w:rStyle w:val="Hyperlink"/>
          </w:rPr>
          <w:t xml:space="preserve">https://commerce.utah.gov/ai/regulatory-relief/authorized-ai-pilots/doctronic/</w:t>
        </w:r>
      </w:hyperlink>
      <w:r>
        <w:t xml:space="preserve"> (visited on 08/28/2026); S. Gerke, R. B. Parikh and I. G. Cohen, Utah’s Prescription-Renewal Pilot Program—Autonomous AI Managing Patient Care, 394 New Eng. J. Med. 1561 (2026).</w:t>
      </w:r>
    </w:p>
  </w:footnote>
  <w:footnote w:id="115">
    <w:p>
      <w:pPr>
        <w:pStyle w:val="FootnoteText"/>
        <w:keepLines/>
        <w:wordWrap w:val="off"/>
      </w:pPr>
      <w:bookmarkStart w:id="666" w:name="x1-54009xC"/>
      <w:bookmarkStart w:id="667" w:name="x1-54010"/>
      <w:bookmarkStart w:id="668" w:name="x1-54011"/>
      <w:bookmarkStart w:id="669" w:name="x1-54012"/>
      <w:r>
        <w:rPr>
          <w:rStyle w:val="FootnoteReference"/>
        </w:rPr>
        <w:footnoteRef/>
      </w:r>
      <w:r>
        <w:rPr>
          <w:rFonts w:ascii="Noto Serif CJK SC" w:hAnsi="Noto Serif CJK SC" w:eastAsia="Noto Serif CJK SC" w:cs="Noto Serif CJK SC"/>
          <w:lang w:val="en-US" w:eastAsia="zh-CN"/>
        </w:rP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666"/>
      <w:bookmarkEnd w:id="667"/>
      <w:bookmarkEnd w:id="668"/>
      <w:bookmarkEnd w:id="669"/>
    </w:p>
  </w:footnote>
  <w:footnote w:id="116">
    <w:p>
      <w:pPr>
        <w:pStyle w:val="FootnoteText"/>
        <w:keepLines/>
        <w:wordWrap w:val="off"/>
      </w:pPr>
      <w:bookmarkStart w:id="678" w:name="x1-57002xA"/>
      <w:bookmarkStart w:id="679" w:name="x1-57003"/>
      <w:r>
        <w:rPr>
          <w:rStyle w:val="FootnoteReference"/>
        </w:rPr>
        <w:footnoteRef/>
      </w:r>
      <w:r>
        <w:rPr>
          <w:rFonts w:ascii="Noto Serif CJK SC" w:hAnsi="Noto Serif CJK SC" w:eastAsia="Noto Serif CJK SC" w:cs="Noto Serif CJK SC"/>
          <w:lang w:val="en-US" w:eastAsia="zh-CN"/>
        </w:rPr>
        <w:t xml:space="preserve"> 参见 EU AI Act, Regulation (EU) 2024/1689.</w:t>
      </w:r>
      <w:bookmarkEnd w:id="678"/>
      <w:bookmarkEnd w:id="679"/>
    </w:p>
  </w:footnote>
  <w:footnote w:id="117">
    <w:p>
      <w:pPr>
        <w:pStyle w:val="FootnoteText"/>
        <w:wordWrap w:val="off"/>
      </w:pPr>
      <w:bookmarkStart w:id="682" w:name="x1-57009xA"/>
      <w:bookmarkStart w:id="683" w:name="x1-57010"/>
      <w:bookmarkStart w:id="684" w:name="x1-57011"/>
      <w:bookmarkStart w:id="686" w:name="x1-57012"/>
      <w:bookmarkStart w:id="688" w:name="x1-57013"/>
      <w:r>
        <w:rPr>
          <w:rStyle w:val="FootnoteReference"/>
        </w:rPr>
        <w:footnoteRef/>
      </w:r>
      <w:r>
        <w:rPr>
          <w:rFonts w:ascii="Noto Serif CJK SC" w:hAnsi="Noto Serif CJK SC" w:eastAsia="Noto Serif CJK SC" w:cs="Noto Serif CJK SC"/>
          <w:lang w:val="en-US" w:eastAsia="zh-CN"/>
        </w:rPr>
        <w:t xml:space="preserve"> 参见 National Institute of Standards and Technology, supra note </w:t>
      </w:r>
      <w:hyperlink w:anchor="x1-5010xB">
        <w:r>
          <w:rPr>
            <w:rStyle w:val="Hyperlink"/>
          </w:rPr>
          <w:t xml:space="preserve">11</w:t>
        </w:r>
      </w:hyperlink>
      <w:r>
        <w:t xml:space="preserve">; National Institute of Standards and Technology. Artificial Intelligence Risk Management Framework: Generative Artificial Intelligence Profile. July 2024. url: </w:t>
      </w:r>
      <w:hyperlink r:id="rId685">
        <w:r>
          <w:rPr>
            <w:rStyle w:val="Hyperlink"/>
          </w:rPr>
          <w:t xml:space="preserve">https://nvlpubs.nist.gov/nistpubs/ai/NIST.AI.600-1.pdf</w:t>
        </w:r>
      </w:hyperlink>
      <w:r>
        <w:rPr>
          <w:rFonts w:ascii="Noto Serif CJK SC" w:hAnsi="Noto Serif CJK SC" w:eastAsia="Noto Serif CJK SC" w:cs="Noto Serif CJK SC"/>
          <w:lang w:val="en-US" w:eastAsia="zh-CN"/>
        </w:rPr>
        <w:t xml:space="preserve"> (visited on 0⁠8⁠/⁠2⁠7⁠/⁠2⁠0⁠2⁠6). 联邦管理备忘录对行政机关使用人工智能提出了类似的测试、监测、复核、采购和可移植性要求，但并未创设一般私人权利，也未为私人平台制定规则。参见 Office of Management and Budget. Accelerating Federal Use of AI Through Innovation, Governance, and Public Trust. Apr. 3, 2025. url:  </w:t>
      </w:r>
      <w:hyperlink r:id="rId687">
        <w:r>
          <w:rPr>
            <w:rStyle w:val="Hyperlink"/>
          </w:rPr>
          <w:t xml:space="preserve">https://www.whitehouse.gov/wp-content/uploads/2025/02/M-25-21-Accelerating-Federal-Use-of-AI-through-Innovation-Governance-and-Public-Trust.pdf</w:t>
        </w:r>
      </w:hyperlink>
      <w:r>
        <w:t xml:space="preserve"> (visited on 0⁠8⁠/⁠2⁠7⁠/⁠2⁠0⁠2⁠6); Office of Management and Budget. Driving Efficient Acquisition of Artificial Intelligence in Government. Apr. 3, 2025. url:  </w:t>
      </w:r>
      <w:hyperlink r:id="rId689">
        <w:r>
          <w:rPr>
            <w:rStyle w:val="Hyperlink"/>
          </w:rPr>
          <w:t xml:space="preserve">https://www.whitehouse.gov/wp-content/uploads/2025/02/M-25-22-Driving-Efficient-Acquisition-of-Artificial-Intelligence-in-Government.pdf</w:t>
        </w:r>
      </w:hyperlink>
      <w:r>
        <w:t xml:space="preserve"> (visited on 0⁠8⁠/⁠2⁠7⁠/⁠2⁠0⁠2⁠6).</w:t>
      </w:r>
      <w:bookmarkEnd w:id="682"/>
      <w:bookmarkEnd w:id="683"/>
      <w:bookmarkEnd w:id="684"/>
      <w:bookmarkEnd w:id="686"/>
      <w:bookmarkEnd w:id="688"/>
    </w:p>
  </w:footnote>
  <w:footnote w:id="118">
    <w:p>
      <w:pPr>
        <w:pStyle w:val="FootnoteText"/>
        <w:keepLines/>
        <w:wordWrap w:val="off"/>
      </w:pPr>
      <w:bookmarkStart w:id="695" w:name="x1-59002x1"/>
      <w:bookmarkStart w:id="696" w:name="x1-59003"/>
      <w:r>
        <w:rPr>
          <w:rStyle w:val="FootnoteReference"/>
        </w:rPr>
        <w:footnoteRef/>
      </w:r>
      <w:r>
        <w:rPr>
          <w:rFonts w:ascii="Noto Serif CJK SC" w:hAnsi="Noto Serif CJK SC" w:eastAsia="Noto Serif CJK SC" w:cs="Noto Serif CJK SC"/>
          <w:lang w:val="en-US" w:eastAsia="zh-CN"/>
        </w:rPr>
        <w:t xml:space="preserve"> 参见 Anthropic PBC v. United States Department of War No. 3:26-cv-01996-RFL, Dkt. 250 (N.D. Cal. Aug. 27, 2026)（简易判决裁定）。案件记录并不能证明 Claude 已部署于 Project Maven；因此，本文采用案名和 Anthropic—五角大楼争议这一表述，而不将“Claude—Maven”视为经裁判认定的事实。</w:t>
      </w:r>
      <w:bookmarkEnd w:id="695"/>
      <w:bookmarkEnd w:id="696"/>
    </w:p>
  </w:footnote>
  <w:footnote w:id="119">
    <w:p>
      <w:pPr>
        <w:pStyle w:val="FootnoteText"/>
        <w:keepLines/>
        <w:wordWrap w:val="off"/>
      </w:pPr>
      <w:bookmarkStart w:id="699" w:name="x1-59005x1"/>
      <w:bookmarkStart w:id="700" w:name="x1-59006"/>
      <w:r>
        <w:rPr>
          <w:rStyle w:val="FootnoteReference"/>
        </w:rPr>
        <w:footnoteRef/>
      </w:r>
      <w:r>
        <w:rPr>
          <w:rFonts w:ascii="Noto Serif CJK SC" w:hAnsi="Noto Serif CJK SC" w:eastAsia="Noto Serif CJK SC" w:cs="Noto Serif CJK SC"/>
          <w:lang w:val="en-US" w:eastAsia="zh-CN"/>
        </w:rPr>
        <w:t xml:space="preserve"> 参见 Anthropic PBC v. United States Department of War No. 3:26-cv-01996-RFL, Dkt. 134 (N.D. Cal. Mar. 26, 2026)（初步禁令）。</w:t>
      </w:r>
      <w:bookmarkEnd w:id="699"/>
      <w:bookmarkEnd w:id="700"/>
    </w:p>
  </w:footnote>
  <w:footnote w:id="120">
    <w:p>
      <w:pPr>
        <w:pStyle w:val="FootnoteText"/>
        <w:keepLines/>
        <w:wordWrap w:val="off"/>
      </w:pPr>
      <w:bookmarkStart w:id="703" w:name="x1-59008x1"/>
      <w:bookmarkStart w:id="704" w:name="x1-59009"/>
      <w:bookmarkStart w:id="705" w:name="x1-59010"/>
      <w:bookmarkStart w:id="706" w:name="x1-59011"/>
      <w:r>
        <w:rPr>
          <w:rStyle w:val="FootnoteReference"/>
        </w:rPr>
        <w:footnoteRef/>
      </w:r>
      <w:r>
        <w:rPr>
          <w:rFonts w:ascii="Noto Serif CJK SC" w:hAnsi="Noto Serif CJK SC" w:eastAsia="Noto Serif CJK SC" w:cs="Noto Serif CJK SC"/>
          <w:lang w:val="en-US" w:eastAsia="zh-CN"/>
        </w:rPr>
        <w:t xml:space="preserve"> 参见 Anthropic Merits Order No. 3:26-cv-01996-RFL, Dkt. 250; Anthropic PBC v. United States Department of War No. 3:26-cv-01996-RFL, Dkt. 251–252 (N.D. Cal. Aug. 27, 2026)（撤销令、永久禁令和判决文件）。这是可以上诉的地区法院判决，而非终局上诉裁判；截至本文所载日期，该判决仍可能接受上诉审查。哥伦比亚特区巡回上诉法院另有一项涉及 41 U.S.C. sections 4713 and 1327 的程序，提出了不同的制定法和程序问题；该院2026年4月就紧急中止申请所作的裁定并未处理实体问题。参见 Anthropic PBC v. United States Department of War No. 26-1049 (D.C. Cir. Apr. 8, 2026)（驳回紧急中止申请并加速实体审查的命令）。</w:t>
      </w:r>
      <w:bookmarkEnd w:id="703"/>
      <w:bookmarkEnd w:id="704"/>
      <w:bookmarkEnd w:id="705"/>
      <w:bookmarkEnd w:id="706"/>
    </w:p>
  </w:footnote>
  <w:footnote w:id="121">
    <w:p>
      <w:pPr>
        <w:pStyle w:val="FootnoteText"/>
        <w:keepLines/>
        <w:wordWrap w:val="off"/>
      </w:pPr>
      <w:bookmarkStart w:id="709" w:name="x1-59013x1"/>
      <w:bookmarkStart w:id="710" w:name="x1-59014"/>
      <w:bookmarkStart w:id="711" w:name="x1-59015"/>
      <w:r>
        <w:rPr>
          <w:rStyle w:val="FootnoteReference"/>
        </w:rPr>
        <w:footnoteRef/>
      </w:r>
      <w:r>
        <w:rPr>
          <w:rFonts w:ascii="Noto Serif CJK SC" w:hAnsi="Noto Serif CJK SC" w:eastAsia="Noto Serif CJK SC" w:cs="Noto Serif CJK SC"/>
          <w:lang w:val="en-US" w:eastAsia="zh-CN"/>
        </w:rPr>
        <w:t xml:space="preserve"> 参见 Board of County Commissioners v. Umbehr, 518 U.S. 668 (U.S. 1996); O’Hare Truck Service, Inc. v. City of Northlake, 518 U.S. 712 (U.S. 1996).</w:t>
      </w:r>
      <w:bookmarkEnd w:id="709"/>
      <w:bookmarkEnd w:id="710"/>
      <w:bookmarkEnd w:id="711"/>
    </w:p>
  </w:footnote>
  <w:footnote w:id="122">
    <w:p>
      <w:pPr>
        <w:pStyle w:val="FootnoteText"/>
        <w:keepLines/>
        <w:wordWrap w:val="off"/>
      </w:pPr>
      <w:bookmarkStart w:id="714" w:name="x1-59017x1"/>
      <w:bookmarkStart w:id="715" w:name="x1-59018"/>
      <w:bookmarkStart w:id="716" w:name="x1-59019"/>
      <w:r>
        <w:rPr>
          <w:rStyle w:val="FootnoteReference"/>
        </w:rPr>
        <w:footnoteRef/>
      </w:r>
      <w:r>
        <w:rPr>
          <w:rFonts w:ascii="Noto Serif CJK SC" w:hAnsi="Noto Serif CJK SC" w:eastAsia="Noto Serif CJK SC" w:cs="Noto Serif CJK SC"/>
          <w:lang w:val="en-US" w:eastAsia="zh-CN"/>
        </w:rPr>
        <w:t xml:space="preserve"> 参见 Perry v. Sindermann, 408 U.S. 593 (U.S. 1972); Agency for International Development v. Alliance for Open Society International, Inc. 570 U.S. 2⁠0⁠5 (U.S. 2013). 本文将违宪条件原则作为分析桥梁；地区法院的最终裁判则直接以报复、正当程序和《行政程序法》为依据。</w:t>
      </w:r>
      <w:bookmarkEnd w:id="714"/>
      <w:bookmarkEnd w:id="715"/>
      <w:bookmarkEnd w:id="716"/>
    </w:p>
  </w:footnote>
  <w:footnote w:id="123">
    <w:p>
      <w:pPr>
        <w:pStyle w:val="FootnoteText"/>
        <w:keepLines/>
        <w:wordWrap w:val="off"/>
      </w:pPr>
      <w:bookmarkStart w:id="728" w:name="x1-61002x"/>
      <w:bookmarkStart w:id="729" w:name="x1-61003"/>
      <w:bookmarkStart w:id="731" w:name="x1-61002xdoc"/>
      <w:r>
        <w:rPr>
          <w:rStyle w:val="FootnoteReference"/>
        </w:rPr>
        <w:footnoteRef/>
      </w:r>
      <w:r>
        <w:rPr>
          <w:rFonts w:ascii="Noto Serif CJK SC" w:hAnsi="Noto Serif CJK SC" w:eastAsia="Noto Serif CJK SC" w:cs="Noto Serif CJK SC"/>
          <w:lang w:val="en-US" w:eastAsia="zh-CN"/>
        </w:rPr>
        <w:t xml:space="preserve"> 参见 Shanghai Qiaowen Law Firm. AI Labeling Duties: Adjudicative Boundaries and Compliance G⁠u⁠i⁠d⁠a⁠n⁠c⁠e Based on Two Cases. 2026. url: </w:t>
      </w:r>
      <w:hyperlink r:id="rId730">
        <w:r>
          <w:rPr>
            <w:rStyle w:val="Hyperlink"/>
          </w:rPr>
          <w:t xml:space="preserve">https://www.qiaowen.com/cn/details/0803/166cac21f6bf434e</w:t>
        </w:r>
      </w:hyperlink>
      <w:r>
        <w:t xml:space="preserve"> (visited on 08/28/2026).</w:t>
      </w:r>
      <w:bookmarkEnd w:id="728"/>
      <w:bookmarkEnd w:id="729"/>
      <w:bookmarkEnd w:id="731"/>
    </w:p>
  </w:footnote>
  <w:footnote w:id="124">
    <w:p>
      <w:pPr>
        <w:pStyle w:val="FootnoteText"/>
        <w:keepLines/>
        <w:wordWrap w:val="off"/>
      </w:pPr>
      <w:bookmarkStart w:id="734" w:name="x1-61005x"/>
      <w:bookmarkStart w:id="735" w:name="x1-61006"/>
      <w:bookmarkStart w:id="736" w:name="x1-61007"/>
      <w:bookmarkStart w:id="738" w:name="x1-61005xdoc"/>
      <w:r>
        <w:rPr>
          <w:rStyle w:val="FootnoteReference"/>
        </w:rPr>
        <w:footnoteRef/>
      </w:r>
      <w:r>
        <w:rPr>
          <w:rFonts w:ascii="Noto Serif CJK SC" w:hAnsi="Noto Serif CJK SC" w:eastAsia="Noto Serif CJK SC" w:cs="Noto Serif CJK SC"/>
          <w:lang w:val="en-US" w:eastAsia="zh-CN"/>
        </w:rPr>
        <w:t xml:space="preserve"> 参见 Le, supra note </w:t>
      </w:r>
      <w:hyperlink w:anchor="x1-4007xA">
        <w:r>
          <w:rPr>
            <w:rStyle w:val="Hyperlink"/>
          </w:rPr>
          <w:t xml:space="preserve">8</w:t>
        </w:r>
      </w:hyperlink>
      <w:r>
        <w:t xml:space="preserve">; Supreme People’s Court Intellectual Property Court. Head of the Drafting Group Interprets the Supreme People’s Court Work Report. Mar. 10, 2026. url: </w:t>
      </w:r>
      <w:hyperlink r:id="rId737">
        <w:r>
          <w:rPr>
            <w:rStyle w:val="Hyperlink"/>
          </w:rPr>
          <w:t xml:space="preserve">https://ipc.court.gov.cn/zh-cn/news/view-5447.html</w:t>
        </w:r>
      </w:hyperlink>
      <w:r>
        <w:t xml:space="preserve"> (visited on 08/28/2026).</w:t>
      </w:r>
      <w:bookmarkEnd w:id="734"/>
      <w:bookmarkEnd w:id="735"/>
      <w:bookmarkEnd w:id="736"/>
      <w:bookmarkEnd w:id="738"/>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pos w:val="pageBottom"/>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eastAsia="Noto Serif CJK SC" w:ascii="Noto Serif CJK SC" w:hAnsi="Noto Serif CJK SC" w:cs="Noto Serif CJK SC"/>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Noto Serif CJK SC" w:ascii="Noto Serif CJK SC" w:hAnsi="Noto Serif CJK SC" w:cs="Noto Serif CJK SC"/>
      <w:lang w:eastAsia="zh-CN" w:val="en-US"/>
    </w:rPr>
  </w:style>
  <w:style w:styleId="BodyText" w:type="paragraph">
    <w:name w:val="Body Text"/>
    <w:basedOn w:val="Normal"/>
    <w:link w:val="BodyTextChar"/>
    <w:qFormat/>
    <w:pPr>
      <w:spacing w:after="180" w:before="180"/>
    </w:pPr>
    <w:rPr>
      <w:rFonts w:eastAsia="Noto Serif CJK SC" w:ascii="Noto Serif CJK SC" w:hAnsi="Noto Serif CJK SC" w:cs="Noto Serif CJK SC"/>
      <w:lang w:eastAsia="zh-CN" w:val="en-US"/>
    </w:rPr>
  </w:style>
  <w:style w:customStyle="1" w:styleId="FirstParagraph" w:type="paragraph">
    <w:name w:val="First Paragraph"/>
    <w:basedOn w:val="BodyText"/>
    <w:next w:val="BodyText"/>
    <w:qFormat/>
    <w:rPr>
      <w:rFonts w:eastAsia="Noto Serif CJK SC" w:ascii="Noto Serif CJK SC" w:hAnsi="Noto Serif CJK SC" w:cs="Noto Serif CJK SC"/>
      <w:lang w:eastAsia="zh-CN" w:val="en-US"/>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eastAsia="Noto Sans CJK SC" w:ascii="Noto Sans CJK SC" w:hAnsi="Noto Sans CJK SC" w:cs="Noto Sans CJK SC"/>
      <w:sz w:val="56"/>
      <w:szCs w:val="56"/>
      <w:lang w:eastAsia="zh-CN" w:val="en-US"/>
    </w:rPr>
  </w:style>
  <w:style w:customStyle="1" w:styleId="TitleChar" w:type="character">
    <w:name w:val="Title Char"/>
    <w:basedOn w:val="DefaultParagraphFont"/>
    <w:link w:val="Title"/>
    <w:uiPriority w:val="10"/>
    <w:rsid w:val="00A10FD9"/>
    <w:rPr>
      <w:rFonts w:eastAsia="Noto Sans CJK SC" w:ascii="Noto Sans CJK SC" w:hAnsi="Noto Sans CJK SC" w:cs="Noto Sans CJK SC"/>
      <w:sz w:val="56"/>
      <w:szCs w:val="56"/>
      <w:lang w:eastAsia="zh-CN" w:val="en-US"/>
    </w:rPr>
  </w:style>
  <w:style w:styleId="Subtitle" w:type="paragraph">
    <w:name w:val="Subtitle"/>
    <w:basedOn w:val="Title"/>
    <w:next w:val="BodyText"/>
    <w:link w:val="SubtitleChar"/>
    <w:uiPriority w:val="11"/>
    <w:qFormat/>
    <w:rsid w:val="00A10FD9"/>
    <w:pPr>
      <w:numPr>
        <w:ilvl w:val="1"/>
      </w:numPr>
    </w:pPr>
    <w:rPr>
      <w:rFonts w:eastAsia="Noto Sans CJK SC" w:ascii="Noto Sans CJK SC" w:hAnsi="Noto Sans CJK SC" w:cs="Noto Sans CJK SC"/>
      <w:spacing w:val="15"/>
      <w:sz w:val="28"/>
      <w:szCs w:val="28"/>
      <w:lang w:eastAsia="zh-CN" w:val="en-US"/>
    </w:rPr>
  </w:style>
  <w:style w:customStyle="1" w:styleId="SubtitleChar" w:type="character">
    <w:name w:val="Subtitle Char"/>
    <w:basedOn w:val="DefaultParagraphFont"/>
    <w:link w:val="Subtitle"/>
    <w:uiPriority w:val="11"/>
    <w:rsid w:val="00A10FD9"/>
    <w:rPr>
      <w:rFonts w:eastAsia="Noto Sans CJK SC" w:ascii="Noto Sans CJK SC" w:hAnsi="Noto Sans CJK SC" w:cs="Noto Sans CJK SC"/>
      <w:color w:themeColor="text1" w:themeTint="A6" w:val="595959"/>
      <w:spacing w:val="15"/>
      <w:sz w:val="28"/>
      <w:szCs w:val="28"/>
      <w:lang w:eastAsia="zh-CN" w:val="en-US"/>
    </w:rPr>
  </w:style>
  <w:style w:customStyle="1" w:styleId="Author" w:type="paragraph">
    <w:name w:val="Author"/>
    <w:basedOn w:val="Title"/>
    <w:next w:val="BodyText"/>
    <w:qFormat/>
    <w:pPr>
      <w:keepNext/>
      <w:keepLines/>
    </w:pPr>
    <w:rPr>
      <w:rFonts w:ascii="Noto Serif CJK SC" w:hAnsi="Noto Serif CJK SC" w:eastAsia="Noto Serif CJK SC" w:cs="Noto Serif CJK SC"/>
      <w:sz w:val="24"/>
      <w:szCs w:val="24"/>
      <w:lang w:val="en-US" w:eastAsia="zh-CN"/>
    </w:rPr>
  </w:style>
  <w:style w:styleId="Date" w:type="paragraph">
    <w:name w:val="Date"/>
    <w:basedOn w:val="Title"/>
    <w:next w:val="BodyText"/>
    <w:qFormat/>
    <w:pPr>
      <w:keepNext/>
      <w:keepLines/>
    </w:pPr>
    <w:rPr>
      <w:rFonts w:ascii="Noto Serif CJK SC" w:hAnsi="Noto Serif CJK SC" w:eastAsia="Noto Serif CJK SC" w:cs="Noto Serif CJK SC"/>
      <w:sz w:val="24"/>
      <w:szCs w:val="24"/>
      <w:lang w:val="en-US" w:eastAsia="zh-CN"/>
    </w:rPr>
  </w:style>
  <w:style w:customStyle="1" w:styleId="AbstractTitle" w:type="paragraph">
    <w:name w:val="Abstract Title"/>
    <w:basedOn w:val="Normal"/>
    <w:next w:val="Abstract"/>
    <w:qFormat/>
    <w:pPr>
      <w:keepNext/>
      <w:keepLines/>
      <w:spacing w:after="0" w:before="300"/>
      <w:jc w:val="center"/>
    </w:pPr>
    <w:rPr>
      <w:rFonts w:ascii="Noto Serif CJK SC" w:hAnsi="Noto Serif CJK SC" w:eastAsia="Noto Serif CJK SC" w:cs="Noto Serif CJK SC"/>
      <w:b/>
      <w:sz w:val="20"/>
      <w:szCs w:val="20"/>
      <w:lang w:val="en-US" w:eastAsia="zh-CN"/>
    </w:rPr>
  </w:style>
  <w:style w:customStyle="1" w:styleId="Abstract" w:type="paragraph">
    <w:name w:val="Abstract"/>
    <w:basedOn w:val="Normal"/>
    <w:next w:val="BodyText"/>
    <w:qFormat/>
    <w:pPr>
      <w:keepNext/>
      <w:keepLines/>
      <w:spacing w:after="300" w:before="100"/>
    </w:pPr>
    <w:rPr>
      <w:rFonts w:ascii="Noto Serif CJK SC" w:hAnsi="Noto Serif CJK SC" w:eastAsia="Noto Serif CJK SC" w:cs="Noto Serif CJK SC"/>
      <w:sz w:val="20"/>
      <w:szCs w:val="20"/>
      <w:lang w:val="en-US" w:eastAsia="zh-CN"/>
    </w:rPr>
  </w:style>
  <w:style w:styleId="Bibliography" w:type="paragraph">
    <w:name w:val="Bibliography"/>
    <w:basedOn w:val="Normal"/>
    <w:next w:val="Bibliography"/>
    <w:qFormat/>
    <w:pPr/>
    <w:rPr>
      <w:rFonts w:ascii="Noto Serif CJK SC" w:hAnsi="Noto Serif CJK SC" w:eastAsia="Noto Serif CJK SC" w:cs="Noto Serif CJK SC"/>
      <w:lang w:val="en-US" w:eastAsia="zh-CN"/>
    </w:rPr>
  </w:style>
  <w:style w:styleId="Heading1" w:type="paragraph">
    <w:name w:val="heading 1"/>
    <w:basedOn w:val="Normal"/>
    <w:next w:val="BodyText"/>
    <w:link w:val="Heading1Char"/>
    <w:uiPriority w:val="9"/>
    <w:qFormat/>
    <w:rsid w:val="00A10FD9"/>
    <w:pPr>
      <w:keepNext/>
      <w:keepLines/>
      <w:spacing w:after="80" w:before="360"/>
      <w:outlineLvl w:val="0"/>
    </w:pPr>
    <w:rPr>
      <w:rFonts w:eastAsia="Noto Sans CJK SC" w:ascii="Noto Sans CJK SC" w:hAnsi="Noto Sans CJK SC" w:cs="Noto Sans CJK SC"/>
      <w:color w:themeColor="accent1" w:themeShade="BF" w:val="0F4761"/>
      <w:sz w:val="40"/>
      <w:szCs w:val="40"/>
      <w:lang w:eastAsia="zh-CN" w:val="en-U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eastAsia="Noto Sans CJK SC" w:ascii="Noto Sans CJK SC" w:hAnsi="Noto Sans CJK SC" w:cs="Noto Sans CJK SC"/>
      <w:color w:themeColor="accent1" w:themeShade="BF" w:val="0F4761"/>
      <w:sz w:val="32"/>
      <w:szCs w:val="32"/>
      <w:lang w:eastAsia="zh-CN" w:val="en-U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eastAsia="Noto Sans CJK SC" w:ascii="Noto Sans CJK SC" w:hAnsi="Noto Sans CJK SC" w:cs="Noto Sans CJK SC"/>
      <w:color w:themeColor="accent1" w:themeShade="BF" w:val="0F4761"/>
      <w:sz w:val="28"/>
      <w:szCs w:val="28"/>
      <w:lang w:eastAsia="zh-CN" w:val="en-U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eastAsia="Noto Sans CJK SC" w:ascii="Noto Sans CJK SC" w:hAnsi="Noto Sans CJK SC" w:cs="Noto Sans CJK SC"/>
      <w:i/>
      <w:iCs/>
      <w:color w:themeColor="accent1" w:themeShade="BF" w:val="0F4761"/>
      <w:lang w:eastAsia="zh-CN" w:val="en-U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eastAsia="Noto Sans CJK SC" w:ascii="Noto Sans CJK SC" w:hAnsi="Noto Sans CJK SC" w:cs="Noto Sans CJK SC"/>
      <w:color w:themeColor="accent1" w:themeShade="BF" w:val="0F4761"/>
      <w:lang w:eastAsia="zh-CN" w:val="en-U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Noto Sans CJK SC" w:hAnsi="Noto Sans CJK SC" w:eastAsia="Noto Sans CJK SC" w:cs="Noto Sans CJK SC"/>
      <w:i/>
      <w:iCs/>
      <w:color w:themeColor="text1" w:themeTint="A6" w:val="595959"/>
      <w:lang w:val="en-US" w:eastAsia="zh-CN"/>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Noto Sans CJK SC" w:hAnsi="Noto Sans CJK SC" w:eastAsia="Noto Sans CJK SC" w:cs="Noto Sans CJK SC"/>
      <w:color w:themeColor="text1" w:themeTint="A6" w:val="595959"/>
      <w:lang w:val="en-US" w:eastAsia="zh-C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Noto Sans CJK SC" w:hAnsi="Noto Sans CJK SC" w:eastAsia="Noto Sans CJK SC" w:cs="Noto Sans CJK SC"/>
      <w:i/>
      <w:iCs/>
      <w:color w:themeColor="text1" w:themeTint="D8" w:val="272727"/>
      <w:lang w:val="en-US" w:eastAsia="zh-CN"/>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Noto Sans CJK SC" w:hAnsi="Noto Sans CJK SC" w:eastAsia="Noto Sans CJK SC" w:cs="Noto Sans CJK SC"/>
      <w:color w:themeColor="text1" w:themeTint="D8" w:val="272727"/>
      <w:lang w:val="en-US" w:eastAsia="zh-CN"/>
    </w:rPr>
  </w:style>
  <w:style w:customStyle="1" w:styleId="Heading1Char" w:type="character">
    <w:name w:val="Heading 1 Char"/>
    <w:basedOn w:val="DefaultParagraphFont"/>
    <w:link w:val="Heading1"/>
    <w:uiPriority w:val="9"/>
    <w:rsid w:val="00A10FD9"/>
    <w:rPr>
      <w:rFonts w:eastAsia="Noto Sans CJK SC" w:ascii="Noto Sans CJK SC" w:hAnsi="Noto Sans CJK SC" w:cs="Noto Sans CJK SC"/>
      <w:color w:themeColor="accent1" w:themeShade="BF" w:val="0F4761"/>
      <w:sz w:val="40"/>
      <w:szCs w:val="40"/>
      <w:lang w:eastAsia="zh-CN" w:val="en-US"/>
    </w:rPr>
  </w:style>
  <w:style w:customStyle="1" w:styleId="Heading2Char" w:type="character">
    <w:name w:val="Heading 2 Char"/>
    <w:basedOn w:val="DefaultParagraphFont"/>
    <w:link w:val="Heading2"/>
    <w:uiPriority w:val="9"/>
    <w:semiHidden/>
    <w:rsid w:val="00A10FD9"/>
    <w:rPr>
      <w:rFonts w:eastAsia="Noto Sans CJK SC" w:ascii="Noto Sans CJK SC" w:hAnsi="Noto Sans CJK SC" w:cs="Noto Sans CJK SC"/>
      <w:color w:themeColor="accent1" w:themeShade="BF" w:val="0F4761"/>
      <w:sz w:val="32"/>
      <w:szCs w:val="32"/>
      <w:lang w:eastAsia="zh-CN" w:val="en-US"/>
    </w:rPr>
  </w:style>
  <w:style w:customStyle="1" w:styleId="Heading3Char" w:type="character">
    <w:name w:val="Heading 3 Char"/>
    <w:basedOn w:val="DefaultParagraphFont"/>
    <w:link w:val="Heading3"/>
    <w:uiPriority w:val="9"/>
    <w:semiHidden/>
    <w:rsid w:val="00A10FD9"/>
    <w:rPr>
      <w:rFonts w:eastAsia="Noto Sans CJK SC" w:ascii="Noto Sans CJK SC" w:hAnsi="Noto Sans CJK SC" w:cs="Noto Sans CJK SC"/>
      <w:color w:themeColor="accent1" w:themeShade="BF" w:val="0F4761"/>
      <w:sz w:val="28"/>
      <w:szCs w:val="28"/>
      <w:lang w:eastAsia="zh-CN" w:val="en-US"/>
    </w:rPr>
  </w:style>
  <w:style w:customStyle="1" w:styleId="Heading4Char" w:type="character">
    <w:name w:val="Heading 4 Char"/>
    <w:basedOn w:val="DefaultParagraphFont"/>
    <w:link w:val="Heading4"/>
    <w:uiPriority w:val="9"/>
    <w:semiHidden/>
    <w:rsid w:val="00A10FD9"/>
    <w:rPr>
      <w:rFonts w:eastAsia="Noto Sans CJK SC" w:ascii="Noto Sans CJK SC" w:hAnsi="Noto Sans CJK SC" w:cs="Noto Sans CJK SC"/>
      <w:i/>
      <w:iCs/>
      <w:color w:themeColor="accent1" w:themeShade="BF" w:val="0F4761"/>
      <w:lang w:eastAsia="zh-CN" w:val="en-US"/>
    </w:rPr>
  </w:style>
  <w:style w:customStyle="1" w:styleId="Heading5Char" w:type="character">
    <w:name w:val="Heading 5 Char"/>
    <w:basedOn w:val="DefaultParagraphFont"/>
    <w:link w:val="Heading5"/>
    <w:uiPriority w:val="9"/>
    <w:semiHidden/>
    <w:rsid w:val="00A10FD9"/>
    <w:rPr>
      <w:rFonts w:eastAsia="Noto Sans CJK SC" w:ascii="Noto Sans CJK SC" w:hAnsi="Noto Sans CJK SC" w:cs="Noto Sans CJK SC"/>
      <w:color w:themeColor="accent1" w:themeShade="BF" w:val="0F4761"/>
      <w:lang w:eastAsia="zh-CN" w:val="en-US"/>
    </w:rPr>
  </w:style>
  <w:style w:customStyle="1" w:styleId="Heading6Char" w:type="character">
    <w:name w:val="Heading 6 Char"/>
    <w:basedOn w:val="DefaultParagraphFont"/>
    <w:link w:val="Heading6"/>
    <w:uiPriority w:val="9"/>
    <w:semiHidden/>
    <w:rsid w:val="00A10FD9"/>
    <w:rPr>
      <w:rFonts w:ascii="Noto Sans CJK SC" w:hAnsi="Noto Sans CJK SC" w:eastAsia="Noto Sans CJK SC" w:cs="Noto Sans CJK SC"/>
      <w:i/>
      <w:iCs/>
      <w:color w:themeColor="text1" w:themeTint="A6" w:val="595959"/>
      <w:lang w:val="en-US" w:eastAsia="zh-CN"/>
    </w:rPr>
  </w:style>
  <w:style w:customStyle="1" w:styleId="Heading7Char" w:type="character">
    <w:name w:val="Heading 7 Char"/>
    <w:basedOn w:val="DefaultParagraphFont"/>
    <w:link w:val="Heading7"/>
    <w:uiPriority w:val="9"/>
    <w:semiHidden/>
    <w:rsid w:val="00A10FD9"/>
    <w:rPr>
      <w:rFonts w:ascii="Noto Sans CJK SC" w:hAnsi="Noto Sans CJK SC" w:eastAsia="Noto Sans CJK SC" w:cs="Noto Sans CJK SC"/>
      <w:color w:themeColor="text1" w:themeTint="A6" w:val="595959"/>
      <w:lang w:val="en-US" w:eastAsia="zh-CN"/>
    </w:rPr>
  </w:style>
  <w:style w:customStyle="1" w:styleId="Heading8Char" w:type="character">
    <w:name w:val="Heading 8 Char"/>
    <w:basedOn w:val="DefaultParagraphFont"/>
    <w:link w:val="Heading8"/>
    <w:uiPriority w:val="9"/>
    <w:semiHidden/>
    <w:rsid w:val="00A10FD9"/>
    <w:rPr>
      <w:rFonts w:ascii="Noto Sans CJK SC" w:hAnsi="Noto Sans CJK SC" w:eastAsia="Noto Sans CJK SC" w:cs="Noto Sans CJK SC"/>
      <w:i/>
      <w:iCs/>
      <w:color w:themeColor="text1" w:themeTint="D8" w:val="272727"/>
      <w:lang w:val="en-US" w:eastAsia="zh-CN"/>
    </w:rPr>
  </w:style>
  <w:style w:customStyle="1" w:styleId="Heading9Char" w:type="character">
    <w:name w:val="Heading 9 Char"/>
    <w:basedOn w:val="DefaultParagraphFont"/>
    <w:link w:val="Heading9"/>
    <w:uiPriority w:val="9"/>
    <w:semiHidden/>
    <w:rsid w:val="00A10FD9"/>
    <w:rPr>
      <w:rFonts w:ascii="Noto Sans CJK SC" w:hAnsi="Noto Sans CJK SC" w:eastAsia="Noto Sans CJK SC" w:cs="Noto Sans CJK SC"/>
      <w:color w:themeColor="text1" w:themeTint="D8" w:val="272727"/>
      <w:lang w:val="en-US" w:eastAsia="zh-CN"/>
    </w:rPr>
  </w:style>
  <w:style w:styleId="BlockText" w:type="paragraph">
    <w:name w:val="Block Text"/>
    <w:basedOn w:val="BodyText"/>
    <w:next w:val="BodyText"/>
    <w:uiPriority w:val="9"/>
    <w:unhideWhenUsed/>
    <w:qFormat/>
    <w:pPr>
      <w:spacing w:after="100" w:before="100"/>
      <w:ind w:firstLine="0" w:left="480" w:right="480"/>
    </w:pPr>
    <w:rPr>
      <w:rFonts w:eastAsia="Noto Serif CJK SC" w:ascii="Noto Serif CJK SC" w:hAnsi="Noto Serif CJK SC" w:cs="Noto Serif CJK SC"/>
      <w:lang w:eastAsia="zh-CN" w:val="en-US"/>
    </w:rPr>
  </w:style>
  <w:style w:styleId="FootnoteText" w:type="paragraph">
    <w:name w:val="Footnote Text"/>
    <w:basedOn w:val="Normal"/>
    <w:next w:val="FootnoteText"/>
    <w:uiPriority w:val="9"/>
    <w:unhideWhenUsed/>
    <w:qFormat/>
    <w:rPr>
      <w:rFonts w:eastAsia="Noto Serif CJK SC" w:ascii="Noto Serif CJK SC" w:hAnsi="Noto Serif CJK SC" w:cs="Noto Serif CJK SC"/>
      <w:sz w:val="20"/>
      <w:szCs w:val="20"/>
      <w:lang w:eastAsia="zh-CN" w:val="en-US"/>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eastAsia="Noto Serif CJK SC" w:ascii="Noto Serif CJK SC" w:hAnsi="Noto Serif CJK SC" w:cs="Noto Serif CJK SC"/>
      <w:lang w:eastAsia="zh-CN" w:val="en-US"/>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eastAsia="Noto Serif CJK SC" w:ascii="Noto Serif CJK SC" w:hAnsi="Noto Serif CJK SC" w:cs="Noto Serif CJK SC"/>
      <w:b/>
      <w:lang w:eastAsia="zh-CN" w:val="en-US"/>
    </w:rPr>
  </w:style>
  <w:style w:customStyle="1" w:styleId="Definition" w:type="paragraph">
    <w:name w:val="Definition"/>
    <w:basedOn w:val="Normal"/>
    <w:rPr>
      <w:rFonts w:eastAsia="Noto Serif CJK SC" w:ascii="Noto Serif CJK SC" w:hAnsi="Noto Serif CJK SC" w:cs="Noto Serif CJK SC"/>
      <w:sz w:val="21"/>
      <w:szCs w:val="21"/>
      <w:lang w:eastAsia="zh-CN" w:val="en-US"/>
    </w:rPr>
    <w:pPr>
      <w:spacing w:after="80" w:line="240" w:lineRule="auto"/>
    </w:pPr>
  </w:style>
  <w:style w:styleId="Caption" w:type="paragraph">
    <w:name w:val="Caption"/>
    <w:basedOn w:val="Normal"/>
    <w:link w:val="BodyTextChar"/>
    <w:pPr>
      <w:spacing w:after="120" w:before="0"/>
    </w:pPr>
    <w:rPr>
      <w:rFonts w:eastAsia="Noto Serif CJK SC" w:ascii="Noto Serif CJK SC" w:hAnsi="Noto Serif CJK SC" w:cs="Noto Serif CJK SC"/>
      <w:i/>
      <w:lang w:eastAsia="zh-CN" w:val="en-US"/>
    </w:rPr>
  </w:style>
  <w:style w:customStyle="1" w:styleId="TableCaption" w:type="paragraph">
    <w:name w:val="Table Caption"/>
    <w:basedOn w:val="Caption"/>
    <w:pPr>
      <w:keepNext/>
    </w:pPr>
    <w:rPr>
      <w:rFonts w:eastAsia="Noto Serif CJK SC" w:ascii="Noto Serif CJK SC" w:hAnsi="Noto Serif CJK SC" w:cs="Noto Serif CJK SC"/>
      <w:lang w:eastAsia="zh-CN" w:val="en-US"/>
    </w:rPr>
  </w:style>
  <w:style w:customStyle="1" w:styleId="ImageCaption" w:type="paragraph">
    <w:name w:val="Image Caption"/>
    <w:basedOn w:val="Caption"/>
    <w:rPr>
      <w:rFonts w:eastAsia="Noto Serif CJK SC" w:ascii="Noto Serif CJK SC" w:hAnsi="Noto Serif CJK SC" w:cs="Noto Serif CJK SC"/>
      <w:lang w:eastAsia="zh-CN" w:val="en-US"/>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eastAsia="Noto Serif CJK SC" w:ascii="Noto Serif CJK SC" w:hAnsi="Noto Serif CJK SC" w:cs="Noto Serif CJK SC"/>
      <w:lang w:eastAsia="zh-CN" w:val="en-US"/>
    </w:rPr>
  </w:style>
  <w:style w:customStyle="1" w:styleId="VerbatimChar" w:type="character">
    <w:name w:val="Verbatim Char"/>
    <w:basedOn w:val="BodyTextChar"/>
    <w:rPr>
      <w:rFonts w:ascii="Noto Serif CJK SC" w:hAnsi="Noto Serif CJK SC" w:eastAsia="Noto Serif CJK SC" w:cs="Noto Serif CJK SC"/>
      <w:sz w:val="22"/>
      <w:lang w:val="en-US" w:eastAsia="zh-CN"/>
    </w:rPr>
  </w:style>
  <w:style w:customStyle="1" w:styleId="SectionNumber" w:type="character">
    <w:name w:val="Section Number"/>
    <w:basedOn w:val="BodyTextChar"/>
  </w:style>
  <w:style w:styleId="FootnoteReference" w:type="character">
    <w:name w:val="Footnote Reference"/>
    <w:basedOn w:val="BodyTextChar"/>
    <w:rPr>
      <w:rFonts w:eastAsia="Noto Serif CJK SC" w:ascii="Noto Serif CJK SC" w:hAnsi="Noto Serif CJK SC" w:cs="Noto Serif CJK SC"/>
      <w:vertAlign w:val="superscript"/>
      <w:lang w:eastAsia="zh-CN" w:val="en-US"/>
    </w:rPr>
  </w:style>
  <w:style w:styleId="Hyperlink" w:type="character">
    <w:name w:val="Hyperlink"/>
    <w:basedOn w:val="BodyTextChar"/>
    <w:rPr>
      <w:rFonts w:eastAsia="Noto Serif CJK SC" w:ascii="Noto Serif CJK SC" w:hAnsi="Noto Serif CJK SC" w:cs="Noto Serif CJK SC"/>
      <w:color w:themeColor="accent1" w:val="4F81BD"/>
      <w:lang w:eastAsia="zh-CN" w:val="en-US"/>
    </w:rPr>
  </w:style>
  <w:style w:styleId="TOCHeading" w:type="paragraph">
    <w:name w:val="TOC Heading"/>
    <w:basedOn w:val="Heading1"/>
    <w:next w:val="BodyText"/>
    <w:uiPriority w:val="39"/>
    <w:unhideWhenUsed/>
    <w:qFormat/>
    <w:pPr>
      <w:spacing w:before="240" w:line="259" w:lineRule="auto"/>
      <w:outlineLvl w:val="9"/>
    </w:pPr>
    <w:rPr>
      <w:rFonts w:ascii="Noto Serif CJK SC" w:hAnsi="Noto Serif CJK SC" w:eastAsia="Noto Serif CJK SC" w:cs="Noto Serif CJK SC"/>
      <w:b w:val="0"/>
      <w:bCs w:val="0"/>
      <w:color w:themeColor="accent1" w:themeShade="BF" w:val="365F91"/>
      <w:lang w:val="en-US" w:eastAsia="zh-CN"/>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Noto Serif CJK SC" w:hAnsi="Noto Serif CJK SC" w:eastAsia="Noto Serif CJK SC" w:cs="Noto Serif CJK SC"/>
      <w:b/>
      <w:color w:val="007020"/>
      <w:lang w:val="en-US" w:eastAsia="zh-CN"/>
    </w:rPr>
  </w:style>
  <w:style w:type="character" w:customStyle="1" w:styleId="DataTypeTok">
    <w:name w:val="DataTypeTok"/>
    <w:basedOn w:val="VerbatimChar"/>
    <w:rPr>
      <w:rFonts w:ascii="Noto Serif CJK SC" w:hAnsi="Noto Serif CJK SC" w:eastAsia="Noto Serif CJK SC" w:cs="Noto Serif CJK SC"/>
      <w:color w:val="902000"/>
      <w:lang w:val="en-US" w:eastAsia="zh-CN"/>
    </w:rPr>
  </w:style>
  <w:style w:type="character" w:customStyle="1" w:styleId="DecValTok">
    <w:name w:val="DecValTok"/>
    <w:basedOn w:val="VerbatimChar"/>
    <w:rPr>
      <w:rFonts w:ascii="Noto Serif CJK SC" w:hAnsi="Noto Serif CJK SC" w:eastAsia="Noto Serif CJK SC" w:cs="Noto Serif CJK SC"/>
      <w:color w:val="40a070"/>
      <w:lang w:val="en-US" w:eastAsia="zh-CN"/>
    </w:rPr>
  </w:style>
  <w:style w:type="character" w:customStyle="1" w:styleId="BaseNTok">
    <w:name w:val="BaseNTok"/>
    <w:basedOn w:val="VerbatimChar"/>
    <w:rPr>
      <w:rFonts w:ascii="Noto Serif CJK SC" w:hAnsi="Noto Serif CJK SC" w:eastAsia="Noto Serif CJK SC" w:cs="Noto Serif CJK SC"/>
      <w:color w:val="40a070"/>
      <w:lang w:val="en-US" w:eastAsia="zh-CN"/>
    </w:rPr>
  </w:style>
  <w:style w:type="character" w:customStyle="1" w:styleId="FloatTok">
    <w:name w:val="FloatTok"/>
    <w:basedOn w:val="VerbatimChar"/>
    <w:rPr>
      <w:rFonts w:ascii="Noto Serif CJK SC" w:hAnsi="Noto Serif CJK SC" w:eastAsia="Noto Serif CJK SC" w:cs="Noto Serif CJK SC"/>
      <w:color w:val="40a070"/>
      <w:lang w:val="en-US" w:eastAsia="zh-CN"/>
    </w:rPr>
  </w:style>
  <w:style w:type="character" w:customStyle="1" w:styleId="ConstantTok">
    <w:name w:val="ConstantTok"/>
    <w:basedOn w:val="VerbatimChar"/>
    <w:rPr>
      <w:rFonts w:ascii="Noto Serif CJK SC" w:hAnsi="Noto Serif CJK SC" w:eastAsia="Noto Serif CJK SC" w:cs="Noto Serif CJK SC"/>
      <w:color w:val="880000"/>
      <w:lang w:val="en-US" w:eastAsia="zh-CN"/>
    </w:rPr>
  </w:style>
  <w:style w:type="character" w:customStyle="1" w:styleId="CharTok">
    <w:name w:val="CharTok"/>
    <w:basedOn w:val="VerbatimChar"/>
    <w:rPr>
      <w:rFonts w:ascii="Noto Serif CJK SC" w:hAnsi="Noto Serif CJK SC" w:eastAsia="Noto Serif CJK SC" w:cs="Noto Serif CJK SC"/>
      <w:color w:val="4070a0"/>
      <w:lang w:val="en-US" w:eastAsia="zh-CN"/>
    </w:rPr>
  </w:style>
  <w:style w:type="character" w:customStyle="1" w:styleId="SpecialCharTok">
    <w:name w:val="SpecialCharTok"/>
    <w:basedOn w:val="VerbatimChar"/>
    <w:rPr>
      <w:rFonts w:ascii="Noto Serif CJK SC" w:hAnsi="Noto Serif CJK SC" w:eastAsia="Noto Serif CJK SC" w:cs="Noto Serif CJK SC"/>
      <w:color w:val="4070a0"/>
      <w:lang w:val="en-US" w:eastAsia="zh-CN"/>
    </w:rPr>
  </w:style>
  <w:style w:type="character" w:customStyle="1" w:styleId="StringTok">
    <w:name w:val="StringTok"/>
    <w:basedOn w:val="VerbatimChar"/>
    <w:rPr>
      <w:rFonts w:ascii="Noto Serif CJK SC" w:hAnsi="Noto Serif CJK SC" w:eastAsia="Noto Serif CJK SC" w:cs="Noto Serif CJK SC"/>
      <w:color w:val="4070a0"/>
      <w:lang w:val="en-US" w:eastAsia="zh-CN"/>
    </w:rPr>
  </w:style>
  <w:style w:type="character" w:customStyle="1" w:styleId="VerbatimStringTok">
    <w:name w:val="VerbatimStringTok"/>
    <w:basedOn w:val="VerbatimChar"/>
    <w:rPr>
      <w:rFonts w:ascii="Noto Serif CJK SC" w:hAnsi="Noto Serif CJK SC" w:eastAsia="Noto Serif CJK SC" w:cs="Noto Serif CJK SC"/>
      <w:color w:val="4070a0"/>
      <w:lang w:val="en-US" w:eastAsia="zh-CN"/>
    </w:rPr>
  </w:style>
  <w:style w:type="character" w:customStyle="1" w:styleId="SpecialStringTok">
    <w:name w:val="SpecialStringTok"/>
    <w:basedOn w:val="VerbatimChar"/>
    <w:rPr>
      <w:rFonts w:ascii="Noto Serif CJK SC" w:hAnsi="Noto Serif CJK SC" w:eastAsia="Noto Serif CJK SC" w:cs="Noto Serif CJK SC"/>
      <w:color w:val="bb6688"/>
      <w:lang w:val="en-US" w:eastAsia="zh-CN"/>
    </w:rPr>
  </w:style>
  <w:style w:type="character" w:customStyle="1" w:styleId="ImportTok">
    <w:name w:val="ImportTok"/>
    <w:basedOn w:val="VerbatimChar"/>
    <w:rPr>
      <w:rFonts w:ascii="Noto Serif CJK SC" w:hAnsi="Noto Serif CJK SC" w:eastAsia="Noto Serif CJK SC" w:cs="Noto Serif CJK SC"/>
      <w:b/>
      <w:color w:val="008000"/>
      <w:lang w:val="en-US" w:eastAsia="zh-CN"/>
    </w:rPr>
  </w:style>
  <w:style w:type="character" w:customStyle="1" w:styleId="CommentTok">
    <w:name w:val="CommentTok"/>
    <w:basedOn w:val="VerbatimChar"/>
    <w:rPr>
      <w:rFonts w:ascii="Noto Serif CJK SC" w:hAnsi="Noto Serif CJK SC" w:eastAsia="Noto Serif CJK SC" w:cs="Noto Serif CJK SC"/>
      <w:i/>
      <w:color w:val="60a0b0"/>
      <w:lang w:val="en-US" w:eastAsia="zh-CN"/>
    </w:rPr>
  </w:style>
  <w:style w:type="character" w:customStyle="1" w:styleId="DocumentationTok">
    <w:name w:val="DocumentationTok"/>
    <w:basedOn w:val="VerbatimChar"/>
    <w:rPr>
      <w:rFonts w:ascii="Noto Serif CJK SC" w:hAnsi="Noto Serif CJK SC" w:eastAsia="Noto Serif CJK SC" w:cs="Noto Serif CJK SC"/>
      <w:i/>
      <w:color w:val="ba2121"/>
      <w:lang w:val="en-US" w:eastAsia="zh-CN"/>
    </w:rPr>
  </w:style>
  <w:style w:type="character" w:customStyle="1" w:styleId="AnnotationTok">
    <w:name w:val="AnnotationTok"/>
    <w:basedOn w:val="VerbatimChar"/>
    <w:rPr>
      <w:rFonts w:ascii="Noto Serif CJK SC" w:hAnsi="Noto Serif CJK SC" w:eastAsia="Noto Serif CJK SC" w:cs="Noto Serif CJK SC"/>
      <w:b/>
      <w:i/>
      <w:color w:val="60a0b0"/>
      <w:lang w:val="en-US" w:eastAsia="zh-CN"/>
    </w:rPr>
  </w:style>
  <w:style w:type="character" w:customStyle="1" w:styleId="CommentVarTok">
    <w:name w:val="CommentVarTok"/>
    <w:basedOn w:val="VerbatimChar"/>
    <w:rPr>
      <w:rFonts w:ascii="Noto Serif CJK SC" w:hAnsi="Noto Serif CJK SC" w:eastAsia="Noto Serif CJK SC" w:cs="Noto Serif CJK SC"/>
      <w:b/>
      <w:i/>
      <w:color w:val="60a0b0"/>
      <w:lang w:val="en-US" w:eastAsia="zh-CN"/>
    </w:rPr>
  </w:style>
  <w:style w:type="character" w:customStyle="1" w:styleId="OtherTok">
    <w:name w:val="OtherTok"/>
    <w:basedOn w:val="VerbatimChar"/>
    <w:rPr>
      <w:rFonts w:ascii="Noto Serif CJK SC" w:hAnsi="Noto Serif CJK SC" w:eastAsia="Noto Serif CJK SC" w:cs="Noto Serif CJK SC"/>
      <w:color w:val="007020"/>
      <w:lang w:val="en-US" w:eastAsia="zh-CN"/>
    </w:rPr>
  </w:style>
  <w:style w:type="character" w:customStyle="1" w:styleId="FunctionTok">
    <w:name w:val="FunctionTok"/>
    <w:basedOn w:val="VerbatimChar"/>
    <w:rPr>
      <w:rFonts w:ascii="Noto Serif CJK SC" w:hAnsi="Noto Serif CJK SC" w:eastAsia="Noto Serif CJK SC" w:cs="Noto Serif CJK SC"/>
      <w:color w:val="06287e"/>
      <w:lang w:val="en-US" w:eastAsia="zh-CN"/>
    </w:rPr>
  </w:style>
  <w:style w:type="character" w:customStyle="1" w:styleId="VariableTok">
    <w:name w:val="VariableTok"/>
    <w:basedOn w:val="VerbatimChar"/>
    <w:rPr>
      <w:rFonts w:ascii="Noto Serif CJK SC" w:hAnsi="Noto Serif CJK SC" w:eastAsia="Noto Serif CJK SC" w:cs="Noto Serif CJK SC"/>
      <w:color w:val="19177c"/>
      <w:lang w:val="en-US" w:eastAsia="zh-CN"/>
    </w:rPr>
  </w:style>
  <w:style w:type="character" w:customStyle="1" w:styleId="ControlFlowTok">
    <w:name w:val="ControlFlowTok"/>
    <w:basedOn w:val="VerbatimChar"/>
    <w:rPr>
      <w:rFonts w:ascii="Noto Serif CJK SC" w:hAnsi="Noto Serif CJK SC" w:eastAsia="Noto Serif CJK SC" w:cs="Noto Serif CJK SC"/>
      <w:b/>
      <w:color w:val="007020"/>
      <w:lang w:val="en-US" w:eastAsia="zh-CN"/>
    </w:rPr>
  </w:style>
  <w:style w:type="character" w:customStyle="1" w:styleId="OperatorTok">
    <w:name w:val="OperatorTok"/>
    <w:basedOn w:val="VerbatimChar"/>
    <w:rPr>
      <w:rFonts w:ascii="Noto Serif CJK SC" w:hAnsi="Noto Serif CJK SC" w:eastAsia="Noto Serif CJK SC" w:cs="Noto Serif CJK SC"/>
      <w:color w:val="666666"/>
      <w:lang w:val="en-US" w:eastAsia="zh-CN"/>
    </w:rPr>
  </w:style>
  <w:style w:type="character" w:customStyle="1" w:styleId="BuiltInTok">
    <w:name w:val="BuiltInTok"/>
    <w:basedOn w:val="VerbatimChar"/>
    <w:rPr>
      <w:rFonts w:ascii="Noto Serif CJK SC" w:hAnsi="Noto Serif CJK SC" w:eastAsia="Noto Serif CJK SC" w:cs="Noto Serif CJK SC"/>
      <w:color w:val="008000"/>
      <w:lang w:val="en-US" w:eastAsia="zh-CN"/>
    </w:rPr>
  </w:style>
  <w:style w:type="character" w:customStyle="1" w:styleId="ExtensionTok">
    <w:name w:val="ExtensionTok"/>
    <w:basedOn w:val="VerbatimChar"/>
    <w:rPr>
      <w:rFonts w:ascii="Noto Serif CJK SC" w:hAnsi="Noto Serif CJK SC" w:eastAsia="Noto Serif CJK SC" w:cs="Noto Serif CJK SC"/>
      <w:lang w:val="en-US" w:eastAsia="zh-CN"/>
    </w:rPr>
  </w:style>
  <w:style w:type="character" w:customStyle="1" w:styleId="PreprocessorTok">
    <w:name w:val="PreprocessorTok"/>
    <w:basedOn w:val="VerbatimChar"/>
    <w:rPr>
      <w:rFonts w:ascii="Noto Serif CJK SC" w:hAnsi="Noto Serif CJK SC" w:eastAsia="Noto Serif CJK SC" w:cs="Noto Serif CJK SC"/>
      <w:color w:val="bc7a00"/>
      <w:lang w:val="en-US" w:eastAsia="zh-CN"/>
    </w:rPr>
  </w:style>
  <w:style w:type="character" w:customStyle="1" w:styleId="AttributeTok">
    <w:name w:val="AttributeTok"/>
    <w:basedOn w:val="VerbatimChar"/>
    <w:rPr>
      <w:rFonts w:ascii="Noto Serif CJK SC" w:hAnsi="Noto Serif CJK SC" w:eastAsia="Noto Serif CJK SC" w:cs="Noto Serif CJK SC"/>
      <w:color w:val="7d9029"/>
      <w:lang w:val="en-US" w:eastAsia="zh-CN"/>
    </w:rPr>
  </w:style>
  <w:style w:type="character" w:customStyle="1" w:styleId="RegionMarkerTok">
    <w:name w:val="RegionMarkerTok"/>
    <w:basedOn w:val="VerbatimChar"/>
    <w:rPr>
      <w:rFonts w:ascii="Noto Serif CJK SC" w:hAnsi="Noto Serif CJK SC" w:eastAsia="Noto Serif CJK SC" w:cs="Noto Serif CJK SC"/>
      <w:lang w:val="en-US" w:eastAsia="zh-CN"/>
    </w:rPr>
  </w:style>
  <w:style w:type="character" w:customStyle="1" w:styleId="InformationTok">
    <w:name w:val="InformationTok"/>
    <w:basedOn w:val="VerbatimChar"/>
    <w:rPr>
      <w:rFonts w:ascii="Noto Serif CJK SC" w:hAnsi="Noto Serif CJK SC" w:eastAsia="Noto Serif CJK SC" w:cs="Noto Serif CJK SC"/>
      <w:b/>
      <w:i/>
      <w:color w:val="60a0b0"/>
      <w:lang w:val="en-US" w:eastAsia="zh-CN"/>
    </w:rPr>
  </w:style>
  <w:style w:type="character" w:customStyle="1" w:styleId="WarningTok">
    <w:name w:val="WarningTok"/>
    <w:basedOn w:val="VerbatimChar"/>
    <w:rPr>
      <w:rFonts w:ascii="Noto Serif CJK SC" w:hAnsi="Noto Serif CJK SC" w:eastAsia="Noto Serif CJK SC" w:cs="Noto Serif CJK SC"/>
      <w:b/>
      <w:i/>
      <w:color w:val="60a0b0"/>
      <w:lang w:val="en-US" w:eastAsia="zh-CN"/>
    </w:rPr>
  </w:style>
  <w:style w:type="character" w:customStyle="1" w:styleId="AlertTok">
    <w:name w:val="AlertTok"/>
    <w:basedOn w:val="VerbatimChar"/>
    <w:rPr>
      <w:rFonts w:ascii="Noto Serif CJK SC" w:hAnsi="Noto Serif CJK SC" w:eastAsia="Noto Serif CJK SC" w:cs="Noto Serif CJK SC"/>
      <w:b/>
      <w:color w:val="ff0000"/>
      <w:lang w:val="en-US" w:eastAsia="zh-CN"/>
    </w:rPr>
  </w:style>
  <w:style w:type="character" w:customStyle="1" w:styleId="ErrorTok">
    <w:name w:val="ErrorTok"/>
    <w:basedOn w:val="VerbatimChar"/>
    <w:rPr>
      <w:rFonts w:ascii="Noto Serif CJK SC" w:hAnsi="Noto Serif CJK SC" w:eastAsia="Noto Serif CJK SC" w:cs="Noto Serif CJK SC"/>
      <w:b/>
      <w:color w:val="ff0000"/>
      <w:lang w:val="en-US" w:eastAsia="zh-CN"/>
    </w:rPr>
  </w:style>
  <w:style w:type="character" w:customStyle="1" w:styleId="NormalTok">
    <w:name w:val="NormalTok"/>
    <w:basedOn w:val="VerbatimChar"/>
    <w:rPr>
      <w:rFonts w:ascii="Noto Serif CJK SC" w:hAnsi="Noto Serif CJK SC" w:eastAsia="Noto Serif CJK SC" w:cs="Noto Serif CJK SC"/>
      <w:lang w:val="en-US" w:eastAsia="zh-C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87" Target="media/rId87.png"/><Relationship Type="http://schemas.openxmlformats.org/officeDocument/2006/relationships/hyperlink" Id="rId141" Target="https://arxiv.org/abs/2303.07103" TargetMode="External"/><Relationship Type="http://schemas.openxmlformats.org/officeDocument/2006/relationships/hyperlink" Id="rId78" Target="https://arxiv.org/abs/2410.22526" TargetMode="External"/><Relationship Type="http://schemas.openxmlformats.org/officeDocument/2006/relationships/hyperlink" Id="rId26" Target="https://arxiv.org/abs/2512.01991" TargetMode="External"/><Relationship Type="http://schemas.openxmlformats.org/officeDocument/2006/relationships/hyperlink" Id="rId270" Target="https://blog.character.ai/character-ai-launches-mobile-app-for-ios-and-android/" TargetMode="External"/><Relationship Type="http://schemas.openxmlformats.org/officeDocument/2006/relationships/hyperlink" Id="rId171" Target="https://eur-lex.europa.eu/legal-content/EN/TXT/?uri=CELEX:52016IE5369" TargetMode="External"/><Relationship Type="http://schemas.openxmlformats.org/officeDocument/2006/relationships/hyperlink" Id="rId737" Target="https://ipc.court.gov.cn/zh-cn/news/view-5447.html" TargetMode="External"/><Relationship Type="http://schemas.openxmlformats.org/officeDocument/2006/relationships/hyperlink" Id="rId84" Target="https://nvlpubs.nist.gov/nistpubs/ai/NIST.AI.100-1.pdf" TargetMode="External"/><Relationship Type="http://schemas.openxmlformats.org/officeDocument/2006/relationships/hyperlink" Id="rId685" Target="https://nvlpubs.nist.gov/nistpubs/ai/NIST.AI.600-1.pdf" TargetMode="External"/><Relationship Type="http://schemas.openxmlformats.org/officeDocument/2006/relationships/hyperlink" Id="rId73" Target="https://psas.scripts.mit.edu/home/get_file.php?name=STPA_handbook.pdf" TargetMode="External"/><Relationship Type="http://schemas.openxmlformats.org/officeDocument/2006/relationships/hyperlink" Id="rId197" Target="https://www.aspeninstitute.org/publications/defining-technologies-of-our-time-artificial-intelligence/" TargetMode="External"/><Relationship Type="http://schemas.openxmlformats.org/officeDocument/2006/relationships/hyperlink" Id="rId203" Target="https://www.copyright.gov/ai/Copyright-and-Artificial-Intelligence-Part-2-Copyrightability-Report.pdf" TargetMode="External"/><Relationship Type="http://schemas.openxmlformats.org/officeDocument/2006/relationships/hyperlink" Id="rId169" Target="https://www.europarl.europa.eu/doceo/document/TA-8-2017-0051_EN.html" TargetMode="External"/><Relationship Type="http://schemas.openxmlformats.org/officeDocument/2006/relationships/hyperlink" Id="rId486" Target="https://www.faa.gov/documentLibrary/media/Advisory_Circular/AC_00-46F.pdf" TargetMode="External"/><Relationship Type="http://schemas.openxmlformats.org/officeDocument/2006/relationships/hyperlink" Id="rId372" Target="https://www.faa.gov/faa-aviation-safety-outreach/safety-management-system" TargetMode="External"/><Relationship Type="http://schemas.openxmlformats.org/officeDocument/2006/relationships/hyperlink" Id="rId310" Target="https://www.ftc.gov/legal-library/browse/ftc-policy-statement-deception" TargetMode="External"/><Relationship Type="http://schemas.openxmlformats.org/officeDocument/2006/relationships/hyperlink" Id="rId276" Target="https://www.ftc.gov/news-events/news/press-releases/2025/09/ftc-launches-inquiry-ai-chatbots-acting-companions" TargetMode="External"/><Relationship Type="http://schemas.openxmlformats.org/officeDocument/2006/relationships/hyperlink" Id="rId519" Target="https://www.ftc.gov/system/files/ftc_gov/pdf/AICompanionChatbot6(b)Order.pdf" TargetMode="External"/><Relationship Type="http://schemas.openxmlformats.org/officeDocument/2006/relationships/hyperlink" Id="rId32" Target="https://www.hbs.edu/ris/Publication%20Files/25-018_d256c104-e5ba-4911-b72c-874c5492166e.pdf" TargetMode="External"/><Relationship Type="http://schemas.openxmlformats.org/officeDocument/2006/relationships/hyperlink" Id="rId476" Target="https://www.justice.gov/criminal/criminal-fraud/page/file/937501/dl?inline=" TargetMode="External"/><Relationship Type="http://schemas.openxmlformats.org/officeDocument/2006/relationships/hyperlink" Id="rId730" Target="https://www.qiaowen.com/cn/details/0803/166cac21f6bf434e" TargetMode="External"/><Relationship Type="http://schemas.openxmlformats.org/officeDocument/2006/relationships/hyperlink" Id="rId173" Target="https://www.robotics-openletter.eu/" TargetMode="External"/><Relationship Type="http://schemas.openxmlformats.org/officeDocument/2006/relationships/hyperlink" Id="rId185" Target="https://www.uniformlaws.org/committees/community-home?CommunityKey=2c04b76c-2b7d-4399-977e-d5876ba7e034" TargetMode="External"/><Relationship Type="http://schemas.openxmlformats.org/officeDocument/2006/relationships/hyperlink" Id="rId451" Target="https://www.ussc.gov/guidelines/2025-guidelines-manual/annotated-2025-chapter-8" TargetMode="External"/><Relationship Type="http://schemas.openxmlformats.org/officeDocument/2006/relationships/hyperlink" Id="rId687" Target="https://www.whitehouse.gov/wp-content/uploads/2025/02/M-25-21-Accelerating-Federal-Use-of-AI-through-Innovation-Governance-and-Public-Trust.pdf" TargetMode="External"/><Relationship Type="http://schemas.openxmlformats.org/officeDocument/2006/relationships/hyperlink" Id="rId689" Target="https://www.whitehouse.gov/wp-content/uploads/2025/02/M-25-22-Driving-Efficient-Acquisition-of-Artificial-Intelligence-in-Government.pdf" TargetMode="External"/><Relationship Type="http://schemas.openxmlformats.org/officeDocument/2006/relationships/hyperlink" Id="rId663" Target="https://www.who.int/publications/i/item/9789240029200" TargetMode="External"/><Relationship Type="http://schemas.openxmlformats.org/officeDocument/2006/relationships/hyperlink" Id="rId65" Target="https://www.zjwx.gov.cn/col/col1673574/art/2026/art_1def58944910459e94f5a04d04c67332.html" TargetMode="External"/><Relationship Type="http://schemas.openxmlformats.org/officeDocument/2006/relationships/hyperlink" Id="rId743" Target="what-is-ai-for-courts.html" TargetMode="External"/><Relationship Id="rId744" Type="http://schemas.openxmlformats.org/officeDocument/2006/relationships/hyperlink" Target="https://arxiv.org/abs/2606.25108v2" TargetMode="External"/><Relationship Id="rId745" Type="http://schemas.openxmlformats.org/officeDocument/2006/relationships/hyperlink" Target="https://commerce.utah.gov/ai/regulatory-relief/authorized-ai-pilots/doctronic/" TargetMode="External"/></Relationships>
</file>

<file path=word/_rels/footnotes.xml.rels><?xml version='1.0' encoding='UTF-8' standalone='yes'?>
<Relationships xmlns="http://schemas.openxmlformats.org/package/2006/relationships"><Relationship Type="http://schemas.openxmlformats.org/officeDocument/2006/relationships/hyperlink" Id="rId141" Target="https://arxiv.org/abs/2303.07103" TargetMode="External"/><Relationship Type="http://schemas.openxmlformats.org/officeDocument/2006/relationships/hyperlink" Id="rId78" Target="https://arxiv.org/abs/2410.22526" TargetMode="External"/><Relationship Type="http://schemas.openxmlformats.org/officeDocument/2006/relationships/hyperlink" Id="rId26" Target="https://arxiv.org/abs/2512.01991" TargetMode="External"/><Relationship Type="http://schemas.openxmlformats.org/officeDocument/2006/relationships/hyperlink" Id="rId270" Target="https://blog.character.ai/character-ai-launches-mobile-app-for-ios-and-android/" TargetMode="External"/><Relationship Type="http://schemas.openxmlformats.org/officeDocument/2006/relationships/hyperlink" Id="rId171" Target="https://eur-lex.europa.eu/legal-content/EN/TXT/?uri=CELEX:52016IE5369" TargetMode="External"/><Relationship Type="http://schemas.openxmlformats.org/officeDocument/2006/relationships/hyperlink" Id="rId737" Target="https://ipc.court.gov.cn/zh-cn/news/view-5447.html" TargetMode="External"/><Relationship Type="http://schemas.openxmlformats.org/officeDocument/2006/relationships/hyperlink" Id="rId84" Target="https://nvlpubs.nist.gov/nistpubs/ai/NIST.AI.100-1.pdf" TargetMode="External"/><Relationship Type="http://schemas.openxmlformats.org/officeDocument/2006/relationships/hyperlink" Id="rId685" Target="https://nvlpubs.nist.gov/nistpubs/ai/NIST.AI.600-1.pdf" TargetMode="External"/><Relationship Type="http://schemas.openxmlformats.org/officeDocument/2006/relationships/hyperlink" Id="rId73" Target="https://psas.scripts.mit.edu/home/get_file.php?name=STPA_handbook.pdf" TargetMode="External"/><Relationship Type="http://schemas.openxmlformats.org/officeDocument/2006/relationships/hyperlink" Id="rId197" Target="https://www.aspeninstitute.org/publications/defining-technologies-of-our-time-artificial-intelligence/" TargetMode="External"/><Relationship Type="http://schemas.openxmlformats.org/officeDocument/2006/relationships/hyperlink" Id="rId203" Target="https://www.copyright.gov/ai/Copyright-and-Artificial-Intelligence-Part-2-Copyrightability-Report.pdf" TargetMode="External"/><Relationship Type="http://schemas.openxmlformats.org/officeDocument/2006/relationships/hyperlink" Id="rId169" Target="https://www.europarl.europa.eu/doceo/document/TA-8-2017-0051_EN.html" TargetMode="External"/><Relationship Type="http://schemas.openxmlformats.org/officeDocument/2006/relationships/hyperlink" Id="rId486" Target="https://www.faa.gov/documentLibrary/media/Advisory_Circular/AC_00-46F.pdf" TargetMode="External"/><Relationship Type="http://schemas.openxmlformats.org/officeDocument/2006/relationships/hyperlink" Id="rId372" Target="https://www.faa.gov/faa-aviation-safety-outreach/safety-management-system" TargetMode="External"/><Relationship Type="http://schemas.openxmlformats.org/officeDocument/2006/relationships/hyperlink" Id="rId310" Target="https://www.ftc.gov/legal-library/browse/ftc-policy-statement-deception" TargetMode="External"/><Relationship Type="http://schemas.openxmlformats.org/officeDocument/2006/relationships/hyperlink" Id="rId276" Target="https://www.ftc.gov/news-events/news/press-releases/2025/09/ftc-launches-inquiry-ai-chatbots-acting-companions" TargetMode="External"/><Relationship Type="http://schemas.openxmlformats.org/officeDocument/2006/relationships/hyperlink" Id="rId519" Target="https://www.ftc.gov/system/files/ftc_gov/pdf/AICompanionChatbot6(b)Order.pdf" TargetMode="External"/><Relationship Type="http://schemas.openxmlformats.org/officeDocument/2006/relationships/hyperlink" Id="rId32" Target="https://www.hbs.edu/ris/Publication%20Files/25-018_d256c104-e5ba-4911-b72c-874c5492166e.pdf" TargetMode="External"/><Relationship Type="http://schemas.openxmlformats.org/officeDocument/2006/relationships/hyperlink" Id="rId476" Target="https://www.justice.gov/criminal/criminal-fraud/page/file/937501/dl?inline=" TargetMode="External"/><Relationship Type="http://schemas.openxmlformats.org/officeDocument/2006/relationships/hyperlink" Id="rId730" Target="https://www.qiaowen.com/cn/details/0803/166cac21f6bf434e" TargetMode="External"/><Relationship Type="http://schemas.openxmlformats.org/officeDocument/2006/relationships/hyperlink" Id="rId173" Target="https://www.robotics-openletter.eu/" TargetMode="External"/><Relationship Type="http://schemas.openxmlformats.org/officeDocument/2006/relationships/hyperlink" Id="rId185" Target="https://www.uniformlaws.org/committees/community-home?CommunityKey=2c04b76c-2b7d-4399-977e-d5876ba7e034" TargetMode="External"/><Relationship Type="http://schemas.openxmlformats.org/officeDocument/2006/relationships/hyperlink" Id="rId451" Target="https://www.ussc.gov/guidelines/2025-guidelines-manual/annotated-2025-chapter-8" TargetMode="External"/><Relationship Type="http://schemas.openxmlformats.org/officeDocument/2006/relationships/hyperlink" Id="rId687" Target="https://www.whitehouse.gov/wp-content/uploads/2025/02/M-25-21-Accelerating-Federal-Use-of-AI-through-Innovation-Governance-and-Public-Trust.pdf" TargetMode="External"/><Relationship Type="http://schemas.openxmlformats.org/officeDocument/2006/relationships/hyperlink" Id="rId689" Target="https://www.whitehouse.gov/wp-content/uploads/2025/02/M-25-22-Driving-Efficient-Acquisition-of-Artificial-Intelligence-in-Government.pdf" TargetMode="External"/><Relationship Type="http://schemas.openxmlformats.org/officeDocument/2006/relationships/hyperlink" Id="rId663" Target="https://www.who.int/publications/i/item/9789240029200" TargetMode="External"/><Relationship Type="http://schemas.openxmlformats.org/officeDocument/2006/relationships/hyperlink" Id="rId65" Target="https://www.zjwx.gov.cn/col/col1673574/art/2026/art_1def58944910459e94f5a04d04c67332.html" TargetMode="External"/><Relationship Type="http://schemas.openxmlformats.org/officeDocument/2006/relationships/hyperlink" Id="rId743" Target="what-is-ai-for-courts.html" TargetMode="External"/><Relationship Id="rId744" Type="http://schemas.openxmlformats.org/officeDocument/2006/relationships/hyperlink" Target="https://arxiv.org/abs/2606.25108v2" TargetMode="External"/><Relationship Id="rId745" Type="http://schemas.openxmlformats.org/officeDocument/2006/relationships/hyperlink" Target="https://commerce.utah.gov/ai/regulatory-relief/authorized-ai-pilots/doctro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Controls, Who Answers: Liability in the AI Control Stack</dc:title>
  <dc:creator/>
  <dc:language>zh-CN</dc:language>
  <cp:keywords/>
  <dcterms:created xsi:type="dcterms:W3CDTF">2026-08-28T09:31:47Z</dcterms:created>
  <dcterms:modified xsi:type="dcterms:W3CDTF">2026-08-28T11:17:47Z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TeX4ht (https://tug.org/tex4ht/)</vt:lpwstr>
  </property>
  <property fmtid="{D5CDD505-2E9C-101B-9397-08002B2CF9AE}" pid="3" name="src">
    <vt:lpwstr>what-is-ai-for-courts.tex</vt:lpwstr>
  </property>
  <property fmtid="{D5CDD505-2E9C-101B-9397-08002B2CF9AE}" pid="4" name="viewport">
    <vt:lpwstr>width=device-width,initial-scale=1</vt:lpwstr>
  </property>
</Properties>
</file>