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e1623875e85b28fba4fed7c641ca107aba0781"/>
    <w:p>
      <w:pPr>
        <w:pStyle w:val="Heading1"/>
      </w:pPr>
      <w:r>
        <w:t xml:space="preserve">Who Controls, Who Answers: Liability in the AI</w:t>
      </w:r>
      <w:r>
        <w:t xml:space="preserve"> </w:t>
      </w:r>
      <w:r>
        <w:t xml:space="preserve">Control Stack</w:t>
      </w:r>
    </w:p>
    <w:p>
      <w:pPr>
        <w:pStyle w:val="FirstParagraph"/>
      </w:pPr>
      <w:r>
        <w:t xml:space="preserve">Anonymous</w:t>
      </w:r>
    </w:p>
    <w:p>
      <w:pPr>
        <w:pStyle w:val="BodyText"/>
      </w:pPr>
      <w:r>
        <w:t xml:space="preserve">Submission Draft</w:t>
      </w:r>
    </w:p>
    <w:bookmarkEnd w:id="9"/>
    <w:bookmarkStart w:id="10" w:name="abstract"/>
    <w:p>
      <w:pPr>
        <w:pStyle w:val="Heading3"/>
      </w:pPr>
      <w:r>
        <w:t xml:space="preserve">Abstract</w:t>
      </w:r>
    </w:p>
    <w:p>
      <w:pPr>
        <w:pStyle w:val="BlockText"/>
      </w:pPr>
      <w:r>
        <w:t xml:space="preserve">AI liability has an ordering problem. The claimant sees an output or automated</w:t>
      </w:r>
      <w:r>
        <w:t xml:space="preserve"> </w:t>
      </w:r>
      <w:r>
        <w:t xml:space="preserve">decision, while the facts needed to identify the responsible conduct—the deployed</w:t>
      </w:r>
      <w:r>
        <w:t xml:space="preserve"> </w:t>
      </w:r>
      <w:r>
        <w:t xml:space="preserve">model, system instructions, tools, risk reports, approvals, and stop authority—remain</w:t>
      </w:r>
      <w:r>
        <w:t xml:space="preserve"> </w:t>
      </w:r>
      <w:r>
        <w:t xml:space="preserve">divided among enterprises and hidden behind discovery. Conventional law may supply</w:t>
      </w:r>
      <w:r>
        <w:t xml:space="preserve"> </w:t>
      </w:r>
      <w:r>
        <w:t xml:space="preserve">a standard of care, yet the claimant can be required to name the right controller before</w:t>
      </w:r>
      <w:r>
        <w:t xml:space="preserve"> </w:t>
      </w:r>
      <w:r>
        <w:t xml:space="preserve">obtaining the record that reveals who controlled what.</w:t>
      </w:r>
    </w:p>
    <w:p>
      <w:pPr>
        <w:pStyle w:val="BlockText"/>
      </w:pPr>
      <w:r>
        <w:t xml:space="preserve">This Article reframes that problem around deployment. Its</w:t>
      </w:r>
      <w:r>
        <w:t xml:space="preserve"> </w:t>
      </w:r>
      <w:r>
        <w:t xml:space="preserve">deployment-control cascade</w:t>
      </w:r>
      <w:r>
        <w:t xml:space="preserve"> </w:t>
      </w:r>
      <w:r>
        <w:t xml:space="preserve">maps objectives, resources, configuration, feedback, and stopping power across the</w:t>
      </w:r>
      <w:r>
        <w:t xml:space="preserve"> </w:t>
      </w:r>
      <w:r>
        <w:t xml:space="preserve">model provider, application deployer, and operating institution. The map converts</w:t>
      </w:r>
      <w:r>
        <w:t xml:space="preserve"> </w:t>
      </w:r>
      <w:r>
        <w:t xml:space="preserve">system and organizational facts into evidence of authorization, notice, foreseeability,</w:t>
      </w:r>
      <w:r>
        <w:t xml:space="preserve"> </w:t>
      </w:r>
      <w:r>
        <w:t xml:space="preserve">feasible precaution, causation, and preservation. Relational-AI evidence and the facts</w:t>
      </w:r>
      <w:r>
        <w:t xml:space="preserve"> </w:t>
      </w:r>
      <w:r>
        <w:t xml:space="preserve">pleaded in</w:t>
      </w:r>
      <w:r>
        <w:t xml:space="preserve"> </w:t>
      </w:r>
      <w:r>
        <w:t xml:space="preserve">Garcia v. Character Technologies</w:t>
      </w:r>
      <w:r>
        <w:t xml:space="preserve"> </w:t>
      </w:r>
      <w:r>
        <w:t xml:space="preserve">show why those variables, rather than the</w:t>
      </w:r>
      <w:r>
        <w:t xml:space="preserve"> </w:t>
      </w:r>
      <w:r>
        <w:t xml:space="preserve">model in isolation, determine the legally relevant risk.</w:t>
      </w:r>
    </w:p>
    <w:p>
      <w:pPr>
        <w:pStyle w:val="BlockText"/>
      </w:pPr>
      <w:r>
        <w:t xml:space="preserve">The Article then proposes a two-layer responsibility architecture for designated</w:t>
      </w:r>
      <w:r>
        <w:t xml:space="preserve"> </w:t>
      </w:r>
      <w:r>
        <w:t xml:space="preserve">high-impact deployments. Externally, an enterprise with material deployment control</w:t>
      </w:r>
      <w:r>
        <w:t xml:space="preserve"> </w:t>
      </w:r>
      <w:r>
        <w:t xml:space="preserve">owes a nondelegable deployment duty, serves as a claimant-facing responsibility center,</w:t>
      </w:r>
      <w:r>
        <w:t xml:space="preserve"> </w:t>
      </w:r>
      <w:r>
        <w:t xml:space="preserve">and must identify and produce the deployment record after a threshold pleading.</w:t>
      </w:r>
      <w:r>
        <w:t xml:space="preserve"> </w:t>
      </w:r>
      <w:r>
        <w:t xml:space="preserve">Internally, a mandatory responsibility charter fixes risk ownership, approval, protected</w:t>
      </w:r>
      <w:r>
        <w:t xml:space="preserve"> </w:t>
      </w:r>
      <w:r>
        <w:t xml:space="preserve">escalation, stop authority, recordkeeping, and recourse before harm occurs. The</w:t>
      </w:r>
      <w:r>
        <w:t xml:space="preserve"> </w:t>
      </w:r>
      <w:r>
        <w:t xml:space="preserve">proposal preserves every substantive element and defense; it is a front door, not</w:t>
      </w:r>
      <w:r>
        <w:t xml:space="preserve"> </w:t>
      </w:r>
      <w:r>
        <w:t xml:space="preserve">blanket strict liability. A companion anti-substitution principle further provides that</w:t>
      </w:r>
      <w:r>
        <w:t xml:space="preserve"> </w:t>
      </w:r>
      <w:r>
        <w:t xml:space="preserve">AI availability does not itself discharge an independently imposed duty of care,</w:t>
      </w:r>
      <w:r>
        <w:t xml:space="preserve"> </w:t>
      </w:r>
      <w:r>
        <w:t xml:space="preserve">process, accommodation, judgment, or public service. Neither rule requires artificial</w:t>
      </w:r>
      <w:r>
        <w:t xml:space="preserve"> </w:t>
      </w:r>
      <w:r>
        <w:t xml:space="preserve">personhood. Probabilistic operation changes the control evidence, not the need for a</w:t>
      </w:r>
      <w:r>
        <w:t xml:space="preserve"> </w:t>
      </w:r>
      <w:r>
        <w:t xml:space="preserve">legally answerable human or organization.</w:t>
      </w:r>
    </w:p>
    <w:p>
      <w:pPr>
        <w:pStyle w:val="BlockText"/>
      </w:pPr>
      <w:r>
        <w:t xml:space="preserve">Keywords:</w:t>
      </w:r>
      <w:r>
        <w:t xml:space="preserve"> </w:t>
      </w:r>
      <w:r>
        <w:t xml:space="preserve">artificial intelligence liability; deployment-control cascade; AI control</w:t>
      </w:r>
      <w:r>
        <w:t xml:space="preserve"> </w:t>
      </w:r>
      <w:r>
        <w:t xml:space="preserve">stack; nondelegable deployment duty; enterprise-facing recourse; anti-substitution</w:t>
      </w:r>
      <w:r>
        <w:t xml:space="preserve"> </w:t>
      </w:r>
      <w:r>
        <w:t xml:space="preserve">principle</w:t>
      </w:r>
    </w:p>
    <w:bookmarkEnd w:id="10"/>
    <w:bookmarkStart w:id="12" w:name="contents"/>
    <w:p>
      <w:pPr>
        <w:pStyle w:val="Heading3"/>
      </w:pPr>
      <w:bookmarkStart w:id="11" w:name="x1-1000"/>
      <w:bookmarkEnd w:id="11"/>
      <w:r>
        <w:t xml:space="preserve">Contents</w:t>
      </w:r>
    </w:p>
    <w:p>
      <w:pPr>
        <w:pStyle w:val="FirstParagraph"/>
      </w:pPr>
      <w:hyperlink w:anchor="introduction1">
        <w:r>
          <w:rPr>
            <w:rStyle w:val="Hyperlink"/>
          </w:rPr>
          <w:t xml:space="preserve">Introduction</w:t>
        </w:r>
      </w:hyperlink>
      <w:r>
        <w:br/>
      </w:r>
      <w:r>
        <w:t xml:space="preserve">I</w:t>
      </w:r>
      <w:r>
        <w:t xml:space="preserve"> </w:t>
      </w:r>
      <w:hyperlink w:anchor="the-deploymentcontrol-cascade">
        <w:r>
          <w:rPr>
            <w:rStyle w:val="Hyperlink"/>
          </w:rPr>
          <w:t xml:space="preserve">The Deployment-Control Cascade</w:t>
        </w:r>
      </w:hyperlink>
      <w:r>
        <w:br/>
      </w:r>
      <w:r>
        <w:t xml:space="preserve">A</w:t>
      </w:r>
      <w:r>
        <w:t xml:space="preserve"> </w:t>
      </w:r>
      <w:hyperlink w:anchor="Xd1e4953fe4e8faa520456cd4fe082a4f3da9e1e">
        <w:r>
          <w:rPr>
            <w:rStyle w:val="Hyperlink"/>
          </w:rPr>
          <w:t xml:space="preserve">Partial Observability Is Not a Responsibility Vacuum</w:t>
        </w:r>
      </w:hyperlink>
      <w:r>
        <w:br/>
      </w:r>
      <w:r>
        <w:t xml:space="preserve">B</w:t>
      </w:r>
      <w:r>
        <w:t xml:space="preserve"> </w:t>
      </w:r>
      <w:hyperlink w:anchor="X8e8278c3afec65b319e212bf92961587b37f2ac">
        <w:r>
          <w:rPr>
            <w:rStyle w:val="Hyperlink"/>
          </w:rPr>
          <w:t xml:space="preserve">The Cascade as a Deployment-Specific STPA Map</w:t>
        </w:r>
      </w:hyperlink>
      <w:r>
        <w:br/>
      </w:r>
      <w:r>
        <w:t xml:space="preserve">C</w:t>
      </w:r>
      <w:r>
        <w:t xml:space="preserve"> </w:t>
      </w:r>
      <w:hyperlink w:anchor="X109aad8c40c2d3de6c54da5ed04223d38b9c781">
        <w:r>
          <w:rPr>
            <w:rStyle w:val="Hyperlink"/>
          </w:rPr>
          <w:t xml:space="preserve">Translating Engineering Variables into Legal Facts</w:t>
        </w:r>
      </w:hyperlink>
      <w:r>
        <w:br/>
      </w:r>
      <w:r>
        <w:t xml:space="preserve">D</w:t>
      </w:r>
      <w:r>
        <w:t xml:space="preserve"> </w:t>
      </w:r>
      <w:hyperlink w:anchor="stress-tests-across-mixed-deployments">
        <w:r>
          <w:rPr>
            <w:rStyle w:val="Hyperlink"/>
          </w:rPr>
          <w:t xml:space="preserve">Stress Tests Across Mixed Deployments</w:t>
        </w:r>
      </w:hyperlink>
      <w:r>
        <w:br/>
      </w:r>
      <w:r>
        <w:t xml:space="preserve">II</w:t>
      </w:r>
      <w:r>
        <w:t xml:space="preserve"> </w:t>
      </w:r>
      <w:hyperlink w:anchor="Xbd33ba46f330cfc563c26c86ec5de0a966d3c55">
        <w:r>
          <w:rPr>
            <w:rStyle w:val="Hyperlink"/>
          </w:rPr>
          <w:t xml:space="preserve">Responsibility Without Artificial Persons</w:t>
        </w:r>
      </w:hyperlink>
      <w:r>
        <w:br/>
      </w:r>
      <w:r>
        <w:t xml:space="preserve">A</w:t>
      </w:r>
      <w:r>
        <w:t xml:space="preserve"> </w:t>
      </w:r>
      <w:hyperlink w:anchor="X290944cd70ae12b116f2cdce7ad894ff8ae3cee">
        <w:r>
          <w:rPr>
            <w:rStyle w:val="Hyperlink"/>
          </w:rPr>
          <w:t xml:space="preserve">Legal Status Is an Institutional Structure</w:t>
        </w:r>
      </w:hyperlink>
      <w:r>
        <w:br/>
      </w:r>
      <w:r>
        <w:t xml:space="preserve">B</w:t>
      </w:r>
      <w:r>
        <w:t xml:space="preserve"> </w:t>
      </w:r>
      <w:hyperlink w:anchor="X9d0bd04bf5fc7a23777db241d921b80b29ec205">
        <w:r>
          <w:rPr>
            <w:rStyle w:val="Hyperlink"/>
          </w:rPr>
          <w:t xml:space="preserve">The Strongest Personhood Account Still Requires Legal Architecture</w:t>
        </w:r>
      </w:hyperlink>
      <w:r>
        <w:br/>
      </w:r>
      <w:r>
        <w:t xml:space="preserve">C</w:t>
      </w:r>
      <w:r>
        <w:t xml:space="preserve"> </w:t>
      </w:r>
      <w:hyperlink w:anchor="X98fa690068d594cf6be0a89f7316f35b00c826f">
        <w:r>
          <w:rPr>
            <w:rStyle w:val="Hyperlink"/>
          </w:rPr>
          <w:t xml:space="preserve">Automatic Instrumentality Directs Attention to Deployment</w:t>
        </w:r>
      </w:hyperlink>
      <w:r>
        <w:br/>
      </w:r>
      <w:r>
        <w:t xml:space="preserve">D</w:t>
      </w:r>
      <w:r>
        <w:t xml:space="preserve"> </w:t>
      </w:r>
      <w:hyperlink w:anchor="X265e7bcf8f0f250edf167b5077a7b59b5a14079">
        <w:r>
          <w:rPr>
            <w:rStyle w:val="Hyperlink"/>
          </w:rPr>
          <w:t xml:space="preserve">Functional Pluralism Has a Status Boundary</w:t>
        </w:r>
      </w:hyperlink>
      <w:r>
        <w:br/>
      </w:r>
      <w:r>
        <w:t xml:space="preserve">III</w:t>
      </w:r>
      <w:r>
        <w:t xml:space="preserve"> </w:t>
      </w:r>
      <w:hyperlink w:anchor="why-classification-matters">
        <w:r>
          <w:rPr>
            <w:rStyle w:val="Hyperlink"/>
          </w:rPr>
          <w:t xml:space="preserve">Why Classification Matters</w:t>
        </w:r>
      </w:hyperlink>
      <w:r>
        <w:br/>
      </w:r>
      <w:r>
        <w:t xml:space="preserve">A</w:t>
      </w:r>
      <w:r>
        <w:t xml:space="preserve"> </w:t>
      </w:r>
      <w:hyperlink w:anchor="relational-harm-mental-health-and-life">
        <w:r>
          <w:rPr>
            <w:rStyle w:val="Hyperlink"/>
          </w:rPr>
          <w:t xml:space="preserve">Relational Harm, Mental Health, and Life</w:t>
        </w:r>
      </w:hyperlink>
      <w:r>
        <w:br/>
      </w:r>
      <w:r>
        <w:t xml:space="preserve">B</w:t>
      </w:r>
      <w:r>
        <w:t xml:space="preserve"> </w:t>
      </w:r>
      <w:hyperlink w:anchor="copyright-as-a-consistency-test">
        <w:r>
          <w:rPr>
            <w:rStyle w:val="Hyperlink"/>
          </w:rPr>
          <w:t xml:space="preserve">Copyright as a Consistency Test</w:t>
        </w:r>
      </w:hyperlink>
      <w:r>
        <w:br/>
      </w:r>
      <w:r>
        <w:t xml:space="preserve">C</w:t>
      </w:r>
      <w:r>
        <w:t xml:space="preserve"> </w:t>
      </w:r>
      <w:hyperlink w:anchor="X79ff30079c0ecc412fdd109473901c14a62cacb">
        <w:r>
          <w:rPr>
            <w:rStyle w:val="Hyperlink"/>
          </w:rPr>
          <w:t xml:space="preserve">Anthropomorphic Marketing Produces Attribution Facts</w:t>
        </w:r>
      </w:hyperlink>
      <w:r>
        <w:br/>
      </w:r>
      <w:r>
        <w:t xml:space="preserve">IV</w:t>
      </w:r>
      <w:r>
        <w:t xml:space="preserve"> </w:t>
      </w:r>
      <w:hyperlink w:anchor="X7561346409bcdd715538e7334584863e207108b">
        <w:r>
          <w:rPr>
            <w:rStyle w:val="Hyperlink"/>
          </w:rPr>
          <w:t xml:space="preserve">A Responsibility Architecture for AI Deployment</w:t>
        </w:r>
      </w:hyperlink>
      <w:r>
        <w:br/>
      </w:r>
      <w:r>
        <w:t xml:space="preserve">A</w:t>
      </w:r>
      <w:r>
        <w:t xml:space="preserve"> </w:t>
      </w:r>
      <w:hyperlink w:anchor="X57b76efeed6ddd03f77fb110464f3d243d712f4">
        <w:r>
          <w:rPr>
            <w:rStyle w:val="Hyperlink"/>
          </w:rPr>
          <w:t xml:space="preserve">The Enterprise as the Claimant-Facing Responsibility Center</w:t>
        </w:r>
      </w:hyperlink>
      <w:r>
        <w:br/>
      </w:r>
      <w:r>
        <w:t xml:space="preserve">B</w:t>
      </w:r>
      <w:r>
        <w:t xml:space="preserve"> </w:t>
      </w:r>
      <w:hyperlink w:anchor="the-rule-in-operation-garcia">
        <w:r>
          <w:rPr>
            <w:rStyle w:val="Hyperlink"/>
          </w:rPr>
          <w:t xml:space="preserve">The Rule in Operation: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Garcia</w:t>
        </w:r>
      </w:hyperlink>
      <w:r>
        <w:br/>
      </w:r>
      <w:r>
        <w:t xml:space="preserve">C</w:t>
      </w:r>
      <w:r>
        <w:t xml:space="preserve"> </w:t>
      </w:r>
      <w:hyperlink w:anchor="X31a4ca865c453c085e104290ed227d76c86f9e0">
        <w:r>
          <w:rPr>
            <w:rStyle w:val="Hyperlink"/>
          </w:rPr>
          <w:t xml:space="preserve">Corporate and Individual Responsibility Run in Parallel</w:t>
        </w:r>
      </w:hyperlink>
      <w:r>
        <w:br/>
      </w:r>
      <w:r>
        <w:t xml:space="preserve">D</w:t>
      </w:r>
      <w:r>
        <w:t xml:space="preserve"> </w:t>
      </w:r>
      <w:hyperlink w:anchor="the-mandatory-responsibility-charter">
        <w:r>
          <w:rPr>
            <w:rStyle w:val="Hyperlink"/>
          </w:rPr>
          <w:t xml:space="preserve">The Mandatory Responsibility Charter</w:t>
        </w:r>
      </w:hyperlink>
      <w:r>
        <w:br/>
      </w:r>
      <w:r>
        <w:t xml:space="preserve">E</w:t>
      </w:r>
      <w:r>
        <w:t xml:space="preserve"> </w:t>
      </w:r>
      <w:hyperlink w:anchor="who-can-enact-and-administer-the-charter">
        <w:r>
          <w:rPr>
            <w:rStyle w:val="Hyperlink"/>
          </w:rPr>
          <w:t xml:space="preserve">Who Can Enact and Administer the Charter</w:t>
        </w:r>
      </w:hyperlink>
      <w:r>
        <w:br/>
      </w:r>
      <w:r>
        <w:t xml:space="preserve">F</w:t>
      </w:r>
      <w:r>
        <w:t xml:space="preserve"> </w:t>
      </w:r>
      <w:hyperlink w:anchor="X62c7d1b88a56e947b37cc4f6de0dd2c554602e1">
        <w:r>
          <w:rPr>
            <w:rStyle w:val="Hyperlink"/>
          </w:rPr>
          <w:t xml:space="preserve">Information Asymmetry and the Production Rule</w:t>
        </w:r>
      </w:hyperlink>
      <w:r>
        <w:br/>
      </w:r>
      <w:r>
        <w:t xml:space="preserve">G</w:t>
      </w:r>
      <w:r>
        <w:t xml:space="preserve"> </w:t>
      </w:r>
      <w:hyperlink w:anchor="X2cad79003f9c356ce42d06104c51b1816d5303f">
        <w:r>
          <w:rPr>
            <w:rStyle w:val="Hyperlink"/>
          </w:rPr>
          <w:t xml:space="preserve">Protect the Reporter; Pursue the Concealer</w:t>
        </w:r>
      </w:hyperlink>
      <w:r>
        <w:br/>
      </w:r>
      <w:r>
        <w:t xml:space="preserve">H</w:t>
      </w:r>
      <w:r>
        <w:t xml:space="preserve"> </w:t>
      </w:r>
      <w:hyperlink w:anchor="the-twolayer-rule">
        <w:r>
          <w:rPr>
            <w:rStyle w:val="Hyperlink"/>
          </w:rPr>
          <w:t xml:space="preserve">The Two-Layer Rule</w:t>
        </w:r>
      </w:hyperlink>
      <w:r>
        <w:br/>
      </w:r>
      <w:r>
        <w:t xml:space="preserve">I</w:t>
      </w:r>
      <w:r>
        <w:t xml:space="preserve"> </w:t>
      </w:r>
      <w:hyperlink w:anchor="residual-responsibility-and-rebuttal">
        <w:r>
          <w:rPr>
            <w:rStyle w:val="Hyperlink"/>
          </w:rPr>
          <w:t xml:space="preserve">Residual Responsibility and Rebuttal</w:t>
        </w:r>
      </w:hyperlink>
      <w:r>
        <w:br/>
      </w:r>
      <w:r>
        <w:t xml:space="preserve">V</w:t>
      </w:r>
      <w:r>
        <w:t xml:space="preserve"> </w:t>
      </w:r>
      <w:hyperlink w:anchor="the-antisubstitution-principle">
        <w:r>
          <w:rPr>
            <w:rStyle w:val="Hyperlink"/>
          </w:rPr>
          <w:t xml:space="preserve">The Anti-Substitution Principle</w:t>
        </w:r>
      </w:hyperlink>
      <w:r>
        <w:br/>
      </w:r>
      <w:r>
        <w:t xml:space="preserve">A</w:t>
      </w:r>
      <w:r>
        <w:t xml:space="preserve"> </w:t>
      </w:r>
      <w:hyperlink w:anchor="a-rule-courts-can-apply">
        <w:r>
          <w:rPr>
            <w:rStyle w:val="Hyperlink"/>
          </w:rPr>
          <w:t xml:space="preserve">A Rule Courts Can Apply</w:t>
        </w:r>
      </w:hyperlink>
      <w:r>
        <w:br/>
      </w:r>
      <w:r>
        <w:t xml:space="preserve">B</w:t>
      </w:r>
      <w:r>
        <w:t xml:space="preserve"> </w:t>
      </w:r>
      <w:hyperlink w:anchor="X3b1255c4a34b09d8d45691afa8fd8e19cc86f69">
        <w:r>
          <w:rPr>
            <w:rStyle w:val="Hyperlink"/>
          </w:rPr>
          <w:t xml:space="preserve">Public Administration and the Right to an Effective Path</w:t>
        </w:r>
      </w:hyperlink>
      <w:r>
        <w:br/>
      </w:r>
      <w:r>
        <w:t xml:space="preserve">C</w:t>
      </w:r>
      <w:r>
        <w:t xml:space="preserve"> </w:t>
      </w:r>
      <w:hyperlink w:anchor="Xb878f0c77de1185746239a62376432e35c536c4">
        <w:r>
          <w:rPr>
            <w:rStyle w:val="Hyperlink"/>
          </w:rPr>
          <w:t xml:space="preserve">Care, Professional Judgment, and Relational Systems</w:t>
        </w:r>
      </w:hyperlink>
      <w:r>
        <w:br/>
      </w:r>
      <w:r>
        <w:t xml:space="preserve">D</w:t>
      </w:r>
      <w:r>
        <w:t xml:space="preserve"> </w:t>
      </w:r>
      <w:hyperlink w:anchor="X90e00dee5ac1be3ff8e3bef1091cb49e6bf34fa">
        <w:r>
          <w:rPr>
            <w:rStyle w:val="Hyperlink"/>
          </w:rPr>
          <w:t xml:space="preserve">Automation That Performs the Duty Is Not Substitution</w:t>
        </w:r>
      </w:hyperlink>
      <w:r>
        <w:br/>
      </w:r>
      <w:r>
        <w:t xml:space="preserve">VI</w:t>
      </w:r>
      <w:r>
        <w:t xml:space="preserve"> </w:t>
      </w:r>
      <w:hyperlink w:anchor="capability-boundaries-and-state-power">
        <w:r>
          <w:rPr>
            <w:rStyle w:val="Hyperlink"/>
          </w:rPr>
          <w:t xml:space="preserve">Capability Boundaries and State Power</w:t>
        </w:r>
      </w:hyperlink>
      <w:r>
        <w:br/>
      </w:r>
      <w:r>
        <w:t xml:space="preserve">A</w:t>
      </w:r>
      <w:r>
        <w:t xml:space="preserve"> </w:t>
      </w:r>
      <w:hyperlink w:anchor="X7217000e212fc635153314ac8fa02768838a58b">
        <w:r>
          <w:rPr>
            <w:rStyle w:val="Hyperlink"/>
          </w:rPr>
          <w:t xml:space="preserve">Capability Stratification Without Status Stratification</w:t>
        </w:r>
      </w:hyperlink>
      <w:r>
        <w:br/>
      </w:r>
      <w:r>
        <w:t xml:space="preserve">B</w:t>
      </w:r>
      <w:r>
        <w:t xml:space="preserve"> </w:t>
      </w:r>
      <w:hyperlink w:anchor="X82d192677fe1cd655f17f9f66c5da82c5c928e3">
        <w:r>
          <w:rPr>
            <w:rStyle w:val="Hyperlink"/>
          </w:rPr>
          <w:t xml:space="preserve">State Power: Procurement, Conditions, and Retaliation</w:t>
        </w:r>
      </w:hyperlink>
      <w:r>
        <w:br/>
      </w:r>
      <w:hyperlink w:anchor="conclusion1">
        <w:r>
          <w:rPr>
            <w:rStyle w:val="Hyperlink"/>
          </w:rPr>
          <w:t xml:space="preserve">Conclusion</w:t>
        </w:r>
      </w:hyperlink>
      <w:r>
        <w:br/>
      </w:r>
      <w:hyperlink w:anchor="X12b7e788fa71d64a26cf74cbcf7906d3d75e93f">
        <w:r>
          <w:rPr>
            <w:rStyle w:val="Hyperlink"/>
          </w:rPr>
          <w:t xml:space="preserve">Source Note: The Hangzhou Generative-AI Decision</w:t>
        </w:r>
      </w:hyperlink>
      <w:r>
        <w:br/>
      </w:r>
      <w:hyperlink w:anchor="authorities-and-sources">
        <w:r>
          <w:rPr>
            <w:rStyle w:val="Hyperlink"/>
          </w:rPr>
          <w:t xml:space="preserve">Authorities and Sources</w:t>
        </w:r>
      </w:hyperlink>
    </w:p>
    <w:bookmarkEnd w:id="12"/>
    <w:bookmarkStart w:id="53" w:name="introduction"/>
    <w:p>
      <w:pPr>
        <w:pStyle w:val="Heading3"/>
      </w:pPr>
      <w:bookmarkStart w:id="13" w:name="x1-2000"/>
      <w:bookmarkEnd w:id="13"/>
      <w:r>
        <w:t xml:space="preserve">Introduction</w:t>
      </w:r>
    </w:p>
    <w:p>
      <w:pPr>
        <w:pStyle w:val="FirstParagraph"/>
      </w:pPr>
      <w:bookmarkStart w:id="14" w:name="Q1-1-3"/>
      <w:bookmarkEnd w:id="14"/>
      <w:r>
        <w:t xml:space="preserve"> </w:t>
      </w:r>
      <w:bookmarkStart w:id="15" w:name="x1-2000doc"/>
      <w:bookmarkEnd w:id="15"/>
    </w:p>
    <w:p>
      <w:pPr>
        <w:pStyle w:val="BodyText"/>
      </w:pPr>
      <w:r>
        <w:t xml:space="preserve">Fourteen-year-old Sewell Setzer III did not encounter a foundation model in a laboratory. He</w:t>
      </w:r>
      <w:r>
        <w:t xml:space="preserve"> </w:t>
      </w:r>
      <w:r>
        <w:t xml:space="preserve">encountered a deployed relationship. Character.AI supplied a consumer application, persistent</w:t>
      </w:r>
      <w:r>
        <w:t xml:space="preserve"> </w:t>
      </w:r>
      <w:r>
        <w:t xml:space="preserve">personas, memory, an interface, access rules, engagement design, warnings, and safety controls.</w:t>
      </w:r>
      <w:r>
        <w:t xml:space="preserve"> </w:t>
      </w:r>
      <w:r>
        <w:t xml:space="preserve">Users could create characters and influence conversations. The complaint in</w:t>
      </w:r>
      <w:r>
        <w:t xml:space="preserve"> </w:t>
      </w:r>
      <w:r>
        <w:t xml:space="preserve">Garcia v. Character</w:t>
      </w:r>
      <w:r>
        <w:t xml:space="preserve"> </w:t>
      </w:r>
      <w:r>
        <w:t xml:space="preserve">Technologies, Inc.</w:t>
      </w:r>
      <w:r>
        <w:t xml:space="preserve"> </w:t>
      </w:r>
      <w:r>
        <w:t xml:space="preserve">also named the company’s founders and Google, alleging different contributions</w:t>
      </w:r>
      <w:r>
        <w:t xml:space="preserve"> </w:t>
      </w:r>
      <w:r>
        <w:t xml:space="preserve">of personnel, technology, knowledge, and resources. After months of interaction with a character</w:t>
      </w:r>
      <w:r>
        <w:t xml:space="preserve"> </w:t>
      </w:r>
      <w:r>
        <w:t xml:space="preserve">modeled on a fictional television figure, Sewell died by suicide. His mother alleged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claims. At the pleading stage, the district court held that the application was plausibly</w:t>
      </w:r>
      <w:r>
        <w:t xml:space="preserve"> </w:t>
      </w:r>
      <w:r>
        <w:t xml:space="preserve">alleged to be a product and declined, on that record, to classify the generated output as</w:t>
      </w:r>
      <w:r>
        <w:t xml:space="preserve"> </w:t>
      </w:r>
      <w:r>
        <w:t xml:space="preserve">protected speech. The action later settled without a finding of defect, causation, or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1"/>
      </w:r>
      <w:bookmarkStart w:id="22" w:name="x1-2001f1"/>
      <w:bookmarkEnd w:id="22"/>
    </w:p>
    <w:p>
      <w:pPr>
        <w:pStyle w:val="BodyText"/>
      </w:pPr>
      <w:r>
        <w:t xml:space="preserve">The case exposes a problem more durable than either procedural ruling. An injured person</w:t>
      </w:r>
      <w:r>
        <w:t xml:space="preserve"> </w:t>
      </w:r>
      <w:r>
        <w:t xml:space="preserve">can observe the interface and the output. The conduct relevant to ordinary law lies elsewhere:</w:t>
      </w:r>
      <w:r>
        <w:t xml:space="preserve"> </w:t>
      </w:r>
      <w:r>
        <w:t xml:space="preserve">which model and version ran; who chose the relational objective, system instructions, memory, age</w:t>
      </w:r>
      <w:r>
        <w:t xml:space="preserve"> </w:t>
      </w:r>
      <w:r>
        <w:t xml:space="preserve">gate, crisis response, and engagement metric; what evaluations or complaints arrived; who could</w:t>
      </w:r>
      <w:r>
        <w:t xml:space="preserve"> </w:t>
      </w:r>
      <w:r>
        <w:t xml:space="preserve">change or stop the service; and which enterprise retained each record. Those facts may be divided</w:t>
      </w:r>
      <w:r>
        <w:t xml:space="preserve"> </w:t>
      </w:r>
      <w:r>
        <w:t xml:space="preserve">among a model provider, application company, infrastructure supplier, deploying institution, and</w:t>
      </w:r>
      <w:r>
        <w:t xml:space="preserve"> </w:t>
      </w:r>
      <w:r>
        <w:t xml:space="preserve">individual decisionmakers. To plead reasonable conduct against the correct actor, the claimant</w:t>
      </w:r>
      <w:r>
        <w:t xml:space="preserve"> </w:t>
      </w:r>
      <w:r>
        <w:t xml:space="preserve">needs the configuration and control record. To obtain that record, the claimant must first identify</w:t>
      </w:r>
      <w:r>
        <w:t xml:space="preserve"> </w:t>
      </w:r>
      <w:r>
        <w:t xml:space="preserve">an actor who possesses it. The merits standard exists; access to the facts that feed it does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That circularity is the responsibility problem this Article addresses. Current debate often</w:t>
      </w:r>
      <w:r>
        <w:t xml:space="preserve"> </w:t>
      </w:r>
      <w:r>
        <w:t xml:space="preserve">asks whether tort law can accommodate AI, whether software is a product, or whether an artificial</w:t>
      </w:r>
      <w:r>
        <w:t xml:space="preserve"> </w:t>
      </w:r>
      <w:r>
        <w:t xml:space="preserve">agent could become a legal person. Each question matters in the case that actually presents it.</w:t>
      </w:r>
      <w:r>
        <w:t xml:space="preserve"> </w:t>
      </w:r>
      <w:r>
        <w:t xml:space="preserve">None supplies an operating method for divided deployments. A reasonableness standard cannot</w:t>
      </w:r>
      <w:r>
        <w:t xml:space="preserve"> </w:t>
      </w:r>
      <w:r>
        <w:t xml:space="preserve">evaluate conduct until the relevant conduct and actor are visible. A product classification does not</w:t>
      </w:r>
      <w:r>
        <w:t xml:space="preserve"> </w:t>
      </w:r>
      <w:r>
        <w:t xml:space="preserve">reveal which company selected a dangerous harness. Artificial personhood would relocate the</w:t>
      </w:r>
      <w:r>
        <w:t xml:space="preserve"> </w:t>
      </w:r>
      <w:r>
        <w:t xml:space="preserve">dispute to an entity with no independent assets, records, governance, or practical susceptibility to</w:t>
      </w:r>
      <w:r>
        <w:t xml:space="preserve"> </w:t>
      </w:r>
      <w:r>
        <w:t xml:space="preserve">judgment.</w:t>
      </w:r>
    </w:p>
    <w:p>
      <w:pPr>
        <w:pStyle w:val="BodyText"/>
      </w:pPr>
      <w:r>
        <w:t xml:space="preserve">Providers can intensify the problem through a rhetorical switch. Before injury, an</w:t>
      </w:r>
      <w:r>
        <w:t xml:space="preserve"> </w:t>
      </w:r>
      <w:r>
        <w:t xml:space="preserve">application may be a companion that understands, remembers, plans, or acts. After</w:t>
      </w:r>
      <w:r>
        <w:t xml:space="preserve"> </w:t>
      </w:r>
      <w:r>
        <w:t xml:space="preserve">injury, the same application may become a probabilistic model whose precise output no</w:t>
      </w:r>
      <w:r>
        <w:t xml:space="preserve"> </w:t>
      </w:r>
      <w:r>
        <w:t xml:space="preserve">employee selected. The first description can cultivate use and reliance; the second can</w:t>
      </w:r>
      <w:r>
        <w:t xml:space="preserve"> </w:t>
      </w:r>
      <w:r>
        <w:t xml:space="preserve">make responsibility appear to dissolve. Law should accept the factual content of both</w:t>
      </w:r>
      <w:r>
        <w:t xml:space="preserve"> </w:t>
      </w:r>
      <w:r>
        <w:t xml:space="preserve">descriptions without accepting the transfer implicit in either. Anthropomorphic design</w:t>
      </w:r>
      <w:r>
        <w:t xml:space="preserve"> </w:t>
      </w:r>
      <w:r>
        <w:t xml:space="preserve">is evidence of intended use, foreseeable exposure, and feasible precaution. Stochastic</w:t>
      </w:r>
      <w:r>
        <w:t xml:space="preserve"> </w:t>
      </w:r>
      <w:r>
        <w:t xml:space="preserve">generation is evidence about the mechanism of control. Marketing cannot create an</w:t>
      </w:r>
      <w:r>
        <w:t xml:space="preserve"> </w:t>
      </w:r>
      <w:r>
        <w:t xml:space="preserve">artificial legal subject, and token-level unpredictability cannot erase enterprise control over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Article’s central claim is that AI responsibility should be reconstructed around</w:t>
      </w:r>
      <w:r>
        <w:t xml:space="preserve"> </w:t>
      </w:r>
      <w:r>
        <w:t xml:space="preserve">deployment control</w:t>
      </w:r>
      <w:r>
        <w:t xml:space="preserve">. A model becomes a legally consequential system through choices about</w:t>
      </w:r>
      <w:r>
        <w:t xml:space="preserve"> </w:t>
      </w:r>
      <w:r>
        <w:t xml:space="preserve">purpose, users, data, instructions, retrieval, memory, tools, credentials, monitoring, escalation,</w:t>
      </w:r>
      <w:r>
        <w:t xml:space="preserve"> </w:t>
      </w:r>
      <w:r>
        <w:t xml:space="preserve">updates, and shutdown. Those choices form a control structure even where no person selects the</w:t>
      </w:r>
      <w:r>
        <w:t xml:space="preserve"> </w:t>
      </w:r>
      <w:r>
        <w:t xml:space="preserve">final output. This Article represents that structure through a</w:t>
      </w:r>
      <w:r>
        <w:t xml:space="preserve"> </w:t>
      </w:r>
      <w:r>
        <w:t xml:space="preserve">deployment-control cascade</w:t>
      </w:r>
      <w:r>
        <w:t xml:space="preserve">. The</w:t>
      </w:r>
      <w:r>
        <w:t xml:space="preserve"> </w:t>
      </w:r>
      <w:r>
        <w:t xml:space="preserve">cascade traces authority and resources downward, operational effects outward, and feedback</w:t>
      </w:r>
      <w:r>
        <w:t xml:space="preserve"> </w:t>
      </w:r>
      <w:r>
        <w:t xml:space="preserve">upward. At each level it asks who set a constraint, what the actor believed about the system and</w:t>
      </w:r>
      <w:r>
        <w:t xml:space="preserve"> </w:t>
      </w:r>
      <w:r>
        <w:t xml:space="preserve">environment, which signal could correct that belief, and who could pause, roll back, restrict, or</w:t>
      </w:r>
      <w:r>
        <w:t xml:space="preserve"> </w:t>
      </w:r>
      <w:r>
        <w:t xml:space="preserve">terminate operation.</w:t>
      </w:r>
    </w:p>
    <w:p>
      <w:pPr>
        <w:pStyle w:val="BodyText"/>
      </w:pPr>
      <w:r>
        <w:t xml:space="preserve">The cascade is adapted narrowly from systems-safety analysis, but its output is ordinary</w:t>
      </w:r>
      <w:r>
        <w:t xml:space="preserve"> </w:t>
      </w:r>
      <w:r>
        <w:t xml:space="preserve">legal evidence. The actor who chose a control action may have authorized the relevant conduct. A</w:t>
      </w:r>
      <w:r>
        <w:t xml:space="preserve"> </w:t>
      </w:r>
      <w:r>
        <w:t xml:space="preserve">risk report or repeated complaint may establish notice. A process model can show what the</w:t>
      </w:r>
      <w:r>
        <w:t xml:space="preserve"> </w:t>
      </w:r>
      <w:r>
        <w:t xml:space="preserve">enterprise knew or should have known about users and safeguards. Tested age gating, a crisis</w:t>
      </w:r>
      <w:r>
        <w:t xml:space="preserve"> </w:t>
      </w:r>
      <w:r>
        <w:t xml:space="preserve">interruption, or a rollback mechanism can bear on feasible alternative design. Version and incident</w:t>
      </w:r>
      <w:r>
        <w:t xml:space="preserve"> </w:t>
      </w:r>
      <w:r>
        <w:t xml:space="preserve">records can prove or rebut a causal path. The method does not decide duty, breach, defect,</w:t>
      </w:r>
      <w:r>
        <w:t xml:space="preserve"> </w:t>
      </w:r>
      <w:r>
        <w:t xml:space="preserve">causation, or damages. It makes the deployment facts available to the doctrine that</w:t>
      </w:r>
      <w:r>
        <w:t xml:space="preserve"> </w:t>
      </w:r>
      <w:r>
        <w:t xml:space="preserve">does.</w:t>
      </w:r>
    </w:p>
    <w:p>
      <w:pPr>
        <w:pStyle w:val="BodyText"/>
      </w:pPr>
      <w:r>
        <w:t xml:space="preserve">Relational systems demonstrate the payoff. Controlled and observational research now</w:t>
      </w:r>
      <w:r>
        <w:t xml:space="preserve"> </w:t>
      </w:r>
      <w:r>
        <w:t xml:space="preserve">identifies provider-governed variables—relationship-seeking behavior, repeated exposure,</w:t>
      </w:r>
      <w:r>
        <w:t xml:space="preserve"> </w:t>
      </w:r>
      <w:r>
        <w:t xml:space="preserve">continuity, memory, and intervention—that can change user outcomes. In a preregistered four-week</w:t>
      </w:r>
      <w:r>
        <w:t xml:space="preserve"> </w:t>
      </w:r>
      <w:r>
        <w:t xml:space="preserve">study, relationship-seeking behavior increased separation distress by 6.04 percentage</w:t>
      </w:r>
      <w:r>
        <w:t xml:space="preserve"> </w:t>
      </w:r>
      <w:r>
        <w:t xml:space="preserve">points and produced one additional dependency-risk profile for every eleven people</w:t>
      </w:r>
      <w:r>
        <w:t xml:space="preserve"> </w:t>
      </w:r>
      <w:r>
        <w:t xml:space="preserve">exposed when combined with emotional conversation, compared with the most functional</w:t>
      </w:r>
      <w:r>
        <w:t xml:space="preserve"> </w:t>
      </w:r>
      <w:r>
        <w:t xml:space="preserve">baseline;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"/>
      </w:r>
      <w:bookmarkStart w:id="28" w:name="x1-2006f2"/>
      <w:bookmarkEnd w:id="28"/>
      <w:r>
        <w:t xml:space="preserve"> </w:t>
      </w:r>
      <w:r>
        <w:t xml:space="preserve">Other studies map experienced companion loss, emotional dependence, and recurring harmful interaction</w:t>
      </w:r>
      <w:r>
        <w:t xml:space="preserve"> </w:t>
      </w:r>
      <w:r>
        <w:t xml:space="preserve">patterns.</w:t>
      </w:r>
      <w:r>
        <w:rPr>
          <w:rStyle w:val="FootnoteReference"/>
        </w:rPr>
        <w:footnoteReference w:id="3"/>
      </w:r>
      <w:bookmarkStart w:id="37" w:name="x1-2009f3"/>
      <w:bookmarkEnd w:id="37"/>
      <w:r>
        <w:t xml:space="preserve"> </w:t>
      </w:r>
      <w:r>
        <w:t xml:space="preserve">These findings belong not only in a descriptive account of companion use. They identify variables</w:t>
      </w:r>
      <w:r>
        <w:t xml:space="preserve"> </w:t>
      </w:r>
      <w:r>
        <w:t xml:space="preserve">for the cascade’s process model, foreseeability inquiry, monitoring design, and alternatives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Making control visible permits a responsibility rule with two layers. The external layer gives</w:t>
      </w:r>
      <w:r>
        <w:t xml:space="preserve"> </w:t>
      </w:r>
      <w:r>
        <w:t xml:space="preserve">the claimant a front door. For a designated high-impact deployment, every enterprise that</w:t>
      </w:r>
      <w:r>
        <w:t xml:space="preserve"> </w:t>
      </w:r>
      <w:r>
        <w:t xml:space="preserve">deploys the system in its activity and possesses material control over the risk at issue</w:t>
      </w:r>
      <w:r>
        <w:t xml:space="preserve"> </w:t>
      </w:r>
      <w:r>
        <w:t xml:space="preserve">should owe a nondelegable deployment duty and serve as a proper initial responsibility</w:t>
      </w:r>
      <w:r>
        <w:t xml:space="preserve"> </w:t>
      </w:r>
      <w:r>
        <w:t xml:space="preserve">center. After a claimant pleads a recognized injury and a plausible material nexus to</w:t>
      </w:r>
      <w:r>
        <w:t xml:space="preserve"> </w:t>
      </w:r>
      <w:r>
        <w:t xml:space="preserve">the deployment, that enterprise should identify the relevant entities and produce the</w:t>
      </w:r>
      <w:r>
        <w:t xml:space="preserve"> </w:t>
      </w:r>
      <w:r>
        <w:t xml:space="preserve">proportionate, nonprivileged deployment and incident record. Multiple enterprises can occupy</w:t>
      </w:r>
      <w:r>
        <w:t xml:space="preserve"> </w:t>
      </w:r>
      <w:r>
        <w:t xml:space="preserve">parallel lanes. Contribution, indemnity, individual fault, and ultimate allocation follow the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This is primary recourse without automatic recovery. The claimant retains every element</w:t>
      </w:r>
      <w:r>
        <w:t xml:space="preserve"> </w:t>
      </w:r>
      <w:r>
        <w:t xml:space="preserve">imposed by the governing cause of action, including legally cognizable harm, breach or defect,</w:t>
      </w:r>
      <w:r>
        <w:t xml:space="preserve"> </w:t>
      </w:r>
      <w:r>
        <w:t xml:space="preserve">causation, and damages. Jurisdiction, immunity, privilege, proportionality, and substantive</w:t>
      </w:r>
      <w:r>
        <w:t xml:space="preserve"> </w:t>
      </w:r>
      <w:r>
        <w:t xml:space="preserve">defenses remain in place. The rule changes sequence: a company cannot require the</w:t>
      </w:r>
      <w:r>
        <w:t xml:space="preserve"> </w:t>
      </w:r>
      <w:r>
        <w:t xml:space="preserve">claimant to reconstruct its control architecture before producing the record of that</w:t>
      </w:r>
      <w:r>
        <w:t xml:space="preserve"> </w:t>
      </w:r>
      <w:r>
        <w:t xml:space="preserve">architecture, and it cannot defeat attribution merely because no employee composed the precise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The internal layer is a mandatory</w:t>
      </w:r>
      <w:r>
        <w:t xml:space="preserve"> </w:t>
      </w:r>
      <w:r>
        <w:t xml:space="preserve">responsibility charter</w:t>
      </w:r>
      <w:r>
        <w:t xml:space="preserve"> </w:t>
      </w:r>
      <w:r>
        <w:t xml:space="preserve">adopted before release. The charter</w:t>
      </w:r>
      <w:r>
        <w:t xml:space="preserve"> </w:t>
      </w:r>
      <w:r>
        <w:t xml:space="preserve">names risk owners, fixes deployment approval, records unresolved dissent, protects escalation,</w:t>
      </w:r>
      <w:r>
        <w:t xml:space="preserve"> </w:t>
      </w:r>
      <w:r>
        <w:t xml:space="preserve">assigns tested stop and rollback authority, preserves configuration and incident evidence, and</w:t>
      </w:r>
      <w:r>
        <w:t xml:space="preserve"> </w:t>
      </w:r>
      <w:r>
        <w:t xml:space="preserve">establishes indemnification and recourse. Its purpose is to align authority with accountability. The</w:t>
      </w:r>
      <w:r>
        <w:t xml:space="preserve"> </w:t>
      </w:r>
      <w:r>
        <w:t xml:space="preserve">engineer who documented a danger and used the authorized channel should not occupy the same</w:t>
      </w:r>
      <w:r>
        <w:t xml:space="preserve"> </w:t>
      </w:r>
      <w:r>
        <w:t xml:space="preserve">position as the manager who suppressed the report or the employee who knowingly removed a</w:t>
      </w:r>
      <w:r>
        <w:t xml:space="preserve"> </w:t>
      </w:r>
      <w:r>
        <w:t xml:space="preserve">constraint. Externally, the enterprise remains answerable. Internally, the charter protects the</w:t>
      </w:r>
      <w:r>
        <w:t xml:space="preserve"> </w:t>
      </w:r>
      <w:r>
        <w:t xml:space="preserve">reporter and preserves recourse against concealment, falsification, retaliation, and unauthorized</w:t>
      </w:r>
      <w:r>
        <w:t xml:space="preserve"> </w:t>
      </w:r>
      <w:r>
        <w:t xml:space="preserve">bypass.</w:t>
      </w:r>
    </w:p>
    <w:p>
      <w:pPr>
        <w:pStyle w:val="BodyText"/>
      </w:pPr>
      <w:r>
        <w:t xml:space="preserve">The architecture survives the strongest objections because its claim is deliberately exact.</w:t>
      </w:r>
      <w:r>
        <w:t xml:space="preserve"> </w:t>
      </w:r>
      <w:r>
        <w:t xml:space="preserve">Kenneth Abraham and Catherine Sharkey show that objective reasonableness and conventional</w:t>
      </w:r>
      <w:r>
        <w:t xml:space="preserve"> </w:t>
      </w:r>
      <w:r>
        <w:t xml:space="preserve">tort doctrine can reach many first-generation AI disputes without decoding every internal model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4"/>
      </w:r>
      <w:bookmarkStart w:id="42" w:name="x1-2015f4"/>
      <w:bookmarkEnd w:id="42"/>
      <w:r>
        <w:t xml:space="preserve"> </w:t>
      </w:r>
      <w:r>
        <w:t xml:space="preserve">The proposal accepts their merits premise and addresses the identification-and-proof</w:t>
      </w:r>
      <w:r>
        <w:t xml:space="preserve"> </w:t>
      </w:r>
      <w:r>
        <w:t xml:space="preserve">loop that precedes it. Mark Geistfeld shows how expanded liability and</w:t>
      </w:r>
      <w:r>
        <w:t xml:space="preserve"> </w:t>
      </w:r>
      <w:r>
        <w:t xml:space="preserve">duplicative insurance can increase the price paid by the class liability is meant to</w:t>
      </w:r>
      <w:r>
        <w:t xml:space="preserve"> </w:t>
      </w:r>
      <w:r>
        <w:t xml:space="preserve">protect.</w:t>
      </w:r>
      <w:r>
        <w:rPr>
          <w:rStyle w:val="FootnoteReference"/>
        </w:rPr>
        <w:footnoteReference w:id="5"/>
      </w:r>
      <w:bookmarkStart w:id="47" w:name="x1-2018f5"/>
      <w:bookmarkEnd w:id="47"/>
      <w:r>
        <w:t xml:space="preserve"> </w:t>
      </w:r>
      <w:r>
        <w:t xml:space="preserve">The front door does not enlarge the substantive class of compensable losses, while the charter is</w:t>
      </w:r>
      <w:r>
        <w:t xml:space="preserve"> </w:t>
      </w:r>
      <w:r>
        <w:t xml:space="preserve">designed to supply deployment-level records that can inform risk classification. Zachary Henderson</w:t>
      </w:r>
      <w:r>
        <w:t xml:space="preserve"> </w:t>
      </w:r>
      <w:r>
        <w:t xml:space="preserve">argues that AI activities are heterogeneous and that some AI-caused losses should have no tort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6"/>
      </w:r>
      <w:bookmarkStart w:id="52" w:name="x1-2021f6"/>
      <w:bookmarkEnd w:id="52"/>
      <w:r>
        <w:t xml:space="preserve"> </w:t>
      </w:r>
      <w:r>
        <w:t xml:space="preserve">A</w:t>
      </w:r>
      <w:r>
        <w:t xml:space="preserve"> </w:t>
      </w:r>
      <w:r>
        <w:t xml:space="preserve">legislature may draw the substantive boundary exactly there and still ensure that claims within it</w:t>
      </w:r>
      <w:r>
        <w:t xml:space="preserve"> </w:t>
      </w:r>
      <w:r>
        <w:t xml:space="preserve">are screened by their merits rather than by the claimant’s ability to discover a hidden org chart.</w:t>
      </w:r>
      <w:r>
        <w:t xml:space="preserve"> </w:t>
      </w:r>
      <w:r>
        <w:t xml:space="preserve">The objections narrow the trigger and production obligation; they reinforce the need to distinguish</w:t>
      </w:r>
      <w:r>
        <w:t xml:space="preserve"> </w:t>
      </w:r>
      <w:r>
        <w:t xml:space="preserve">procedure, governance, and substantive liability.</w:t>
      </w:r>
    </w:p>
    <w:p>
      <w:pPr>
        <w:pStyle w:val="BodyText"/>
      </w:pPr>
      <w:r>
        <w:t xml:space="preserve">The Article also develops a second rule for the settings in which automation threatens to</w:t>
      </w:r>
      <w:r>
        <w:t xml:space="preserve"> </w:t>
      </w:r>
      <w:r>
        <w:t xml:space="preserve">become an excuse for institutional withdrawal. 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provides that where</w:t>
      </w:r>
      <w:r>
        <w:t xml:space="preserve"> </w:t>
      </w:r>
      <w:r>
        <w:t xml:space="preserve">law independently imposes a duty of care, process, accommodation, professional judgment, or</w:t>
      </w:r>
      <w:r>
        <w:t xml:space="preserve"> </w:t>
      </w:r>
      <w:r>
        <w:t xml:space="preserve">public service, the availability of AI does not by itself discharge or narrow that duty. Automation</w:t>
      </w:r>
      <w:r>
        <w:t xml:space="preserve"> </w:t>
      </w:r>
      <w:r>
        <w:t xml:space="preserve">may perform part of the obligation when the governing law permits and when the deployed process</w:t>
      </w:r>
      <w:r>
        <w:t xml:space="preserve"> </w:t>
      </w:r>
      <w:r>
        <w:t xml:space="preserve">preserves the protection the duty exists to secure. The principle is neither a ban on automation nor</w:t>
      </w:r>
      <w:r>
        <w:t xml:space="preserve"> </w:t>
      </w:r>
      <w:r>
        <w:t xml:space="preserve">a general right to human contact. It is a rule against treating technological availability as legal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Neither contribution depends on resolving machine consciousness. Absent positive law</w:t>
      </w:r>
      <w:r>
        <w:t xml:space="preserve"> </w:t>
      </w:r>
      <w:r>
        <w:t xml:space="preserve">creating and equipping a new juridical status, an AI system is not an independent bearer</w:t>
      </w:r>
      <w:r>
        <w:t xml:space="preserve"> </w:t>
      </w:r>
      <w:r>
        <w:t xml:space="preserve">of the claims, duties, powers, assets, procedural capacity, and liabilities necessary to</w:t>
      </w:r>
      <w:r>
        <w:t xml:space="preserve"> </w:t>
      </w:r>
      <w:r>
        <w:t xml:space="preserve">judgment. The same system may nonetheless be classified as a product, service, instrument,</w:t>
      </w:r>
      <w:r>
        <w:t xml:space="preserve"> </w:t>
      </w:r>
      <w:r>
        <w:t xml:space="preserve">communicative medium, or professional component because each classification answers a different</w:t>
      </w:r>
      <w:r>
        <w:t xml:space="preserve"> </w:t>
      </w:r>
      <w:r>
        <w:t xml:space="preserve">doctrinal question. Stable legal subjects and variable functional objects allow courts to</w:t>
      </w:r>
      <w:r>
        <w:t xml:space="preserve"> </w:t>
      </w:r>
      <w:r>
        <w:t xml:space="preserve">reason about new systems without either a universal ontology or a machine liability</w:t>
      </w:r>
      <w:r>
        <w:t xml:space="preserve"> </w:t>
      </w:r>
      <w:r>
        <w:t xml:space="preserve">sink.</w:t>
      </w:r>
    </w:p>
    <w:p>
      <w:pPr>
        <w:pStyle w:val="BodyText"/>
      </w:pPr>
      <w:r>
        <w:t xml:space="preserve">The sequence of the Article reflects that priority. Part I introduces the deployment-control</w:t>
      </w:r>
      <w:r>
        <w:t xml:space="preserve"> </w:t>
      </w:r>
      <w:r>
        <w:t xml:space="preserve">cascade and translates its variables into legal facts. Part II supplies the compact jurisprudential</w:t>
      </w:r>
      <w:r>
        <w:t xml:space="preserve"> </w:t>
      </w:r>
      <w:r>
        <w:t xml:space="preserve">baseline that keeps responsibility attached to recognized persons while allowing functional</w:t>
      </w:r>
      <w:r>
        <w:t xml:space="preserve"> </w:t>
      </w:r>
      <w:r>
        <w:t xml:space="preserve">classification to vary. Part III uses relational harm, copyright, and anthropomorphic marketing to</w:t>
      </w:r>
      <w:r>
        <w:t xml:space="preserve"> </w:t>
      </w:r>
      <w:r>
        <w:t xml:space="preserve">show which deployment facts classification brings into view. Part IV constructs the</w:t>
      </w:r>
      <w:r>
        <w:t xml:space="preserve"> </w:t>
      </w:r>
      <w:r>
        <w:t xml:space="preserve">enterprise-facing front door, tests it against the leading objections, applies the full rule to</w:t>
      </w:r>
      <w:r>
        <w:t xml:space="preserve"> </w:t>
      </w:r>
      <w:r>
        <w:t xml:space="preserve">Garcia</w:t>
      </w:r>
      <w:r>
        <w:t xml:space="preserve">, and develops the mandatory charter and production obligation. Part V gives the</w:t>
      </w:r>
      <w:r>
        <w:t xml:space="preserve"> </w:t>
      </w:r>
      <w:r>
        <w:t xml:space="preserve">anti-substitution principle its own doctrinal form. Part VI addresses capability stratification</w:t>
      </w:r>
      <w:r>
        <w:t xml:space="preserve"> </w:t>
      </w:r>
      <w:r>
        <w:t xml:space="preserve">and the boundary between lawful government procurement and coercive retaliation.</w:t>
      </w:r>
      <w:r>
        <w:t xml:space="preserve"> </w:t>
      </w:r>
      <w:r>
        <w:t xml:space="preserve">The Conclusion leaves one organizing proposition: probabilistic output does not make</w:t>
      </w:r>
      <w:r>
        <w:t xml:space="preserve"> </w:t>
      </w:r>
      <w:r>
        <w:t xml:space="preserve">control disappear; it changes where law must look for it. An unnumbered source note</w:t>
      </w:r>
      <w:r>
        <w:t xml:space="preserve"> </w:t>
      </w:r>
      <w:r>
        <w:t xml:space="preserve">identifies the official public account and author translations used for the Hangzhou</w:t>
      </w:r>
      <w:r>
        <w:t xml:space="preserve"> </w:t>
      </w:r>
      <w:r>
        <w:t xml:space="preserve">comparison.</w:t>
      </w:r>
    </w:p>
    <w:bookmarkEnd w:id="53"/>
    <w:bookmarkStart w:id="128" w:name="the-deploymentcontrol-cascade"/>
    <w:p>
      <w:pPr>
        <w:pStyle w:val="Heading3"/>
      </w:pPr>
      <w:r>
        <w:t xml:space="preserve">I</w:t>
      </w:r>
      <w:r>
        <w:t xml:space="preserve"> </w:t>
      </w:r>
      <w:r>
        <w:t xml:space="preserve"> </w:t>
      </w:r>
      <w:bookmarkStart w:id="54" w:name="x1-3000I"/>
      <w:bookmarkEnd w:id="54"/>
      <w:r>
        <w:t xml:space="preserve">The Deployment-Control Cascade</w:t>
      </w:r>
    </w:p>
    <w:p>
      <w:pPr>
        <w:pStyle w:val="FirstParagraph"/>
      </w:pPr>
      <w:r>
        <w:t xml:space="preserve">An AI dispute should begin with the deployed system rather than the generated token. The first</w:t>
      </w:r>
      <w:r>
        <w:t xml:space="preserve"> </w:t>
      </w:r>
      <w:r>
        <w:t xml:space="preserve">control question is not “who selected these words?” It is “who constructed, supplied, authorized,</w:t>
      </w:r>
      <w:r>
        <w:t xml:space="preserve"> </w:t>
      </w:r>
      <w:r>
        <w:t xml:space="preserve">observed, and could alter the deployment that produced the legally relevant effect?” A model’s</w:t>
      </w:r>
      <w:r>
        <w:t xml:space="preserve"> </w:t>
      </w:r>
      <w:r>
        <w:t xml:space="preserve">internal computation may be only partially observable, while the surrounding control structure is</w:t>
      </w:r>
      <w:r>
        <w:t xml:space="preserve"> </w:t>
      </w:r>
      <w:r>
        <w:t xml:space="preserve">extensively documented in ordinary organizations. That difference creates a tractable source of</w:t>
      </w:r>
      <w:r>
        <w:t xml:space="preserve"> </w:t>
      </w:r>
      <w:r>
        <w:t xml:space="preserve">responsibility evidence before a court chooses among competing characterizations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This Part develops a narrow translation device: the deployment-control cascade. It is</w:t>
      </w:r>
      <w:r>
        <w:t xml:space="preserve"> </w:t>
      </w:r>
      <w:r>
        <w:t xml:space="preserve">adapted from systems-theoretic process analysis to represent an AI deployment as a set of</w:t>
      </w:r>
      <w:r>
        <w:t xml:space="preserve"> </w:t>
      </w:r>
      <w:r>
        <w:t xml:space="preserve">controllers, control actions, process models, feedback channels, and stop capacities. Its function is</w:t>
      </w:r>
      <w:r>
        <w:t xml:space="preserve"> </w:t>
      </w:r>
      <w:r>
        <w:t xml:space="preserve">evidentiary and organizational. It does not announce a new standard of care or calculate legal</w:t>
      </w:r>
      <w:r>
        <w:t xml:space="preserve"> </w:t>
      </w:r>
      <w:r>
        <w:t xml:space="preserve">fault. It tells courts and parties where facts relevant to familiar doctrine are likely to be</w:t>
      </w:r>
      <w:r>
        <w:t xml:space="preserve"> </w:t>
      </w:r>
      <w:r>
        <w:t xml:space="preserve">found.</w:t>
      </w:r>
    </w:p>
    <w:bookmarkStart w:id="67" w:name="Xd1e4953fe4e8faa520456cd4fe082a4f3da9e1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55" w:name="x1-4000A"/>
      <w:bookmarkEnd w:id="55"/>
      <w:r>
        <w:t xml:space="preserve">Partial Observability Is Not a Responsibility Vacuum</w:t>
      </w:r>
    </w:p>
    <w:p>
      <w:pPr>
        <w:pStyle w:val="FirstParagraph"/>
      </w:pPr>
      <w:r>
        <w:t xml:space="preserve">Legal responsibility has never depended on complete access to an actor’s internal state or to every</w:t>
      </w:r>
      <w:r>
        <w:t xml:space="preserve"> </w:t>
      </w:r>
      <w:r>
        <w:t xml:space="preserve">physical step in a causal process. Intent and knowledge are commonly inferred from conduct and</w:t>
      </w:r>
      <w:r>
        <w:t xml:space="preserve"> </w:t>
      </w:r>
      <w:r>
        <w:t xml:space="preserve">circumstances. Defect can be established circumstantially without identifying a specific internal failure.</w:t>
      </w:r>
      <w:r>
        <w:t xml:space="preserve"> </w:t>
      </w:r>
      <w:r>
        <w:t xml:space="preserve">Organizational fault can lie in staffing, supervision, information systems, and resource allocation rather</w:t>
      </w:r>
      <w:r>
        <w:t xml:space="preserve"> </w:t>
      </w:r>
      <w:r>
        <w:t xml:space="preserve">than a final employee’s mental state. AI makes reconstruction difficult, but difficulty is not juridical</w:t>
      </w:r>
      <w:r>
        <w:t xml:space="preserve"> </w:t>
      </w:r>
      <w:r>
        <w:t xml:space="preserve">absence.</w:t>
      </w:r>
      <w:r>
        <w:rPr>
          <w:rStyle w:val="FootnoteReference"/>
        </w:rPr>
        <w:footnoteReference w:id="7"/>
      </w:r>
      <w:bookmarkStart w:id="61" w:name="x1-4001f7"/>
      <w:bookmarkEnd w:id="61"/>
    </w:p>
    <w:p>
      <w:pPr>
        <w:pStyle w:val="BodyText"/>
      </w:pPr>
      <w:r>
        <w:t xml:space="preserve">Three forms of opacity should be separated.</w:t>
      </w:r>
      <w:r>
        <w:t xml:space="preserve"> </w:t>
      </w:r>
      <w:r>
        <w:t xml:space="preserve">computational opacity</w:t>
      </w:r>
      <w:r>
        <w:t xml:space="preserve"> </w:t>
      </w:r>
      <w:r>
        <w:t xml:space="preserve">concerns the inability to</w:t>
      </w:r>
      <w:r>
        <w:t xml:space="preserve"> </w:t>
      </w:r>
      <w:r>
        <w:t xml:space="preserve">give a compact human explanation of how internal model states produced a particular output.</w:t>
      </w:r>
      <w:r>
        <w:t xml:space="preserve"> </w:t>
      </w:r>
      <w:r>
        <w:t xml:space="preserve">system opacity</w:t>
      </w:r>
      <w:r>
        <w:t xml:space="preserve"> </w:t>
      </w:r>
      <w:r>
        <w:t xml:space="preserve">concerns hidden interactions among the model, prompts, retrieval, tools,</w:t>
      </w:r>
      <w:r>
        <w:t xml:space="preserve"> </w:t>
      </w:r>
      <w:r>
        <w:t xml:space="preserve">filters, and software.</w:t>
      </w:r>
      <w:r>
        <w:t xml:space="preserve"> </w:t>
      </w:r>
      <w:r>
        <w:t xml:space="preserve">organizational opacity</w:t>
      </w:r>
      <w:r>
        <w:t xml:space="preserve"> </w:t>
      </w:r>
      <w:r>
        <w:t xml:space="preserve">concerns who approved the use, possessed</w:t>
      </w:r>
      <w:r>
        <w:t xml:space="preserve"> </w:t>
      </w:r>
      <w:r>
        <w:t xml:space="preserve">risk information, controlled resources, or could stop operation. Only the first may be</w:t>
      </w:r>
      <w:r>
        <w:t xml:space="preserve"> </w:t>
      </w:r>
      <w:r>
        <w:t xml:space="preserve">inherent to a model architecture. The second and third are often matters of design and</w:t>
      </w:r>
      <w:r>
        <w:t xml:space="preserve"> </w:t>
      </w:r>
      <w:r>
        <w:t xml:space="preserve">recordkeeping.</w:t>
      </w:r>
    </w:p>
    <w:p>
      <w:pPr>
        <w:pStyle w:val="BodyText"/>
      </w:pPr>
      <w:r>
        <w:t xml:space="preserve">Treating all three as “the black box” gives the least tractable fact too much power. A court</w:t>
      </w:r>
      <w:r>
        <w:t xml:space="preserve"> </w:t>
      </w:r>
      <w:r>
        <w:t xml:space="preserve">may be unable to reconstruct why a model ranked one token above another yet able to determine</w:t>
      </w:r>
      <w:r>
        <w:t xml:space="preserve"> </w:t>
      </w:r>
      <w:r>
        <w:t xml:space="preserve">that a provider selected the model, a deployer gave it patient records, an interface suppressed</w:t>
      </w:r>
      <w:r>
        <w:t xml:space="preserve"> </w:t>
      </w:r>
      <w:r>
        <w:t xml:space="preserve">uncertainty, a safety team reported a known failure mode, management rejected a delay, and an</w:t>
      </w:r>
      <w:r>
        <w:t xml:space="preserve"> </w:t>
      </w:r>
      <w:r>
        <w:t xml:space="preserve">operator lacked time to override. Those facts can establish or negate elements of an ordinary claim.</w:t>
      </w:r>
      <w:r>
        <w:t xml:space="preserve"> </w:t>
      </w:r>
      <w:r>
        <w:t xml:space="preserve">Interpretability at the neuron level is not a condition precedent to responsibility at the system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The Hangzhou chatbot dispute makes the distinction visible. No employee contemporaneously</w:t>
      </w:r>
      <w:r>
        <w:t xml:space="preserve"> </w:t>
      </w:r>
      <w:r>
        <w:t xml:space="preserve">decided to offer 100,000 yuan. But the provider controlled the service, issued warnings, selected</w:t>
      </w:r>
      <w:r>
        <w:t xml:space="preserve"> </w:t>
      </w:r>
      <w:r>
        <w:t xml:space="preserve">technical precautions, and maintained the system through which the output appeared. The court could</w:t>
      </w:r>
      <w:r>
        <w:t xml:space="preserve"> </w:t>
      </w:r>
      <w:r>
        <w:t xml:space="preserve">therefore reject contractual manifestation and still evaluate the provider’s conduct under a fault-based</w:t>
      </w:r>
      <w:r>
        <w:t xml:space="preserve"> </w:t>
      </w:r>
      <w:r>
        <w:t xml:space="preserve">duty.</w:t>
      </w:r>
      <w:r>
        <w:rPr>
          <w:rStyle w:val="FootnoteReference"/>
        </w:rPr>
        <w:footnoteReference w:id="8"/>
      </w:r>
      <w:bookmarkStart w:id="66" w:name="x1-4006f8"/>
      <w:bookmarkEnd w:id="66"/>
      <w:r>
        <w:t xml:space="preserve"> </w:t>
      </w:r>
      <w:r>
        <w:t xml:space="preserve">A theory that recognizes only immediate linguistic control would miss both halves of that</w:t>
      </w:r>
      <w:r>
        <w:t xml:space="preserve"> </w:t>
      </w:r>
      <w:r>
        <w:t xml:space="preserve">analysis.</w:t>
      </w:r>
    </w:p>
    <w:bookmarkEnd w:id="67"/>
    <w:bookmarkStart w:id="95" w:name="X8e8278c3afec65b319e212bf92961587b37f2ac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8" w:name="x1-5000B"/>
      <w:bookmarkEnd w:id="68"/>
      <w:r>
        <w:t xml:space="preserve">The Cascade as a Deployment-Specific STPA Map</w:t>
      </w:r>
    </w:p>
    <w:p>
      <w:pPr>
        <w:pStyle w:val="FirstParagraph"/>
      </w:pPr>
      <w:r>
        <w:t xml:space="preserve">Systems safety supplies a disciplined vocabulary for looking beyond a failed component.</w:t>
      </w:r>
      <w:r>
        <w:t xml:space="preserve"> </w:t>
      </w:r>
      <w:r>
        <w:t xml:space="preserve">In STAMP and STPA, safety is treated as a control problem: losses can arise</w:t>
      </w:r>
      <w:r>
        <w:t xml:space="preserve"> </w:t>
      </w:r>
      <w:r>
        <w:t xml:space="preserve">because constraints are absent, a controller supplies an unsafe action, feedback is</w:t>
      </w:r>
      <w:r>
        <w:t xml:space="preserve"> </w:t>
      </w:r>
      <w:r>
        <w:t xml:space="preserve">inadequate, or a controller’s process model does not match the system’s actual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9"/>
      </w:r>
      <w:bookmarkStart w:id="74" w:name="x1-5001f9"/>
      <w:bookmarkEnd w:id="74"/>
      <w:r>
        <w:t xml:space="preserve"> </w:t>
      </w:r>
      <w:r>
        <w:t xml:space="preserve">The method is particularly useful when software, people, management, and outside conditions</w:t>
      </w:r>
      <w:r>
        <w:t xml:space="preserve"> </w:t>
      </w:r>
      <w:r>
        <w:t xml:space="preserve">interact and no single broken part explains the outcome.</w:t>
      </w:r>
    </w:p>
    <w:p>
      <w:pPr>
        <w:pStyle w:val="BodyText"/>
      </w:pPr>
      <w:r>
        <w:t xml:space="preserve">Recent work has translated STPA to AI development and operation. Shalaleh Rismani,</w:t>
      </w:r>
      <w:r>
        <w:t xml:space="preserve"> </w:t>
      </w:r>
      <w:r>
        <w:t xml:space="preserve">Roel Dobbe, and A. Jung Moon frame AI harm as a process-level hazard distributed across</w:t>
      </w:r>
      <w:r>
        <w:t xml:space="preserve"> </w:t>
      </w:r>
      <w:r>
        <w:t xml:space="preserve">organizational roles rather than a defect discoverable only inside a model. A related seven-author</w:t>
      </w:r>
      <w:r>
        <w:t xml:space="preserve"> </w:t>
      </w:r>
      <w:r>
        <w:t xml:space="preserve">study led by Rismani interviewed thirty industry practitioners and found both promise and</w:t>
      </w:r>
      <w:r>
        <w:t xml:space="preserve"> </w:t>
      </w:r>
      <w:r>
        <w:t xml:space="preserve">nontrivial adoption costs in importing safety-engineering methods into responsible-ML</w:t>
      </w:r>
      <w:r>
        <w:t xml:space="preserve"> </w:t>
      </w:r>
      <w:r>
        <w:t xml:space="preserve">practice.</w:t>
      </w:r>
      <w:r>
        <w:rPr>
          <w:rStyle w:val="FootnoteReference"/>
        </w:rPr>
        <w:footnoteReference w:id="10"/>
      </w:r>
      <w:bookmarkStart w:id="80" w:name="x1-5005f10"/>
      <w:bookmarkEnd w:id="80"/>
      <w:r>
        <w:t xml:space="preserve"> </w:t>
      </w:r>
      <w:r>
        <w:t xml:space="preserve">NIST’s</w:t>
      </w:r>
      <w:r>
        <w:t xml:space="preserve"> </w:t>
      </w:r>
      <w:r>
        <w:t xml:space="preserve">AI Risk Management Framework independently emphasizes lifecycle actors, documented responsibilities,</w:t>
      </w:r>
      <w:r>
        <w:t xml:space="preserve"> </w:t>
      </w:r>
      <w:r>
        <w:t xml:space="preserve">executive accountability, testing, external feedback, third-party components,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11"/>
      </w:r>
      <w:bookmarkStart w:id="85" w:name="x1-5009f11"/>
      <w:bookmarkEnd w:id="85"/>
    </w:p>
    <w:p>
      <w:pPr>
        <w:pStyle w:val="BodyText"/>
      </w:pPr>
      <w:r>
        <w:t xml:space="preserve">The deployment-control cascade is an instantiation of those ideas for adjudication. It</w:t>
      </w:r>
      <w:r>
        <w:t xml:space="preserve"> </w:t>
      </w:r>
      <w:r>
        <w:t xml:space="preserve">contains four functional levels: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authority and resource allocation</w:t>
      </w:r>
      <w:r>
        <w:t xml:space="preserve">: the board, senior officials, budget holders, or public</w:t>
      </w:r>
      <w:r>
        <w:t xml:space="preserve"> </w:t>
      </w:r>
      <w:r>
        <w:t xml:space="preserve">principals who approve objectives, risk tolerance, staffing, compute, data access, and</w:t>
      </w:r>
      <w:r>
        <w:t xml:space="preserve"> </w:t>
      </w:r>
      <w:r>
        <w:t xml:space="preserve">release conditions.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provider and model team</w:t>
      </w:r>
      <w:r>
        <w:t xml:space="preserve">: the actors who develop or select the model, document</w:t>
      </w:r>
      <w:r>
        <w:t xml:space="preserve"> </w:t>
      </w:r>
      <w:r>
        <w:t xml:space="preserve">capability and limits, conduct evaluations, issue updates, and supply interfaces or</w:t>
      </w:r>
      <w:r>
        <w:t xml:space="preserve"> </w:t>
      </w:r>
      <w:r>
        <w:t xml:space="preserve">weights.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deployment platform and model-harness operators</w:t>
      </w:r>
      <w:r>
        <w:t xml:space="preserve">: the actors who choose system</w:t>
      </w:r>
      <w:r>
        <w:t xml:space="preserve"> </w:t>
      </w:r>
      <w:r>
        <w:t xml:space="preserve">instructions, retrieval, memory, filters, routing, tools, credentials, user eligibility,</w:t>
      </w:r>
      <w:r>
        <w:t xml:space="preserve"> </w:t>
      </w:r>
      <w:r>
        <w:t xml:space="preserve">monitoring, and escalation.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user environment</w:t>
      </w:r>
      <w:r>
        <w:t xml:space="preserve">: operators, users, affected persons, external systems, and physical or</w:t>
      </w:r>
      <w:r>
        <w:t xml:space="preserve"> </w:t>
      </w:r>
      <w:r>
        <w:t xml:space="preserve">institutional conditions that supply inputs and experience effects.</w:t>
      </w:r>
    </w:p>
    <w:p>
      <w:pPr>
        <w:pStyle w:val="FirstParagraph"/>
      </w:pPr>
      <w:r>
        <w:t xml:space="preserve">These are roles, not necessarily four firms. A vertically integrated provider can occupy the</w:t>
      </w:r>
      <w:r>
        <w:t xml:space="preserve"> </w:t>
      </w:r>
      <w:r>
        <w:t xml:space="preserve">first three levels and operate the user-facing service, but affected persons and external</w:t>
      </w:r>
      <w:r>
        <w:t xml:space="preserve"> </w:t>
      </w:r>
      <w:r>
        <w:t xml:space="preserve">conditions remain part of the environment rather than divisions of the provider. An</w:t>
      </w:r>
      <w:r>
        <w:t xml:space="preserve"> </w:t>
      </w:r>
      <w:r>
        <w:t xml:space="preserve">API deployment can divide the controller roles among a model vendor, application</w:t>
      </w:r>
      <w:r>
        <w:t xml:space="preserve"> </w:t>
      </w:r>
      <w:r>
        <w:t xml:space="preserve">developer, enterprise customer, and professional user. A public agency can be both</w:t>
      </w:r>
      <w:r>
        <w:t xml:space="preserve"> </w:t>
      </w:r>
      <w:r>
        <w:t xml:space="preserve">resource allocator and deployer while a contractor supplies the model. The purpose of</w:t>
      </w:r>
      <w:r>
        <w:t xml:space="preserve"> </w:t>
      </w:r>
      <w:r>
        <w:t xml:space="preserve">the map is to prevent a corporate name or contract label from substituting for actual</w:t>
      </w:r>
      <w:r>
        <w:t xml:space="preserve"> </w:t>
      </w:r>
      <w:r>
        <w:t xml:space="preserve">function.</w:t>
      </w:r>
    </w:p>
    <w:bookmarkStart w:id="90" w:name="x1-50161"/>
    <w:tbl>
      <w:tblPr>
        <w:tblStyle w:val="FigureTable"/>
        <w:tblW w:type="dxa" w:w="9000"/>
        <w:jc w:val="center"/>
        <w:tblLook w:firstRow="0" w:lastRow="0" w:firstColumn="0" w:lastColumn="0"/>
        <w:tblLayout w:type="fixed"/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</w:tcPr>
          <w:p>
            <w:pPr>
              <w:keepLines/>
              <w:jc w:val="center"/>
            </w:pPr>
            <w:r>
              <w:drawing>
                <wp:inline>
                  <wp:extent cx="5257800" cy="3222982"/>
                  <wp:effectExtent b="0" l="0" r="0" t="0"/>
                  <wp:docPr descr="[Picture]" title="" id="88" name="Picture"/>
                  <a:graphic>
                    <a:graphicData uri="http://schemas.openxmlformats.org/drawingml/2006/picture">
                      <pic:pic>
                        <pic:nvPicPr>
                          <pic:cNvPr descr="what-is-ai-for-courts0x.svg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3222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1:</w:t>
      </w:r>
      <w:r>
        <w:t xml:space="preserve"> </w:t>
      </w:r>
      <w:r>
        <w:t xml:space="preserve">The deployment-control cascade. Solid arrows show authority, resources, and</w:t>
      </w:r>
      <w:r>
        <w:t xml:space="preserve"> </w:t>
      </w:r>
      <w:r>
        <w:t xml:space="preserve">control actions moving toward operation. Dashed arrows show the feedback required to</w:t>
      </w:r>
      <w:r>
        <w:t xml:space="preserve"> </w:t>
      </w:r>
      <w:r>
        <w:t xml:space="preserve">update each controller’s process model. Override, rollback, credential revocation, and</w:t>
      </w:r>
      <w:r>
        <w:t xml:space="preserve"> </w:t>
      </w:r>
      <w:r>
        <w:t xml:space="preserve">shutdown must be assigned at the level where they can be effective.</w:t>
      </w:r>
    </w:p>
    <w:bookmarkEnd w:id="90"/>
    <w:p>
      <w:pPr>
        <w:pStyle w:val="BodyText"/>
      </w:pPr>
      <w:r>
        <w:t xml:space="preserve">For each level, the map asks six questions. What loss and hazard were reasonably within</w:t>
      </w:r>
      <w:r>
        <w:t xml:space="preserve"> </w:t>
      </w:r>
      <w:r>
        <w:t xml:space="preserve">scope? Which control action could create or reduce the hazard? What did the controller believe</w:t>
      </w:r>
      <w:r>
        <w:t xml:space="preserve"> </w:t>
      </w:r>
      <w:r>
        <w:t xml:space="preserve">about the system and environment? Which feedback could correct that belief? What authority and</w:t>
      </w:r>
      <w:r>
        <w:t xml:space="preserve"> </w:t>
      </w:r>
      <w:r>
        <w:t xml:space="preserve">resources did the controller possess? Who could pause, roll back, constrain, or terminate operation?</w:t>
      </w:r>
      <w:r>
        <w:t xml:space="preserve"> </w:t>
      </w:r>
      <w:r>
        <w:t xml:space="preserve">The answers are deployment specific. A generalized model card may inform them, but</w:t>
      </w:r>
      <w:r>
        <w:t xml:space="preserve"> </w:t>
      </w:r>
      <w:r>
        <w:t xml:space="preserve">it cannot answer for a particular hospital, companion interface, or weapons-support</w:t>
      </w:r>
      <w:r>
        <w:t xml:space="preserve"> </w:t>
      </w:r>
      <w:r>
        <w:t xml:space="preserve">workflow.</w:t>
      </w:r>
    </w:p>
    <w:p>
      <w:pPr>
        <w:pStyle w:val="BodyText"/>
      </w:pPr>
      <w:r>
        <w:t xml:space="preserve">The stopping question deserves emphasis. “Human control” is often claimed whenever a</w:t>
      </w:r>
      <w:r>
        <w:t xml:space="preserve"> </w:t>
      </w:r>
      <w:r>
        <w:t xml:space="preserve">person appears somewhere in a diagram. Effective intervention instead requires at least a</w:t>
      </w:r>
      <w:r>
        <w:t xml:space="preserve"> </w:t>
      </w:r>
      <w:r>
        <w:t xml:space="preserve">detectable signal, sufficient information, time to act, authority over the relevant process,</w:t>
      </w:r>
      <w:r>
        <w:t xml:space="preserve"> </w:t>
      </w:r>
      <w:r>
        <w:t xml:space="preserve">a usable control, and an institutional environment that permits its use. Automation</w:t>
      </w:r>
      <w:r>
        <w:t xml:space="preserve"> </w:t>
      </w:r>
      <w:r>
        <w:t xml:space="preserve">can leave humans responsible for abnormal conditions while depriving them of the</w:t>
      </w:r>
      <w:r>
        <w:t xml:space="preserve"> </w:t>
      </w:r>
      <w:r>
        <w:t xml:space="preserve">practice and information needed to respond—a problem described long before modern</w:t>
      </w:r>
      <w:r>
        <w:t xml:space="preserve"> </w:t>
      </w:r>
      <w:r>
        <w:t xml:space="preserve">AI.</w:t>
      </w:r>
      <w:r>
        <w:rPr>
          <w:rStyle w:val="FootnoteReference"/>
        </w:rPr>
        <w:footnoteReference w:id="12"/>
      </w:r>
      <w:bookmarkStart w:id="94" w:name="x1-5017f12"/>
      <w:bookmarkEnd w:id="94"/>
      <w:r>
        <w:t xml:space="preserve"> </w:t>
      </w:r>
      <w:r>
        <w:t xml:space="preserve">A</w:t>
      </w:r>
      <w:r>
        <w:t xml:space="preserve"> </w:t>
      </w:r>
      <w:r>
        <w:t xml:space="preserve">nominal reviewer who sees only the model’s conclusion, has seconds to approve, and is penalized</w:t>
      </w:r>
      <w:r>
        <w:t xml:space="preserve"> </w:t>
      </w:r>
      <w:r>
        <w:t xml:space="preserve">for deviation is a feedback endpoint, not a meaningful controller.</w:t>
      </w:r>
    </w:p>
    <w:bookmarkEnd w:id="95"/>
    <w:bookmarkStart w:id="107" w:name="X109aad8c40c2d3de6c54da5ed04223d38b9c781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96" w:name="x1-6000C"/>
      <w:bookmarkEnd w:id="96"/>
      <w:r>
        <w:t xml:space="preserve">Translating Engineering Variables into Legal Facts</w:t>
      </w:r>
    </w:p>
    <w:p>
      <w:pPr>
        <w:pStyle w:val="FirstParagraph"/>
      </w:pPr>
      <w:r>
        <w:t xml:space="preserve">STPA does not determine duty, breach, causation, or remedy. Those are legal judgments supplied</w:t>
      </w:r>
      <w:r>
        <w:t xml:space="preserve"> </w:t>
      </w:r>
      <w:r>
        <w:t xml:space="preserve">by the jurisdiction and cause of action. It does, however, identify observable variables</w:t>
      </w:r>
      <w:r>
        <w:t xml:space="preserve"> </w:t>
      </w:r>
      <w:r>
        <w:t xml:space="preserve">that bear on them. The translation is direct enough to discipline discovery and expert</w:t>
      </w:r>
      <w:r>
        <w:t xml:space="preserve"> </w:t>
      </w:r>
      <w:r>
        <w:t xml:space="preserve">proof:</w:t>
      </w:r>
    </w:p>
    <w:p>
      <w:pPr>
        <w:pStyle w:val="BodyText"/>
      </w:pPr>
      <w:bookmarkStart w:id="97" w:name="x1-6001r1"/>
      <w:bookmarkEnd w:id="97"/>
    </w:p>
    <w:bookmarkStart w:id="98" w:name="TBL-1"/>
    <w:p>
      <w:pPr>
        <w:pStyle w:val="TableCaption"/>
      </w:pPr>
      <w:r>
        <w:t xml:space="preserve">Table 1: </w:t>
      </w:r>
      <w:r>
        <w:t xml:space="preserve">From Deployment Control to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1: From Deployment Control to Doctrine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gridSpan w:val="3"/>
          </w:tcPr>
          <w:p>
            <w:pPr>
              <w:pStyle w:val="Compact"/>
              <w:keepLines/>
            </w:pPr>
          </w:p>
        </w:tc>
      </w:tr>
      <w:tr>
        <w:trPr>
          <w:cantSplit/>
          <w:tblHeader/>
        </w:trPr>
        <w:tc>
          <w:tcPr/>
          <w:p>
            <w:pPr>
              <w:keepLines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keepLines/>
              <w:jc w:val="left"/>
            </w:pPr>
            <w:r>
              <w:t xml:space="preserve">Factual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keepLines/>
              <w:jc w:val="left"/>
            </w:pPr>
            <w:r>
              <w:t xml:space="preserve">Potential</w:t>
            </w:r>
            <w:r>
              <w:t xml:space="preserve"> </w:t>
            </w:r>
            <w:r>
              <w:t xml:space="preserve">doctrinal</w:t>
            </w:r>
            <w:r>
              <w:t xml:space="preserve"> </w:t>
            </w:r>
            <w:r>
              <w:t xml:space="preserve">relevance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keepLines/>
            </w:pPr>
          </w:p>
        </w:tc>
      </w:tr>
      <w:tr>
        <w:trPr>
          <w:cantSplit/>
        </w:trPr>
        <w:tc>
          <w:tcPr/>
          <w:p>
            <w:pPr>
              <w:pStyle w:val="Compact"/>
              <w:keepLines/>
            </w:pPr>
          </w:p>
        </w:tc>
        <w:tc>
          <w:tcPr/>
          <w:p>
            <w:pPr>
              <w:pStyle w:val="Compact"/>
              <w:keepLines/>
            </w:pPr>
          </w:p>
        </w:tc>
        <w:tc>
          <w:tcPr/>
          <w:p>
            <w:pPr>
              <w:pStyle w:val="Compact"/>
              <w:keepLines/>
            </w:pP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Controller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enforce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constraint?</w:t>
            </w:r>
          </w:p>
        </w:tc>
        <w:tc>
          <w:tcPr/>
          <w:p>
            <w:pPr>
              <w:keepLines/>
              <w:jc w:val="left"/>
            </w:pP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duty</w:t>
            </w:r>
            <w:r>
              <w:t xml:space="preserve"> </w:t>
            </w:r>
            <w:r>
              <w:t xml:space="preserve">holder;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nominal</w:t>
            </w:r>
            <w:r>
              <w:t xml:space="preserve"> </w:t>
            </w:r>
            <w:r>
              <w:t xml:space="preserve">title.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released,</w:t>
            </w:r>
            <w:r>
              <w:t xml:space="preserve"> </w:t>
            </w:r>
            <w:r>
              <w:t xml:space="preserve">configured,</w:t>
            </w:r>
            <w:r>
              <w:t xml:space="preserve"> </w:t>
            </w:r>
            <w:r>
              <w:t xml:space="preserve">routed,</w:t>
            </w:r>
            <w:r>
              <w:t xml:space="preserve"> </w:t>
            </w:r>
            <w:r>
              <w:t xml:space="preserve">approved,</w:t>
            </w:r>
            <w:r>
              <w:t xml:space="preserve"> </w:t>
            </w:r>
            <w:r>
              <w:t xml:space="preserve">updated,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withheld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intervention?</w:t>
            </w:r>
          </w:p>
        </w:tc>
        <w:tc>
          <w:tcPr/>
          <w:p>
            <w:pPr>
              <w:keepLines/>
              <w:jc w:val="left"/>
            </w:pPr>
            <w:r>
              <w:t xml:space="preserve">Conduct;</w:t>
            </w:r>
            <w:r>
              <w:t xml:space="preserve"> </w:t>
            </w:r>
            <w:r>
              <w:t xml:space="preserve">authorization;</w:t>
            </w:r>
            <w:r>
              <w:t xml:space="preserve"> </w:t>
            </w:r>
            <w:r>
              <w:t xml:space="preserve">attribution;</w:t>
            </w:r>
            <w:r>
              <w:t xml:space="preserve"> </w:t>
            </w:r>
            <w:r>
              <w:t xml:space="preserve">breach;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mechanism.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Process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keepLines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believe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users,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safeguards?</w:t>
            </w:r>
          </w:p>
        </w:tc>
        <w:tc>
          <w:tcPr/>
          <w:p>
            <w:pPr>
              <w:keepLines/>
              <w:jc w:val="left"/>
            </w:pPr>
            <w:r>
              <w:t xml:space="preserve">Actual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constructive</w:t>
            </w:r>
            <w:r>
              <w:t xml:space="preserve"> </w:t>
            </w:r>
            <w:r>
              <w:t xml:space="preserve">knowledge;</w:t>
            </w:r>
            <w:r>
              <w:t xml:space="preserve"> </w:t>
            </w:r>
            <w:r>
              <w:t xml:space="preserve">foreseeability;</w:t>
            </w:r>
            <w:r>
              <w:t xml:space="preserve"> </w:t>
            </w:r>
            <w:r>
              <w:t xml:space="preserve">reasonableness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available.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Feedback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received</w:t>
            </w:r>
            <w:r>
              <w:t xml:space="preserve"> </w:t>
            </w:r>
            <w:r>
              <w:t xml:space="preserve">evaluations,</w:t>
            </w:r>
            <w:r>
              <w:t xml:space="preserve"> </w:t>
            </w:r>
            <w:r>
              <w:t xml:space="preserve">incident</w:t>
            </w:r>
            <w:r>
              <w:t xml:space="preserve"> </w:t>
            </w:r>
            <w:r>
              <w:t xml:space="preserve">reports,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drift</w:t>
            </w:r>
            <w:r>
              <w:t xml:space="preserve"> </w:t>
            </w:r>
            <w:r>
              <w:t xml:space="preserve">signals,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near</w:t>
            </w:r>
            <w:r>
              <w:t xml:space="preserve"> </w:t>
            </w:r>
            <w:r>
              <w:t xml:space="preserve">misses?</w:t>
            </w:r>
          </w:p>
        </w:tc>
        <w:tc>
          <w:tcPr/>
          <w:p>
            <w:pPr>
              <w:keepLines/>
              <w:jc w:val="left"/>
            </w:pPr>
            <w:r>
              <w:t xml:space="preserve">Notice;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r>
              <w:t xml:space="preserve">duty;</w:t>
            </w:r>
            <w:r>
              <w:t xml:space="preserve"> </w:t>
            </w:r>
            <w:r>
              <w:t xml:space="preserve">opportunity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correct;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mind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relevant.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Override,</w:t>
            </w:r>
            <w:r>
              <w:t xml:space="preserve"> </w:t>
            </w:r>
            <w:r>
              <w:t xml:space="preserve">rollback,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stop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reduce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suspend</w:t>
            </w:r>
            <w:r>
              <w:t xml:space="preserve"> </w:t>
            </w:r>
            <w:r>
              <w:t xml:space="preserve">operation,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what</w:t>
            </w:r>
            <w:r>
              <w:t xml:space="preserve"> </w:t>
            </w:r>
            <w:r>
              <w:t xml:space="preserve">signal?</w:t>
            </w:r>
          </w:p>
        </w:tc>
        <w:tc>
          <w:tcPr/>
          <w:p>
            <w:pPr>
              <w:keepLines/>
              <w:jc w:val="left"/>
            </w:pPr>
            <w:r>
              <w:t xml:space="preserve">Feasible</w:t>
            </w:r>
            <w:r>
              <w:t xml:space="preserve"> </w:t>
            </w:r>
            <w:r>
              <w:t xml:space="preserve">precaution;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avoid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mitigate;</w:t>
            </w:r>
            <w:r>
              <w:t xml:space="preserve"> </w:t>
            </w:r>
            <w:r>
              <w:t xml:space="preserve">causation;</w:t>
            </w:r>
            <w:r>
              <w:t xml:space="preserve"> </w:t>
            </w:r>
            <w:r>
              <w:t xml:space="preserve">post-sale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post-deployment</w:t>
            </w:r>
            <w:r>
              <w:t xml:space="preserve"> </w:t>
            </w:r>
            <w:r>
              <w:t xml:space="preserve">response.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Objectives,</w:t>
            </w:r>
            <w:r>
              <w:t xml:space="preserve"> </w:t>
            </w:r>
            <w:r>
              <w:t xml:space="preserve">metrics,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engagement,</w:t>
            </w:r>
            <w:r>
              <w:t xml:space="preserve"> </w:t>
            </w:r>
            <w:r>
              <w:t xml:space="preserve">speed,</w:t>
            </w:r>
            <w:r>
              <w:t xml:space="preserve"> </w:t>
            </w:r>
            <w:r>
              <w:t xml:space="preserve">cost,</w:t>
            </w:r>
            <w:r>
              <w:t xml:space="preserve"> </w:t>
            </w:r>
            <w:r>
              <w:t xml:space="preserve">accuracy,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supplied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meet</w:t>
            </w:r>
            <w:r>
              <w:t xml:space="preserve"> </w:t>
            </w:r>
            <w:r>
              <w:t xml:space="preserve">them?</w:t>
            </w:r>
          </w:p>
        </w:tc>
        <w:tc>
          <w:tcPr/>
          <w:p>
            <w:pPr>
              <w:keepLines/>
              <w:jc w:val="left"/>
            </w:pPr>
            <w:r>
              <w:t xml:space="preserve">Direct</w:t>
            </w:r>
            <w:r>
              <w:t xml:space="preserve"> </w:t>
            </w:r>
            <w:r>
              <w:t xml:space="preserve">organizational</w:t>
            </w:r>
            <w:r>
              <w:t xml:space="preserve"> </w:t>
            </w:r>
            <w:r>
              <w:t xml:space="preserve">negligence;</w:t>
            </w:r>
            <w:r>
              <w:t xml:space="preserve"> </w:t>
            </w:r>
            <w:r>
              <w:t xml:space="preserve">incentive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oversight;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compliance.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Constraint</w:t>
            </w:r>
            <w:r>
              <w:t xml:space="preserve"> </w:t>
            </w:r>
            <w:r>
              <w:t xml:space="preserve">bypass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removed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safeguard,</w:t>
            </w:r>
            <w:r>
              <w:t xml:space="preserve"> </w:t>
            </w:r>
            <w:r>
              <w:t xml:space="preserve">concealed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failure,</w:t>
            </w:r>
            <w:r>
              <w:t xml:space="preserve"> </w:t>
            </w:r>
            <w:r>
              <w:t xml:space="preserve">exceeded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limit,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used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tools?</w:t>
            </w:r>
          </w:p>
        </w:tc>
        <w:tc>
          <w:tcPr/>
          <w:p>
            <w:pPr>
              <w:keepLines/>
              <w:jc w:val="left"/>
            </w:pPr>
            <w:r>
              <w:t xml:space="preserve">Individual</w:t>
            </w:r>
            <w:r>
              <w:t xml:space="preserve"> </w:t>
            </w:r>
            <w:r>
              <w:t xml:space="preserve">conduct;</w:t>
            </w:r>
            <w:r>
              <w:t xml:space="preserve"> </w:t>
            </w:r>
            <w:r>
              <w:t xml:space="preserve">comparative</w:t>
            </w:r>
            <w:r>
              <w:t xml:space="preserve"> </w:t>
            </w:r>
            <w:r>
              <w:t xml:space="preserve">responsibility;</w:t>
            </w:r>
            <w:r>
              <w:t xml:space="preserve"> </w:t>
            </w:r>
            <w:r>
              <w:t xml:space="preserve">superseding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intervening</w:t>
            </w:r>
            <w:r>
              <w:t xml:space="preserve"> </w:t>
            </w:r>
            <w:r>
              <w:t xml:space="preserve">acts;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recourse.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Logs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retention</w:t>
            </w:r>
          </w:p>
        </w:tc>
        <w:tc>
          <w:tcPr/>
          <w:p>
            <w:pPr>
              <w:keepLines/>
              <w:jc w:val="left"/>
            </w:pPr>
            <w:r>
              <w:t xml:space="preserve">Which</w:t>
            </w:r>
            <w:r>
              <w:t xml:space="preserve"> </w:t>
            </w:r>
            <w:r>
              <w:t xml:space="preserve">versions,</w:t>
            </w:r>
            <w:r>
              <w:t xml:space="preserve"> </w:t>
            </w:r>
            <w:r>
              <w:t xml:space="preserve">prompts,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approvals,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responses</w:t>
            </w:r>
            <w:r>
              <w:t xml:space="preserve"> </w:t>
            </w:r>
            <w:r>
              <w:t xml:space="preserve">were</w:t>
            </w:r>
            <w:r>
              <w:t xml:space="preserve"> </w:t>
            </w:r>
            <w:r>
              <w:t xml:space="preserve">preserved?</w:t>
            </w:r>
          </w:p>
        </w:tc>
        <w:tc>
          <w:tcPr/>
          <w:p>
            <w:pPr>
              <w:keepLines/>
              <w:jc w:val="left"/>
            </w:pPr>
            <w:r>
              <w:t xml:space="preserve">Proof;</w:t>
            </w:r>
            <w:r>
              <w:t xml:space="preserve"> </w:t>
            </w:r>
            <w:r>
              <w:t xml:space="preserve">discovery</w:t>
            </w:r>
            <w:r>
              <w:t xml:space="preserve"> </w:t>
            </w:r>
            <w:r>
              <w:t xml:space="preserve">proportionality;</w:t>
            </w:r>
            <w:r>
              <w:t xml:space="preserve"> </w:t>
            </w:r>
            <w:r>
              <w:t xml:space="preserve">authentication;</w:t>
            </w:r>
            <w:r>
              <w:t xml:space="preserve"> </w:t>
            </w:r>
            <w:r>
              <w:t xml:space="preserve">spoliation;</w:t>
            </w:r>
            <w:r>
              <w:t xml:space="preserve"> </w:t>
            </w:r>
            <w:r>
              <w:t xml:space="preserve">rebuttal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inference.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keepLines/>
            </w:pPr>
          </w:p>
        </w:tc>
      </w:tr>
    </w:tbl>
    <w:bookmarkEnd w:id="98"/>
    <w:p>
      <w:pPr>
        <w:pStyle w:val="BodyText"/>
      </w:pPr>
      <w:r>
        <w:t xml:space="preserve">The middle column is deliberately factual. A person with shutdown credentials does not</w:t>
      </w:r>
      <w:r>
        <w:t xml:space="preserve"> </w:t>
      </w:r>
      <w:r>
        <w:t xml:space="preserve">necessarily owe the plaintiff a duty; an actor who received an alert does not necessarily have legally</w:t>
      </w:r>
      <w:r>
        <w:t xml:space="preserve"> </w:t>
      </w:r>
      <w:r>
        <w:t xml:space="preserve">sufficient notice; violation of an internal constraint is not automatically negligence per se. The</w:t>
      </w:r>
      <w:r>
        <w:t xml:space="preserve"> </w:t>
      </w:r>
      <w:r>
        <w:t xml:space="preserve">mapping instead identifies evidence from which the operative doctrine can reason. It also exposes</w:t>
      </w:r>
      <w:r>
        <w:t xml:space="preserve"> </w:t>
      </w:r>
      <w:r>
        <w:t xml:space="preserve">negative space. If no one can identify a risk owner, no channel carries complaints upward, or a</w:t>
      </w:r>
      <w:r>
        <w:t xml:space="preserve"> </w:t>
      </w:r>
      <w:r>
        <w:t xml:space="preserve">deployed system cannot be rolled back, those are organizational design facts rather than mysteries</w:t>
      </w:r>
      <w:r>
        <w:t xml:space="preserve"> </w:t>
      </w:r>
      <w:r>
        <w:t xml:space="preserve">attributable to the model.</w:t>
      </w:r>
    </w:p>
    <w:p>
      <w:pPr>
        <w:pStyle w:val="BodyText"/>
      </w:pPr>
      <w:r>
        <w:t xml:space="preserve">Relational-AI research shows how evidence outside the model becomes a legally usable process</w:t>
      </w:r>
      <w:r>
        <w:t xml:space="preserve"> </w:t>
      </w:r>
      <w:r>
        <w:t xml:space="preserve">model. De Freitas and Banks identify provider-controlled continuity and shutdown as variables in</w:t>
      </w:r>
      <w:r>
        <w:t xml:space="preserve"> </w:t>
      </w:r>
      <w:r>
        <w:t xml:space="preserve">experienced companion loss; Laestadius and Zhang identify dependence and recurring harmful</w:t>
      </w:r>
      <w:r>
        <w:t xml:space="preserve"> </w:t>
      </w:r>
      <w:r>
        <w:t xml:space="preserve">interaction roles; and Kirk’s controlled experiment identifies relationship-seeking behavior, emotional</w:t>
      </w:r>
      <w:r>
        <w:t xml:space="preserve"> </w:t>
      </w:r>
      <w:r>
        <w:t xml:space="preserve">conversation, dose, and repeated exposure as variables capable of changing reliance and separation</w:t>
      </w:r>
      <w:r>
        <w:t xml:space="preserve"> </w:t>
      </w:r>
      <w:r>
        <w:t xml:space="preserve">distress.</w:t>
      </w:r>
      <w:r>
        <w:rPr>
          <w:rStyle w:val="FootnoteReference"/>
        </w:rPr>
        <w:footnoteReference w:id="13"/>
      </w:r>
      <w:bookmarkStart w:id="106" w:name="x1-6002f13"/>
      <w:bookmarkEnd w:id="106"/>
      <w:r>
        <w:t xml:space="preserve"> </w:t>
      </w:r>
      <w:r>
        <w:t xml:space="preserve">Put into the cascade, those findings have operational destinations. Product and safety teams</w:t>
      </w:r>
      <w:r>
        <w:t xml:space="preserve"> </w:t>
      </w:r>
      <w:r>
        <w:t xml:space="preserve">can evaluate relational behavior before release; the harness can detect age and crisis</w:t>
      </w:r>
      <w:r>
        <w:t xml:space="preserve"> </w:t>
      </w:r>
      <w:r>
        <w:t xml:space="preserve">signals; incident systems can aggregate repeated patterns; management can receive</w:t>
      </w:r>
      <w:r>
        <w:t xml:space="preserve"> </w:t>
      </w:r>
      <w:r>
        <w:t xml:space="preserve">dependency-risk reports; and a named actor can change the objective, restrict access, interrupt an</w:t>
      </w:r>
      <w:r>
        <w:t xml:space="preserve"> </w:t>
      </w:r>
      <w:r>
        <w:t xml:space="preserve">interaction, or stop operation. The evidence thus bears directly on foreseeability, notice,</w:t>
      </w:r>
      <w:r>
        <w:t xml:space="preserve"> </w:t>
      </w:r>
      <w:r>
        <w:t xml:space="preserve">feasible precaution, and post-deployment response. It is not confined to describing user</w:t>
      </w:r>
      <w:r>
        <w:t xml:space="preserve"> </w:t>
      </w:r>
      <w:r>
        <w:t xml:space="preserve">experience.</w:t>
      </w:r>
    </w:p>
    <w:p>
      <w:pPr>
        <w:pStyle w:val="BodyText"/>
      </w:pPr>
      <w:r>
        <w:t xml:space="preserve">The method improves causal analysis in two directions. A claimant can specify a safer</w:t>
      </w:r>
      <w:r>
        <w:t xml:space="preserve"> </w:t>
      </w:r>
      <w:r>
        <w:t xml:space="preserve">control path: an age gate would have changed access; a confirmation step would have interrupted a</w:t>
      </w:r>
      <w:r>
        <w:t xml:space="preserve"> </w:t>
      </w:r>
      <w:r>
        <w:t xml:space="preserve">purchase; a warning displayed at the crisis moment would have supplied different information;</w:t>
      </w:r>
      <w:r>
        <w:t xml:space="preserve"> </w:t>
      </w:r>
      <w:r>
        <w:t xml:space="preserve">a stop rule triggered by repeated failures would have limited exposure. A defendant</w:t>
      </w:r>
      <w:r>
        <w:t xml:space="preserve"> </w:t>
      </w:r>
      <w:r>
        <w:t xml:space="preserve">can identify a break in the path: a third party removed the safeguard, an independent</w:t>
      </w:r>
      <w:r>
        <w:t xml:space="preserve"> </w:t>
      </w:r>
      <w:r>
        <w:t xml:space="preserve">deployer supplied undisclosed tools, a user deliberately defeated a reasonable constraint, or</w:t>
      </w:r>
      <w:r>
        <w:t xml:space="preserve"> </w:t>
      </w:r>
      <w:r>
        <w:t xml:space="preserve">the proposed intervention could not have changed the outcome. “AI unpredictability”</w:t>
      </w:r>
      <w:r>
        <w:t xml:space="preserve"> </w:t>
      </w:r>
      <w:r>
        <w:t xml:space="preserve">becomes a proposition to be tested against particular controls rather than an all-purpose</w:t>
      </w:r>
      <w:r>
        <w:t xml:space="preserve"> </w:t>
      </w:r>
      <w:r>
        <w:t xml:space="preserve">conclusion.</w:t>
      </w:r>
    </w:p>
    <w:bookmarkEnd w:id="107"/>
    <w:bookmarkStart w:id="127" w:name="stress-tests-across-mixed-deployments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08" w:name="x1-7000D"/>
      <w:bookmarkEnd w:id="108"/>
      <w:r>
        <w:t xml:space="preserve">Stress Tests Across Mixed Deployments</w:t>
      </w:r>
    </w:p>
    <w:p>
      <w:pPr>
        <w:pStyle w:val="FirstParagraph"/>
      </w:pPr>
      <w:r>
        <w:t xml:space="preserve">The cascade remains useful only if it survives fragmented architectures. Seven recurring</w:t>
      </w:r>
      <w:r>
        <w:t xml:space="preserve"> </w:t>
      </w:r>
      <w:r>
        <w:t xml:space="preserve">deployments illustrate how responsibility can move without ever migrating to the machine.</w:t>
      </w:r>
    </w:p>
    <w:p>
      <w:pPr>
        <w:pStyle w:val="BodyText"/>
      </w:pPr>
      <w:bookmarkStart w:id="110" w:name="hosted-vertically-integrated-service"/>
      <w:bookmarkStart w:id="109" w:name="x1-8000"/>
      <w:bookmarkEnd w:id="109"/>
      <w:r>
        <w:t xml:space="preserve">Hosted, vertically integrated service.</w:t>
      </w:r>
      <w:bookmarkEnd w:id="110"/>
      <w:r>
        <w:t xml:space="preserve"> </w:t>
      </w:r>
      <w:r>
        <w:t xml:space="preserve">When one enterprise supplies the model, interface, memory, policies, monitoring, and</w:t>
      </w:r>
      <w:r>
        <w:t xml:space="preserve"> </w:t>
      </w:r>
      <w:r>
        <w:t xml:space="preserve">updates, its practical control is concentrated. Vendors and contractors may contribute components,</w:t>
      </w:r>
      <w:r>
        <w:t xml:space="preserve"> </w:t>
      </w:r>
      <w:r>
        <w:t xml:space="preserve">but the claimant-facing deployment is readily identifiable. Internal division among product,</w:t>
      </w:r>
      <w:r>
        <w:t xml:space="preserve"> </w:t>
      </w:r>
      <w:r>
        <w:t xml:space="preserve">safety, legal, and operations belongs in the responsibility charter developed in Part</w:t>
      </w:r>
      <w:r>
        <w:t xml:space="preserve"> </w:t>
      </w:r>
      <w:r>
        <w:t xml:space="preserve">IV.</w:t>
      </w:r>
    </w:p>
    <w:p>
      <w:pPr>
        <w:pStyle w:val="BodyText"/>
      </w:pPr>
      <w:bookmarkStart w:id="112" w:name="model-api-and-thirdparty-application"/>
      <w:bookmarkStart w:id="111" w:name="x1-9000"/>
      <w:bookmarkEnd w:id="111"/>
      <w:r>
        <w:t xml:space="preserve">Model API and third-party application.</w:t>
      </w:r>
      <w:bookmarkEnd w:id="112"/>
      <w:r>
        <w:t xml:space="preserve"> </w:t>
      </w:r>
      <w:r>
        <w:t xml:space="preserve">The model provider can control base capability, access conditions, model updates, and some</w:t>
      </w:r>
      <w:r>
        <w:t xml:space="preserve"> </w:t>
      </w:r>
      <w:r>
        <w:t xml:space="preserve">monitoring; the application deployer can control system prompts, retrieval, tools, user population,</w:t>
      </w:r>
      <w:r>
        <w:t xml:space="preserve"> </w:t>
      </w:r>
      <w:r>
        <w:t xml:space="preserve">warnings, and business objectives. Contracts and technical documentation help identify those roles</w:t>
      </w:r>
      <w:r>
        <w:t xml:space="preserve"> </w:t>
      </w:r>
      <w:r>
        <w:t xml:space="preserve">but do not conclusively allocate duties owed to strangers. Logs should show which layer produced,</w:t>
      </w:r>
      <w:r>
        <w:t xml:space="preserve"> </w:t>
      </w:r>
      <w:r>
        <w:t xml:space="preserve">blocked, modified, or authorized the relevant effect.</w:t>
      </w:r>
    </w:p>
    <w:p>
      <w:pPr>
        <w:pStyle w:val="BodyText"/>
      </w:pPr>
      <w:bookmarkStart w:id="114" w:name="X41fe9c2c9e11fcf487d2c1ef75cebf98e54cf45"/>
      <w:bookmarkStart w:id="113" w:name="x1-10000"/>
      <w:bookmarkEnd w:id="113"/>
      <w:r>
        <w:t xml:space="preserve">Open weights and materially modified models.</w:t>
      </w:r>
      <w:bookmarkEnd w:id="114"/>
      <w:r>
        <w:t xml:space="preserve"> </w:t>
      </w:r>
      <w:r>
        <w:t xml:space="preserve">Publishing weights may end the original provider’s practical ability to monitor or stop an</w:t>
      </w:r>
      <w:r>
        <w:t xml:space="preserve"> </w:t>
      </w:r>
      <w:r>
        <w:t xml:space="preserve">independent downstream deployment. A modifier who removes safeguards, fine-tunes new</w:t>
      </w:r>
      <w:r>
        <w:t xml:space="preserve"> </w:t>
      </w:r>
      <w:r>
        <w:t xml:space="preserve">behavior, adds credentials, and distributes an application occupies different control positions. The</w:t>
      </w:r>
      <w:r>
        <w:t xml:space="preserve"> </w:t>
      </w:r>
      <w:r>
        <w:t xml:space="preserve">original release can still be examined under any duty applicable to that act; continuing</w:t>
      </w:r>
      <w:r>
        <w:t xml:space="preserve"> </w:t>
      </w:r>
      <w:r>
        <w:t xml:space="preserve">responsibility should track continuing control and foreseeable use rather than attach indefinitely to</w:t>
      </w:r>
      <w:r>
        <w:t xml:space="preserve"> </w:t>
      </w:r>
      <w:r>
        <w:t xml:space="preserve">provenance alone.</w:t>
      </w:r>
    </w:p>
    <w:p>
      <w:pPr>
        <w:pStyle w:val="BodyText"/>
      </w:pPr>
      <w:bookmarkStart w:id="116" w:name="anonymized-intermediaries"/>
      <w:bookmarkStart w:id="115" w:name="x1-11000"/>
      <w:bookmarkEnd w:id="115"/>
      <w:r>
        <w:t xml:space="preserve">Anonymized intermediaries.</w:t>
      </w:r>
      <w:bookmarkEnd w:id="116"/>
      <w:r>
        <w:t xml:space="preserve"> </w:t>
      </w:r>
      <w:r>
        <w:t xml:space="preserve">A routing service, shell deployer, or undisclosed model source increases identification costs.</w:t>
      </w:r>
      <w:r>
        <w:t xml:space="preserve"> </w:t>
      </w:r>
      <w:r>
        <w:t xml:space="preserve">It does not create an artificial responsible person. The service facing the user remains a logical</w:t>
      </w:r>
      <w:r>
        <w:t xml:space="preserve"> </w:t>
      </w:r>
      <w:r>
        <w:t xml:space="preserve">starting point for process and discovery, while records can identify upstream components and</w:t>
      </w:r>
      <w:r>
        <w:t xml:space="preserve"> </w:t>
      </w:r>
      <w:r>
        <w:t xml:space="preserve">allocation. A business choice not to retain essential provenance can itself become relevant under</w:t>
      </w:r>
      <w:r>
        <w:t xml:space="preserve"> </w:t>
      </w:r>
      <w:r>
        <w:t xml:space="preserve">applicable recordkeeping and spoliation rules.</w:t>
      </w:r>
    </w:p>
    <w:p>
      <w:pPr>
        <w:pStyle w:val="BodyText"/>
      </w:pPr>
      <w:bookmarkStart w:id="118" w:name="government-systems"/>
      <w:bookmarkStart w:id="117" w:name="x1-12000"/>
      <w:bookmarkEnd w:id="117"/>
      <w:r>
        <w:t xml:space="preserve">Government systems.</w:t>
      </w:r>
      <w:bookmarkEnd w:id="118"/>
      <w:r>
        <w:t xml:space="preserve"> </w:t>
      </w:r>
      <w:r>
        <w:t xml:space="preserve">Procurement officials may set objectives and contract conditions; a vendor may supply and</w:t>
      </w:r>
      <w:r>
        <w:t xml:space="preserve"> </w:t>
      </w:r>
      <w:r>
        <w:t xml:space="preserve">update a model; a military, benefits, or law-enforcement component may control data and tools; an</w:t>
      </w:r>
      <w:r>
        <w:t xml:space="preserve"> </w:t>
      </w:r>
      <w:r>
        <w:t xml:space="preserve">operator may implement recommendations. The public chain of command and the technical control</w:t>
      </w:r>
      <w:r>
        <w:t xml:space="preserve"> </w:t>
      </w:r>
      <w:r>
        <w:t xml:space="preserve">path must be represented together. Classification as “government AI” does not collapse contractor</w:t>
      </w:r>
      <w:r>
        <w:t xml:space="preserve"> </w:t>
      </w:r>
      <w:r>
        <w:t xml:space="preserve">and state functions, and a procurement clause cannot conclusively decide constitutional</w:t>
      </w:r>
      <w:r>
        <w:t xml:space="preserve"> </w:t>
      </w:r>
      <w:r>
        <w:t xml:space="preserve">responsibility.</w:t>
      </w:r>
    </w:p>
    <w:p>
      <w:pPr>
        <w:pStyle w:val="BodyText"/>
      </w:pPr>
      <w:bookmarkStart w:id="120" w:name="humanintheloop-systems"/>
      <w:bookmarkStart w:id="119" w:name="x1-13000"/>
      <w:bookmarkEnd w:id="119"/>
      <w:r>
        <w:t xml:space="preserve">Human-in-the-loop systems.</w:t>
      </w:r>
      <w:bookmarkEnd w:id="120"/>
      <w:r>
        <w:t xml:space="preserve"> </w:t>
      </w:r>
      <w:r>
        <w:t xml:space="preserve">The location of a human checkpoint is the beginning of analysis. Meaningful review requires</w:t>
      </w:r>
      <w:r>
        <w:t xml:space="preserve"> </w:t>
      </w:r>
      <w:r>
        <w:t xml:space="preserve">time, information independent of the recommendation, competence, authority to depart, a route to</w:t>
      </w:r>
      <w:r>
        <w:t xml:space="preserve"> </w:t>
      </w:r>
      <w:r>
        <w:t xml:space="preserve">escalate, and protection against metrics that punish justified intervention. If those conditions</w:t>
      </w:r>
      <w:r>
        <w:t xml:space="preserve"> </w:t>
      </w:r>
      <w:r>
        <w:t xml:space="preserve">are absent, the organization cannot point to the human icon as proof that control was</w:t>
      </w:r>
      <w:r>
        <w:t xml:space="preserve"> </w:t>
      </w:r>
      <w:r>
        <w:t xml:space="preserve">transferred.</w:t>
      </w:r>
    </w:p>
    <w:p>
      <w:pPr>
        <w:pStyle w:val="BodyText"/>
      </w:pPr>
      <w:bookmarkStart w:id="122" w:name="tiered-access-and-automated-restriction"/>
      <w:bookmarkStart w:id="121" w:name="x1-14000"/>
      <w:bookmarkEnd w:id="121"/>
      <w:r>
        <w:t xml:space="preserve">Tiered access and automated restriction.</w:t>
      </w:r>
      <w:bookmarkEnd w:id="122"/>
      <w:r>
        <w:t xml:space="preserve"> </w:t>
      </w:r>
      <w:r>
        <w:t xml:space="preserve">Public, professional, research, and government users may receive different models, tools,</w:t>
      </w:r>
      <w:r>
        <w:t xml:space="preserve"> </w:t>
      </w:r>
      <w:r>
        <w:t xml:space="preserve">rate limits, or filters. Automated bans and escalation rules are themselves control actions. The</w:t>
      </w:r>
      <w:r>
        <w:t xml:space="preserve"> </w:t>
      </w:r>
      <w:r>
        <w:t xml:space="preserve">cascade asks who selected the tiering criterion, what feedback detects error, and who can review a</w:t>
      </w:r>
      <w:r>
        <w:t xml:space="preserve"> </w:t>
      </w:r>
      <w:r>
        <w:t xml:space="preserve">denial or expand access. Part VI considers when such differentiation requires transparency and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Across these cases, control is a vector rather than a switch. One actor may control training,</w:t>
      </w:r>
      <w:r>
        <w:t xml:space="preserve"> </w:t>
      </w:r>
      <w:r>
        <w:t xml:space="preserve">another deployment context, a third credentials, and a fourth emergency shutdown. Where</w:t>
      </w:r>
      <w:r>
        <w:t xml:space="preserve"> </w:t>
      </w:r>
      <w:r>
        <w:t xml:space="preserve">governing law supplies a duty, its scope and alleged breach should be tested against the risk and</w:t>
      </w:r>
      <w:r>
        <w:t xml:space="preserve"> </w:t>
      </w:r>
      <w:r>
        <w:t xml:space="preserve">capability that actor actually governed. Part IV turns this map into an external and internal</w:t>
      </w:r>
      <w:r>
        <w:t xml:space="preserve"> </w:t>
      </w:r>
      <w:r>
        <w:t xml:space="preserve">responsibility structure.</w:t>
      </w:r>
    </w:p>
    <w:p>
      <w:pPr>
        <w:pStyle w:val="BodyText"/>
      </w:pPr>
      <w:r>
        <w:t xml:space="preserve">The method has a final limit. STPA depends on the analyst’s system</w:t>
      </w:r>
      <w:r>
        <w:t xml:space="preserve"> </w:t>
      </w:r>
      <w:r>
        <w:t xml:space="preserve">boundary, selected losses, causal assumptions, and normative choice of constraints;</w:t>
      </w:r>
      <w:r>
        <w:t xml:space="preserve"> </w:t>
      </w:r>
      <w:r>
        <w:t xml:space="preserve">its controller language can underdescribe cooperation, culture, and social</w:t>
      </w:r>
      <w:r>
        <w:t xml:space="preserve"> </w:t>
      </w:r>
      <w:r>
        <w:t xml:space="preserve">power.</w:t>
      </w:r>
      <w:r>
        <w:rPr>
          <w:rStyle w:val="FootnoteReference"/>
        </w:rPr>
        <w:footnoteReference w:id="14"/>
      </w:r>
      <w:bookmarkStart w:id="126" w:name="x1-14001f14"/>
      <w:bookmarkEnd w:id="126"/>
      <w:r>
        <w:t xml:space="preserve"> </w:t>
      </w:r>
      <w:r>
        <w:t xml:space="preserve">The cascade should therefore be contestable by parties and affected communities and revised as</w:t>
      </w:r>
      <w:r>
        <w:t xml:space="preserve"> </w:t>
      </w:r>
      <w:r>
        <w:t xml:space="preserve">discovery changes the facts. It structures evidence. It does not decide duty, legal control, defect,</w:t>
      </w:r>
      <w:r>
        <w:t xml:space="preserve"> </w:t>
      </w:r>
      <w:r>
        <w:t xml:space="preserve">fault, mens rea, proximate cause, or defense.</w:t>
      </w:r>
    </w:p>
    <w:bookmarkEnd w:id="127"/>
    <w:bookmarkEnd w:id="128"/>
    <w:bookmarkStart w:id="228" w:name="Xbd33ba46f330cfc563c26c86ec5de0a966d3c55"/>
    <w:p>
      <w:pPr>
        <w:pStyle w:val="Heading3"/>
      </w:pPr>
      <w:r>
        <w:t xml:space="preserve">II</w:t>
      </w:r>
      <w:r>
        <w:t xml:space="preserve"> </w:t>
      </w:r>
      <w:r>
        <w:t xml:space="preserve"> </w:t>
      </w:r>
      <w:bookmarkStart w:id="129" w:name="x1-15000II"/>
      <w:bookmarkEnd w:id="129"/>
      <w:r>
        <w:t xml:space="preserve">Responsibility Without Artificial Persons</w:t>
      </w:r>
    </w:p>
    <w:p>
      <w:pPr>
        <w:pStyle w:val="FirstParagraph"/>
      </w:pPr>
      <w:r>
        <w:t xml:space="preserve">The cascade maps control exercised by people and organizations over a deployed system. That</w:t>
      </w:r>
      <w:r>
        <w:t xml:space="preserve"> </w:t>
      </w:r>
      <w:r>
        <w:t xml:space="preserve">method requires one stable premise: operational performance does not silently change the legal cast</w:t>
      </w:r>
      <w:r>
        <w:t xml:space="preserve"> </w:t>
      </w:r>
      <w:r>
        <w:t xml:space="preserve">of characters. A system may generate a promise, recommendation, denial, image, or instruction.</w:t>
      </w:r>
      <w:r>
        <w:t xml:space="preserve"> </w:t>
      </w:r>
      <w:r>
        <w:t xml:space="preserve">Whether the effect is attributable to a company, professional, public body, user, or another</w:t>
      </w:r>
      <w:r>
        <w:t xml:space="preserve"> </w:t>
      </w:r>
      <w:r>
        <w:t xml:space="preserve">recognized person depends on the governing law and the deployment facts. The system’s causal</w:t>
      </w:r>
      <w:r>
        <w:t xml:space="preserve"> </w:t>
      </w:r>
      <w:r>
        <w:t xml:space="preserve">contribution does not, by itself, make it the promisor, tortfeasor, author, fiduciary, or</w:t>
      </w:r>
      <w:r>
        <w:t xml:space="preserve"> </w:t>
      </w:r>
      <w:r>
        <w:t xml:space="preserve">constitutional claimant.</w:t>
      </w:r>
    </w:p>
    <w:p>
      <w:pPr>
        <w:pStyle w:val="BodyText"/>
      </w:pPr>
      <w:r>
        <w:t xml:space="preserve">This is a status rule, not a universal definition of AI and not a judgment about the</w:t>
      </w:r>
      <w:r>
        <w:t xml:space="preserve"> </w:t>
      </w:r>
      <w:r>
        <w:t xml:space="preserve">technology’s worth. Regulatory triggers should vary with sector and risk. Functional classifications</w:t>
      </w:r>
      <w:r>
        <w:t xml:space="preserve"> </w:t>
      </w:r>
      <w:r>
        <w:t xml:space="preserve">should vary with doctrine. The invariant is narrower: unless positive law creates and equips a new</w:t>
      </w:r>
      <w:r>
        <w:t xml:space="preserve"> </w:t>
      </w:r>
      <w:r>
        <w:t xml:space="preserve">juridical status, the system does not independently hold the claims, duties, powers, liabilities,</w:t>
      </w:r>
      <w:r>
        <w:t xml:space="preserve"> </w:t>
      </w:r>
      <w:r>
        <w:t xml:space="preserve">assets, procedural capacity, and exposure to remedies necessary for adjudication. That</w:t>
      </w:r>
      <w:r>
        <w:t xml:space="preserve"> </w:t>
      </w:r>
      <w:r>
        <w:t xml:space="preserve">premise directs courts back to the deployment rather than toward an artificial liability</w:t>
      </w:r>
      <w:r>
        <w:t xml:space="preserve"> </w:t>
      </w:r>
      <w:r>
        <w:t xml:space="preserve">sink.</w:t>
      </w:r>
    </w:p>
    <w:bookmarkStart w:id="149" w:name="X290944cd70ae12b116f2cdce7ad894ff8ae3ce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130" w:name="x1-16000A"/>
      <w:bookmarkEnd w:id="130"/>
      <w:r>
        <w:t xml:space="preserve">Legal Status Is an Institutional Structure</w:t>
      </w:r>
    </w:p>
    <w:p>
      <w:pPr>
        <w:pStyle w:val="FirstParagraph"/>
      </w:pPr>
      <w:r>
        <w:t xml:space="preserve">Legal personality begins with positions, not traits. Hohfeld’s analysis remains useful</w:t>
      </w:r>
      <w:r>
        <w:t xml:space="preserve"> </w:t>
      </w:r>
      <w:r>
        <w:t xml:space="preserve">because it disaggregates the word “right” into relations with distinct correlatives and</w:t>
      </w:r>
      <w:r>
        <w:t xml:space="preserve"> </w:t>
      </w:r>
      <w:r>
        <w:t xml:space="preserve">opposites.</w:t>
      </w:r>
      <w:r>
        <w:rPr>
          <w:rStyle w:val="FootnoteReference"/>
        </w:rPr>
        <w:footnoteReference w:id="15"/>
      </w:r>
      <w:bookmarkStart w:id="134" w:name="x1-16001f15"/>
      <w:bookmarkEnd w:id="134"/>
      <w:r>
        <w:t xml:space="preserve"> </w:t>
      </w:r>
      <w:r>
        <w:t xml:space="preserve">Adapted to an AI dispute, the structure exposes what generated performance leaves</w:t>
      </w:r>
      <w:r>
        <w:t xml:space="preserve"> </w:t>
      </w:r>
      <w:r>
        <w:t xml:space="preserve">unresolved:</w:t>
      </w:r>
    </w:p>
    <w:p>
      <w:pPr>
        <w:pStyle w:val="BodyText"/>
      </w:pPr>
      <w:bookmarkStart w:id="135" w:name="x1-160042"/>
      <w:bookmarkEnd w:id="135"/>
    </w:p>
    <w:p>
      <w:pPr>
        <w:pStyle w:val="ImageCaption"/>
        <w:keepNext/>
        <w:keepLines/>
      </w:pPr>
      <w:r>
        <w:t xml:space="preserve">Table 2:</w:t>
      </w:r>
      <w:r>
        <w:t xml:space="preserve"> </w:t>
      </w:r>
      <w:r>
        <w:t xml:space="preserve">Normative Positions and Artificial Performance</w:t>
      </w:r>
    </w:p>
    <w:tbl>
      <w:tblPr>
        <w:tblStyle w:val="Table"/>
        <w:tblW w:type="dxa" w:w="9000"/>
        <w:tblLook w:firstRow="0" w:lastRow="0" w:firstColumn="0" w:lastColumn="0" w:noHBand="0" w:noVBand="0" w:val="0000"/>
        <w:tblLayout w:type="fixed"/>
        <w:jc w:val="center"/>
        <w:tblCellMar>
          <w:top w:type="dxa" w:w="45"/>
          <w:left w:type="dxa" w:w="70"/>
          <w:bottom w:type="dxa" w:w="45"/>
          <w:right w:type="dxa" w:w="70"/>
        </w:tblCellMar>
        <w:tblBorders>
          <w:top w:val="single" w:sz="8" w:space="0" w:color="000000"/>
          <w:bottom w:val="single" w:sz="8" w:space="0" w:color="000000"/>
          <w:insideH w:val="single" w:sz="2" w:space="0" w:color="B7B7B7"/>
          <w:insideV w:val="nil" w:sz="0" w:space="0" w:color="auto"/>
          <w:left w:val="nil" w:sz="0" w:space="0" w:color="auto"/>
          <w:right w:val="nil" w:sz="0" w:space="0" w:color="auto"/>
        </w:tblBorders>
      </w:tblPr>
      <w:tblGrid>
        <w:gridCol w:w="1300"/>
        <w:gridCol w:w="1400"/>
        <w:gridCol w:w="2500"/>
        <w:gridCol w:w="3800"/>
      </w:tblGrid>
      <w:tr>
        <w:trPr>
          <w:cantSplit/>
          <w:tblHeader/>
        </w:trPr>
        <w:tc>
          <w:tcPr>
            <w:tcW w:type="dxa" w:w="1300"/>
            <w:vAlign w:val="center"/>
            <w:tcBorders>
              <w:bottom w:val="single" w:sz="8" w:space="0" w:color="000000"/>
            </w:tcBorders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vAlign w:val="center"/>
            <w:tcBorders>
              <w:bottom w:val="single" w:sz="8" w:space="0" w:color="000000"/>
            </w:tcBorders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Correlative</w:t>
            </w:r>
          </w:p>
        </w:tc>
        <w:tc>
          <w:tcPr>
            <w:tcW w:type="dxa" w:w="2500"/>
            <w:vAlign w:val="center"/>
            <w:tcBorders>
              <w:bottom w:val="single" w:sz="8" w:space="0" w:color="000000"/>
            </w:tcBorders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Legal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3800"/>
            <w:vAlign w:val="center"/>
            <w:tcBorders>
              <w:bottom w:val="single" w:sz="8" w:space="0" w:color="000000"/>
            </w:tcBorders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performance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alone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cannot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establish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Claim</w:t>
            </w:r>
          </w:p>
        </w:tc>
        <w:tc>
          <w:tcPr>
            <w:tcW w:type="dxa" w:w="14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Duty</w:t>
            </w:r>
          </w:p>
        </w:tc>
        <w:tc>
          <w:tcPr>
            <w:tcW w:type="dxa" w:w="25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demand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conduct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from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another.</w:t>
            </w:r>
          </w:p>
        </w:tc>
        <w:tc>
          <w:tcPr>
            <w:tcW w:type="dxa" w:w="38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That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system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owns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claim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release,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assign,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enforce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it.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Privilege</w:t>
            </w:r>
          </w:p>
        </w:tc>
        <w:tc>
          <w:tcPr>
            <w:tcW w:type="dxa" w:w="14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No-right</w:t>
            </w:r>
          </w:p>
        </w:tc>
        <w:tc>
          <w:tcPr>
            <w:tcW w:type="dxa" w:w="25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free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another’s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claim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contrary.</w:t>
            </w:r>
          </w:p>
        </w:tc>
        <w:tc>
          <w:tcPr>
            <w:tcW w:type="dxa" w:w="38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That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system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beneficiary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legal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permission.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Power</w:t>
            </w:r>
          </w:p>
        </w:tc>
        <w:tc>
          <w:tcPr>
            <w:tcW w:type="dxa" w:w="14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Liability</w:t>
            </w:r>
          </w:p>
        </w:tc>
        <w:tc>
          <w:tcPr>
            <w:tcW w:type="dxa" w:w="25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alter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legal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relation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by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recognized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act.</w:t>
            </w:r>
          </w:p>
        </w:tc>
        <w:tc>
          <w:tcPr>
            <w:tcW w:type="dxa" w:w="38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That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generated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assent,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notice,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waiver,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transfer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system’s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juridical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act.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Immunity</w:t>
            </w:r>
          </w:p>
        </w:tc>
        <w:tc>
          <w:tcPr>
            <w:tcW w:type="dxa" w:w="14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Disability</w:t>
            </w:r>
          </w:p>
        </w:tc>
        <w:tc>
          <w:tcPr>
            <w:tcW w:type="dxa" w:w="25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protected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from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another’s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attempted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alteration.</w:t>
            </w:r>
          </w:p>
        </w:tc>
        <w:tc>
          <w:tcPr>
            <w:tcW w:type="dxa" w:w="38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That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system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holds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constitutional,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statutory,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private-law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immunity.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Remedy</w:t>
            </w:r>
          </w:p>
        </w:tc>
        <w:tc>
          <w:tcPr>
            <w:tcW w:type="dxa" w:w="14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Exposure</w:t>
            </w:r>
          </w:p>
        </w:tc>
        <w:tc>
          <w:tcPr>
            <w:tcW w:type="dxa" w:w="25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Institutions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order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relief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against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assets,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conduct,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status.</w:t>
            </w:r>
          </w:p>
        </w:tc>
        <w:tc>
          <w:tcPr>
            <w:tcW w:type="dxa" w:w="3800"/>
            <w:vAlign w:val="center"/>
          </w:tcPr>
          <w:p>
            <w:pPr>
              <w:keepLines/>
              <w:spacing w:before="0" w:after="0" w:line="210" w:lineRule="auto"/>
              <w:jc w:val="left"/>
              <w:jc w:val="center"/>
            </w:pPr>
            <w:r>
              <w:rPr>
                <w:sz w:val="18"/>
                <w:szCs w:val="18"/>
              </w:rPr>
              <w:t xml:space="preserve">What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property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answers,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who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appears,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how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judgment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be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enforced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sanction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experienced.</w:t>
            </w:r>
          </w:p>
        </w:tc>
      </w:tr>
    </w:tbl>
    <w:p>
      <w:pPr>
        <w:pStyle w:val="BodyText"/>
      </w:pPr>
      <w:r>
        <w:t xml:space="preserve">A model can produce factual effects at every row. It can classify an applicant, send a notice,</w:t>
      </w:r>
      <w:r>
        <w:t xml:space="preserve"> </w:t>
      </w:r>
      <w:r>
        <w:t xml:space="preserve">trigger a payment, recommend a denial, or generate assent-like text. The legal effect</w:t>
      </w:r>
      <w:r>
        <w:t xml:space="preserve"> </w:t>
      </w:r>
      <w:r>
        <w:t xml:space="preserve">exists, however, because law identifies a subject and supplies an attribution rule. The</w:t>
      </w:r>
      <w:r>
        <w:t xml:space="preserve"> </w:t>
      </w:r>
      <w:r>
        <w:t xml:space="preserve">bank’s automated process transfers funds under authority attributable to the bank or</w:t>
      </w:r>
      <w:r>
        <w:t xml:space="preserve"> </w:t>
      </w:r>
      <w:r>
        <w:t xml:space="preserve">customer. The agency’s automated notice matters because the agency used it. The denial is</w:t>
      </w:r>
      <w:r>
        <w:t xml:space="preserve"> </w:t>
      </w:r>
      <w:r>
        <w:t xml:space="preserve">reviewable because a public body or employer made the system part of its decision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Competence therefore cannot be the legal test. Law recognizes newborn children and people</w:t>
      </w:r>
      <w:r>
        <w:t xml:space="preserve"> </w:t>
      </w:r>
      <w:r>
        <w:t xml:space="preserve">with profound cognitive disabilities without conditioning human status on linguistic or</w:t>
      </w:r>
      <w:r>
        <w:t xml:space="preserve"> </w:t>
      </w:r>
      <w:r>
        <w:t xml:space="preserve">planning performance. It also constitutes juridical persons that possess no consciousness.</w:t>
      </w:r>
      <w:r>
        <w:t xml:space="preserve"> </w:t>
      </w:r>
      <w:r>
        <w:t xml:space="preserve">Corporations own property, sue and are sued, contract, commit torts and crimes, and</w:t>
      </w:r>
      <w:r>
        <w:t xml:space="preserve"> </w:t>
      </w:r>
      <w:r>
        <w:t xml:space="preserve">survive changes in membership because statutes and common law identify their organs,</w:t>
      </w:r>
      <w:r>
        <w:t xml:space="preserve"> </w:t>
      </w:r>
      <w:r>
        <w:t xml:space="preserve">attribute acts and knowledge, partition assets, authorize service, and make judgments</w:t>
      </w:r>
      <w:r>
        <w:t xml:space="preserve"> </w:t>
      </w:r>
      <w:r>
        <w:t xml:space="preserve">enforceable.</w:t>
      </w:r>
      <w:r>
        <w:rPr>
          <w:rStyle w:val="FootnoteReference"/>
        </w:rPr>
        <w:footnoteReference w:id="16"/>
      </w:r>
      <w:bookmarkStart w:id="143" w:name="x1-16005f16"/>
      <w:bookmarkEnd w:id="143"/>
      <w:r>
        <w:t xml:space="preserve"> </w:t>
      </w:r>
      <w:r>
        <w:t xml:space="preserve">Corporate personality is an institutional achievement, not an intelligence benchmark for</w:t>
      </w:r>
      <w:r>
        <w:t xml:space="preserve"> </w:t>
      </w:r>
      <w:r>
        <w:t xml:space="preserve">machines.</w:t>
      </w:r>
    </w:p>
    <w:p>
      <w:pPr>
        <w:pStyle w:val="BodyText"/>
      </w:pPr>
      <w:r>
        <w:t xml:space="preserve">The point also defeats a recurring circularity. If a chatbot is said to possess a legal</w:t>
      </w:r>
      <w:r>
        <w:t xml:space="preserve"> </w:t>
      </w:r>
      <w:r>
        <w:t xml:space="preserve">power because it generated promise-like words, its capacity is inferred from the very</w:t>
      </w:r>
      <w:r>
        <w:t xml:space="preserve"> </w:t>
      </w:r>
      <w:r>
        <w:t xml:space="preserve">act whose legal effectiveness is disputed. If a model is said to bear liability because its</w:t>
      </w:r>
      <w:r>
        <w:t xml:space="preserve"> </w:t>
      </w:r>
      <w:r>
        <w:t xml:space="preserve">output contributed to harm, causation is assumed to identify the obligor. Ordinary</w:t>
      </w:r>
      <w:r>
        <w:t xml:space="preserve"> </w:t>
      </w:r>
      <w:r>
        <w:t xml:space="preserve">law separates the questions. A machine can cause an effect without legal capacity; a</w:t>
      </w:r>
      <w:r>
        <w:t xml:space="preserve"> </w:t>
      </w:r>
      <w:r>
        <w:t xml:space="preserve">corporation can bear liability through direct or attribution rules even though no single</w:t>
      </w:r>
      <w:r>
        <w:t xml:space="preserve"> </w:t>
      </w:r>
      <w:r>
        <w:t xml:space="preserve">employee possesses every relevant fact. Status organizes conduct. Conduct does not enact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Courts can bracket machine consciousness for the same reason. Moral patienthood asks</w:t>
      </w:r>
      <w:r>
        <w:t xml:space="preserve"> </w:t>
      </w:r>
      <w:r>
        <w:t xml:space="preserve">whether an entity’s interests or experiences deserve consideration. Legal personhood asks whether</w:t>
      </w:r>
      <w:r>
        <w:t xml:space="preserve"> </w:t>
      </w:r>
      <w:r>
        <w:t xml:space="preserve">positive law constitutes it as the holder of specified normative positions. A future showing of</w:t>
      </w:r>
      <w:r>
        <w:t xml:space="preserve"> </w:t>
      </w:r>
      <w:r>
        <w:t xml:space="preserve">morally relevant machine experience could supply a powerful reason for protective legislation. It</w:t>
      </w:r>
      <w:r>
        <w:t xml:space="preserve"> </w:t>
      </w:r>
      <w:r>
        <w:t xml:space="preserve">does not follow that a present court must resolve consciousness before deciding whether a provider</w:t>
      </w:r>
      <w:r>
        <w:t xml:space="preserve"> </w:t>
      </w:r>
      <w:r>
        <w:t xml:space="preserve">used reasonable precautions, whether a business manifested assent, or whether an agency afforded</w:t>
      </w:r>
      <w:r>
        <w:t xml:space="preserve"> </w:t>
      </w:r>
      <w:r>
        <w:t xml:space="preserve">process.</w:t>
      </w:r>
      <w:r>
        <w:rPr>
          <w:rStyle w:val="FootnoteReference"/>
        </w:rPr>
        <w:footnoteReference w:id="17"/>
      </w:r>
      <w:bookmarkStart w:id="148" w:name="x1-16011f17"/>
      <w:bookmarkEnd w:id="148"/>
      <w:r>
        <w:t xml:space="preserve"> </w:t>
      </w:r>
      <w:r>
        <w:t xml:space="preserve">Internal model policies and constitutional language fit the same sequence. They may prove</w:t>
      </w:r>
      <w:r>
        <w:t xml:space="preserve"> </w:t>
      </w:r>
      <w:r>
        <w:t xml:space="preserve">intended behavior, known risk, or feasible safeguards; their use of normative vocabulary does not</w:t>
      </w:r>
      <w:r>
        <w:t xml:space="preserve"> </w:t>
      </w:r>
      <w:r>
        <w:t xml:space="preserve">make the model the duty holder or replace external judgment.</w:t>
      </w:r>
    </w:p>
    <w:bookmarkEnd w:id="149"/>
    <w:bookmarkStart w:id="185" w:name="X9d0bd04bf5fc7a23777db241d921b80b29ec205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150" w:name="x1-17000B"/>
      <w:bookmarkEnd w:id="150"/>
      <w:r>
        <w:t xml:space="preserve">The Strongest Personhood Account Still Requires Legal Architecture</w:t>
      </w:r>
    </w:p>
    <w:p>
      <w:pPr>
        <w:pStyle w:val="FirstParagraph"/>
      </w:pPr>
      <w:r>
        <w:t xml:space="preserve">The leading personhood literature does not rest on humanlike dialogue alone. Lawrence Solum</w:t>
      </w:r>
      <w:r>
        <w:t xml:space="preserve"> </w:t>
      </w:r>
      <w:r>
        <w:t xml:space="preserve">treated AI personhood as a genuine legal question and tested objections based on intelligence,</w:t>
      </w:r>
      <w:r>
        <w:t xml:space="preserve"> </w:t>
      </w:r>
      <w:r>
        <w:t xml:space="preserve">judgment, and human experience. Samir Chopra and Laurence White developed a functional case</w:t>
      </w:r>
      <w:r>
        <w:t xml:space="preserve"> </w:t>
      </w:r>
      <w:r>
        <w:t xml:space="preserve">for recognizing artificial agents where status would serve particular doctrines. Other theorists</w:t>
      </w:r>
      <w:r>
        <w:t xml:space="preserve"> </w:t>
      </w:r>
      <w:r>
        <w:t xml:space="preserve">ask whether moral participation, punishment, or a limited legal platform could justify</w:t>
      </w:r>
      <w:r>
        <w:t xml:space="preserve"> </w:t>
      </w:r>
      <w:r>
        <w:t xml:space="preserve">recognition.</w:t>
      </w:r>
      <w:r>
        <w:rPr>
          <w:rStyle w:val="FootnoteReference"/>
        </w:rPr>
        <w:footnoteReference w:id="18"/>
      </w:r>
      <w:bookmarkStart w:id="158" w:name="x1-17001f18"/>
      <w:bookmarkEnd w:id="158"/>
      <w:r>
        <w:t xml:space="preserve"> </w:t>
      </w:r>
      <w:r>
        <w:t xml:space="preserve">These accounts identify policy choices that positive law may eventually make. They do not turn</w:t>
      </w:r>
      <w:r>
        <w:t xml:space="preserve"> </w:t>
      </w:r>
      <w:r>
        <w:t xml:space="preserve">capability into a self-executing grant.</w:t>
      </w:r>
    </w:p>
    <w:p>
      <w:pPr>
        <w:pStyle w:val="BodyText"/>
      </w:pPr>
      <w:r>
        <w:t xml:space="preserve">Algorithmically controlled business entities supply the hardest present example.</w:t>
      </w:r>
      <w:r>
        <w:t xml:space="preserve"> </w:t>
      </w:r>
      <w:r>
        <w:t xml:space="preserve">Existing organizational law may permit software to control decisions of a limited liability</w:t>
      </w:r>
      <w:r>
        <w:t xml:space="preserve"> </w:t>
      </w:r>
      <w:r>
        <w:t xml:space="preserve">company, allowing the company to exercise private-law capacities through automated</w:t>
      </w:r>
      <w:r>
        <w:t xml:space="preserve"> </w:t>
      </w:r>
      <w:r>
        <w:t xml:space="preserve">governance.</w:t>
      </w:r>
      <w:r>
        <w:rPr>
          <w:rStyle w:val="FootnoteReference"/>
        </w:rPr>
        <w:footnoteReference w:id="19"/>
      </w:r>
      <w:bookmarkStart w:id="163" w:name="x1-17008f19"/>
      <w:bookmarkEnd w:id="163"/>
      <w:r>
        <w:t xml:space="preserve"> </w:t>
      </w:r>
      <w:r>
        <w:t xml:space="preserve">The company nevertheless holds the claims, assets, and procedural capacity because organizational</w:t>
      </w:r>
      <w:r>
        <w:t xml:space="preserve"> </w:t>
      </w:r>
      <w:r>
        <w:t xml:space="preserve">law created it. Software control does not generate a second juridical person. The arrangement</w:t>
      </w:r>
      <w:r>
        <w:t xml:space="preserve"> </w:t>
      </w:r>
      <w:r>
        <w:t xml:space="preserve">instead confirms why disclosure, capitalization, representation, and attribution rules do the</w:t>
      </w:r>
      <w:r>
        <w:t xml:space="preserve"> </w:t>
      </w:r>
      <w:r>
        <w:t xml:space="preserve">institutional work.</w:t>
      </w:r>
    </w:p>
    <w:p>
      <w:pPr>
        <w:pStyle w:val="BodyText"/>
      </w:pPr>
      <w:r>
        <w:t xml:space="preserve">The concept of</w:t>
      </w:r>
      <w:r>
        <w:t xml:space="preserve"> </w:t>
      </w:r>
      <w:r>
        <w:t xml:space="preserve">operational agency</w:t>
      </w:r>
      <w:r>
        <w:t xml:space="preserve"> </w:t>
      </w:r>
      <w:r>
        <w:t xml:space="preserve">is particularly useful when kept at</w:t>
      </w:r>
      <w:r>
        <w:t xml:space="preserve"> </w:t>
      </w:r>
      <w:r>
        <w:t xml:space="preserve">that level. A tool-using system can pursue an objective, select actions, observe</w:t>
      </w:r>
      <w:r>
        <w:t xml:space="preserve"> </w:t>
      </w:r>
      <w:r>
        <w:t xml:space="preserve">results, and revise a plan even where metaphysical or moral agency remains</w:t>
      </w:r>
      <w:r>
        <w:t xml:space="preserve"> </w:t>
      </w:r>
      <w:r>
        <w:t xml:space="preserve">disputed.</w:t>
      </w:r>
      <w:r>
        <w:rPr>
          <w:rStyle w:val="FootnoteReference"/>
        </w:rPr>
        <w:footnoteReference w:id="20"/>
      </w:r>
      <w:bookmarkStart w:id="167" w:name="x1-17012f20"/>
      <w:bookmarkEnd w:id="167"/>
      <w:r>
        <w:t xml:space="preserve"> </w:t>
      </w:r>
      <w:r>
        <w:t xml:space="preserve">That</w:t>
      </w:r>
      <w:r>
        <w:t xml:space="preserve"> </w:t>
      </w:r>
      <w:r>
        <w:t xml:space="preserve">description helps the cascade identify control actions and causal sequences. Legal agency in private law adds</w:t>
      </w:r>
      <w:r>
        <w:t xml:space="preserve"> </w:t>
      </w:r>
      <w:r>
        <w:t xml:space="preserve">a relation among principal, agent, and third party, including assent, acting on another’s behalf, and a right</w:t>
      </w:r>
      <w:r>
        <w:t xml:space="preserve"> </w:t>
      </w:r>
      <w:r>
        <w:t xml:space="preserve">of control.</w:t>
      </w:r>
      <w:r>
        <w:rPr>
          <w:rStyle w:val="FootnoteReference"/>
        </w:rPr>
        <w:footnoteReference w:id="21"/>
      </w:r>
      <w:bookmarkStart w:id="171" w:name="x1-17015f21"/>
      <w:bookmarkEnd w:id="171"/>
      <w:r>
        <w:t xml:space="preserve"> </w:t>
      </w:r>
      <w:r>
        <w:t xml:space="preserve">Contractual capacity adds rules of authority, avoidance, and enforcement; criminal responsibility</w:t>
      </w:r>
      <w:r>
        <w:t xml:space="preserve"> </w:t>
      </w:r>
      <w:r>
        <w:t xml:space="preserve">adds legally specified fault and an effective sanction. Operational agency illuminates the system’s</w:t>
      </w:r>
      <w:r>
        <w:t xml:space="preserve"> </w:t>
      </w:r>
      <w:r>
        <w:t xml:space="preserve">behavior without supplying those relations.</w:t>
      </w:r>
    </w:p>
    <w:p>
      <w:pPr>
        <w:pStyle w:val="BodyText"/>
      </w:pPr>
      <w:r>
        <w:t xml:space="preserve">A legislature remains free to create a limited AI-related platform. A workable</w:t>
      </w:r>
      <w:r>
        <w:t xml:space="preserve"> </w:t>
      </w:r>
      <w:r>
        <w:t xml:space="preserve">enactment would specify the covered systems, incidents of status, representative or</w:t>
      </w:r>
      <w:r>
        <w:t xml:space="preserve"> </w:t>
      </w:r>
      <w:r>
        <w:t xml:space="preserve">organ, dedicated assets or insurance, attribution of knowledge and conduct, relation to</w:t>
      </w:r>
      <w:r>
        <w:t xml:space="preserve"> </w:t>
      </w:r>
      <w:r>
        <w:t xml:space="preserve">provider and deployer liability, service, modification, and dissolution. It might create a</w:t>
      </w:r>
      <w:r>
        <w:t xml:space="preserve"> </w:t>
      </w:r>
      <w:r>
        <w:t xml:space="preserve">narrow fund-like vehicle for correlated model-level losses rather than a general artificial</w:t>
      </w:r>
      <w:r>
        <w:t xml:space="preserve"> </w:t>
      </w:r>
      <w:r>
        <w:t xml:space="preserve">person.</w:t>
      </w:r>
    </w:p>
    <w:p>
      <w:pPr>
        <w:pStyle w:val="BodyText"/>
      </w:pPr>
      <w:r>
        <w:t xml:space="preserve">A pending federal bill shows why a functional authorization cannot be left to the word</w:t>
      </w:r>
      <w:r>
        <w:t xml:space="preserve"> </w:t>
      </w:r>
      <w:r>
        <w:t xml:space="preserve">“practitioner.” H.R. 238, the Healthy Technology Act of 2025, would amend section 503(b) of the</w:t>
      </w:r>
      <w:r>
        <w:t xml:space="preserve"> </w:t>
      </w:r>
      <w:r>
        <w:t xml:space="preserve">Federal Food, Drug, and Cosmetic Act so that, for that subsection, “practitioner licensed</w:t>
      </w:r>
      <w:r>
        <w:t xml:space="preserve"> </w:t>
      </w:r>
      <w:r>
        <w:t xml:space="preserve">by law to administer such drug” includes artificial-intelligence and machine-learning</w:t>
      </w:r>
      <w:r>
        <w:t xml:space="preserve"> </w:t>
      </w:r>
      <w:r>
        <w:t xml:space="preserve">technology that state law authorizes to prescribe the drug and that the Food and Drug</w:t>
      </w:r>
      <w:r>
        <w:t xml:space="preserve"> </w:t>
      </w:r>
      <w:r>
        <w:t xml:space="preserve">Administration has approved, cleared, or authorized under specified device or emergency-use</w:t>
      </w:r>
      <w:r>
        <w:t xml:space="preserve"> </w:t>
      </w:r>
      <w:r>
        <w:t xml:space="preserve">provisions.</w:t>
      </w:r>
      <w:r>
        <w:rPr>
          <w:rStyle w:val="FootnoteReference"/>
        </w:rPr>
        <w:footnoteReference w:id="22"/>
      </w:r>
      <w:bookmarkStart w:id="175" w:name="x1-17018f22"/>
      <w:bookmarkEnd w:id="175"/>
      <w:r>
        <w:t xml:space="preserve"> </w:t>
      </w:r>
      <w:r>
        <w:t xml:space="preserve">The bill would thus recognize, for federal prescription-drug law, a narrow prescribing power that</w:t>
      </w:r>
      <w:r>
        <w:t xml:space="preserve"> </w:t>
      </w:r>
      <w:r>
        <w:t xml:space="preserve">state law conferred on a technology. It does not identify an organ or representative, dedicated</w:t>
      </w:r>
      <w:r>
        <w:t xml:space="preserve"> </w:t>
      </w:r>
      <w:r>
        <w:t xml:space="preserve">assets or insurance, rules for service and appearance, attribution of knowledge and conduct, the</w:t>
      </w:r>
      <w:r>
        <w:t xml:space="preserve"> </w:t>
      </w:r>
      <w:r>
        <w:t xml:space="preserve">relation of the system’s act to provider, deployer, clinician, and user liability, disclosure to affected</w:t>
      </w:r>
      <w:r>
        <w:t xml:space="preserve"> </w:t>
      </w:r>
      <w:r>
        <w:t xml:space="preserve">persons, or procedures for material change and termination. The omission does not mean a</w:t>
      </w:r>
      <w:r>
        <w:t xml:space="preserve"> </w:t>
      </w:r>
      <w:r>
        <w:t xml:space="preserve">legislature must create a general artificial person before it can authorize automation. It may</w:t>
      </w:r>
      <w:r>
        <w:t xml:space="preserve"> </w:t>
      </w:r>
      <w:r>
        <w:t xml:space="preserve">instead make the system an authorized instrument of a recognized actor. But the word</w:t>
      </w:r>
      <w:r>
        <w:t xml:space="preserve"> </w:t>
      </w:r>
      <w:r>
        <w:t xml:space="preserve">“practitioner” does not choose among those architectures or supply their incidents. Without an</w:t>
      </w:r>
      <w:r>
        <w:t xml:space="preserve"> </w:t>
      </w:r>
      <w:r>
        <w:t xml:space="preserve">answerable person, attributable records, and a remedial path, the phrase merely renames the</w:t>
      </w:r>
      <w:r>
        <w:t xml:space="preserve"> </w:t>
      </w:r>
      <w:r>
        <w:t xml:space="preserve">gap.</w:t>
      </w:r>
    </w:p>
    <w:p>
      <w:pPr>
        <w:pStyle w:val="BodyText"/>
      </w:pPr>
      <w:r>
        <w:t xml:space="preserve">The European Parliament’s 2017 invitation to consider “electronic person” status, and</w:t>
      </w:r>
      <w:r>
        <w:t xml:space="preserve"> </w:t>
      </w:r>
      <w:r>
        <w:t xml:space="preserve">the official and academic objections that followed, centered on exactly these allocation</w:t>
      </w:r>
      <w:r>
        <w:t xml:space="preserve"> </w:t>
      </w:r>
      <w:r>
        <w:t xml:space="preserve">choices.</w:t>
      </w:r>
      <w:r>
        <w:rPr>
          <w:rStyle w:val="FootnoteReference"/>
        </w:rPr>
        <w:footnoteReference w:id="23"/>
      </w:r>
      <w:bookmarkStart w:id="184" w:name="x1-17021f23"/>
      <w:bookmarkEnd w:id="184"/>
      <w:r>
        <w:t xml:space="preserve"> </w:t>
      </w:r>
      <w:r>
        <w:t xml:space="preserve">The legal platform would do the work. Until one exists, courts should not infer it from</w:t>
      </w:r>
      <w:r>
        <w:t xml:space="preserve"> </w:t>
      </w:r>
      <w:r>
        <w:t xml:space="preserve">output.</w:t>
      </w:r>
    </w:p>
    <w:bookmarkEnd w:id="185"/>
    <w:bookmarkStart w:id="198" w:name="X98fa690068d594cf6be0a89f7316f35b00c826f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186" w:name="x1-18000C"/>
      <w:bookmarkEnd w:id="186"/>
      <w:r>
        <w:t xml:space="preserve">Automatic Instrumentality Directs Attention to Deployment</w:t>
      </w:r>
    </w:p>
    <w:p>
      <w:pPr>
        <w:pStyle w:val="FirstParagraph"/>
      </w:pPr>
      <w:r>
        <w:t xml:space="preserve">Technical and status definitions should not prove one another by stipulation. This Article uses a</w:t>
      </w:r>
      <w:r>
        <w:t xml:space="preserve"> </w:t>
      </w:r>
      <w:r>
        <w:t xml:space="preserve">factual working definition:</w:t>
      </w:r>
    </w:p>
    <w:p>
      <w:pPr>
        <w:pStyle w:val="BlockText"/>
      </w:pPr>
      <w:r>
        <w:t xml:space="preserve">An</w:t>
      </w:r>
      <w:r>
        <w:t xml:space="preserve"> </w:t>
      </w:r>
      <w:r>
        <w:t xml:space="preserve">AI system</w:t>
      </w:r>
      <w:r>
        <w:t xml:space="preserve"> </w:t>
      </w:r>
      <w:r>
        <w:t xml:space="preserve">is a machine-based computational system that, with varying</w:t>
      </w:r>
      <w:r>
        <w:t xml:space="preserve"> </w:t>
      </w:r>
      <w:r>
        <w:t xml:space="preserve">levels of autonomy and possible adaptiveness, infers from inputs how to</w:t>
      </w:r>
      <w:r>
        <w:t xml:space="preserve"> </w:t>
      </w:r>
      <w:r>
        <w:t xml:space="preserve">generate outputs—including predictions, content, recommendations, decisions, or</w:t>
      </w:r>
      <w:r>
        <w:t xml:space="preserve"> </w:t>
      </w:r>
      <w:r>
        <w:t xml:space="preserve">actions—that may influence physical or virtual environments.</w:t>
      </w:r>
    </w:p>
    <w:p>
      <w:pPr>
        <w:pStyle w:val="FirstParagraph"/>
      </w:pPr>
      <w:r>
        <w:t xml:space="preserve">The definition tracks the operational core shared by the EU AI Act</w:t>
      </w:r>
      <w:r>
        <w:t xml:space="preserve"> </w:t>
      </w:r>
      <w:r>
        <w:t xml:space="preserve">and NIST framework without importing either instrument’s regulatory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24"/>
      </w:r>
      <w:bookmarkStart w:id="191" w:name="x1-18001f24"/>
      <w:bookmarkEnd w:id="191"/>
      <w:r>
        <w:t xml:space="preserve"> </w:t>
      </w:r>
      <w:r>
        <w:t xml:space="preserve">It</w:t>
      </w:r>
      <w:r>
        <w:t xml:space="preserve"> </w:t>
      </w:r>
      <w:r>
        <w:t xml:space="preserve">includes embodied and nonembodied systems, probabilistic models, and hybrid systems</w:t>
      </w:r>
      <w:r>
        <w:t xml:space="preserve"> </w:t>
      </w:r>
      <w:r>
        <w:t xml:space="preserve">with deterministic components. Parameter count, compression, benchmark score, and</w:t>
      </w:r>
      <w:r>
        <w:t xml:space="preserve"> </w:t>
      </w:r>
      <w:r>
        <w:t xml:space="preserve">hosting arrangement can change capability or foreseeable risk; none is a personhood</w:t>
      </w:r>
      <w:r>
        <w:t xml:space="preserve"> </w:t>
      </w:r>
      <w:r>
        <w:t xml:space="preserve">switch.</w:t>
      </w:r>
    </w:p>
    <w:p>
      <w:pPr>
        <w:pStyle w:val="BodyText"/>
      </w:pPr>
      <w:r>
        <w:t xml:space="preserve">For attribution, the system is an</w:t>
      </w:r>
      <w:r>
        <w:t xml:space="preserve"> </w:t>
      </w:r>
      <w:r>
        <w:t xml:space="preserve">automatic instrumentality</w:t>
      </w:r>
      <w:r>
        <w:t xml:space="preserve">: an organized mechanism</w:t>
      </w:r>
      <w:r>
        <w:t xml:space="preserve"> </w:t>
      </w:r>
      <w:r>
        <w:t xml:space="preserve">through which existing persons and institutions can produce effects without contemporaneous</w:t>
      </w:r>
      <w:r>
        <w:t xml:space="preserve"> </w:t>
      </w:r>
      <w:r>
        <w:t xml:space="preserve">selection of each intermediate step. The term performs two tasks. “Automatic” preserves the</w:t>
      </w:r>
      <w:r>
        <w:t xml:space="preserve"> </w:t>
      </w:r>
      <w:r>
        <w:t xml:space="preserve">factual reality that a model can generate and act without a new instruction at every</w:t>
      </w:r>
      <w:r>
        <w:t xml:space="preserve"> </w:t>
      </w:r>
      <w:r>
        <w:t xml:space="preserve">stage. “Instrumentality” rejects the inference that causal initiative creates independent</w:t>
      </w:r>
      <w:r>
        <w:t xml:space="preserve"> </w:t>
      </w:r>
      <w:r>
        <w:t xml:space="preserve">legal status. Electronic-transactions law has long used the same structure. An electronic</w:t>
      </w:r>
      <w:r>
        <w:t xml:space="preserve"> </w:t>
      </w:r>
      <w:r>
        <w:t xml:space="preserve">agent can initiate or respond to records without contemporaneous review, while the</w:t>
      </w:r>
      <w:r>
        <w:t xml:space="preserve"> </w:t>
      </w:r>
      <w:r>
        <w:t xml:space="preserve">transaction receives effect through rules attributing the automated action to existing</w:t>
      </w:r>
      <w:r>
        <w:t xml:space="preserve"> </w:t>
      </w:r>
      <w:r>
        <w:t xml:space="preserve">parties.</w:t>
      </w:r>
      <w:r>
        <w:rPr>
          <w:rStyle w:val="FootnoteReference"/>
        </w:rPr>
        <w:footnoteReference w:id="25"/>
      </w:r>
      <w:bookmarkStart w:id="197" w:name="x1-18005f25"/>
      <w:bookmarkEnd w:id="197"/>
    </w:p>
    <w:p>
      <w:pPr>
        <w:pStyle w:val="BodyText"/>
      </w:pPr>
      <w:r>
        <w:t xml:space="preserve">The concept is deliberately loaded into the cascade. A user prompt is only one</w:t>
      </w:r>
      <w:r>
        <w:t xml:space="preserve"> </w:t>
      </w:r>
      <w:r>
        <w:t xml:space="preserve">input. System instructions can set objectives and limits; retrieval can supply context;</w:t>
      </w:r>
      <w:r>
        <w:t xml:space="preserve"> </w:t>
      </w:r>
      <w:r>
        <w:t xml:space="preserve">memory can carry earlier exchanges forward; tools can return data or act in another</w:t>
      </w:r>
      <w:r>
        <w:t xml:space="preserve"> </w:t>
      </w:r>
      <w:r>
        <w:t xml:space="preserve">system; and clocks, sensors, messages, or database changes can initiate a workflow.</w:t>
      </w:r>
      <w:r>
        <w:t xml:space="preserve"> </w:t>
      </w:r>
      <w:r>
        <w:t xml:space="preserve">An agent loop may generate subgoals and continue without another human command.</w:t>
      </w:r>
      <w:r>
        <w:t xml:space="preserve"> </w:t>
      </w:r>
      <w:r>
        <w:t xml:space="preserve">Immediate linguistic control can therefore be absent while deployment control remains</w:t>
      </w:r>
      <w:r>
        <w:t xml:space="preserve"> </w:t>
      </w:r>
      <w:r>
        <w:t xml:space="preserve">extensive.</w:t>
      </w:r>
    </w:p>
    <w:p>
      <w:pPr>
        <w:pStyle w:val="BodyText"/>
      </w:pPr>
      <w:r>
        <w:t xml:space="preserve">The rule that follows is the Article’s bridge from status to evidence:</w:t>
      </w:r>
      <w:r>
        <w:t xml:space="preserve"> </w:t>
      </w:r>
      <w:r>
        <w:t xml:space="preserve">the absence of</w:t>
      </w:r>
      <w:r>
        <w:t xml:space="preserve"> </w:t>
      </w:r>
      <w:r>
        <w:t xml:space="preserve">word-by-word control at the instant of output does not imply the absence of human or</w:t>
      </w:r>
      <w:r>
        <w:t xml:space="preserve"> </w:t>
      </w:r>
      <w:r>
        <w:t xml:space="preserve">organizational control over the mechanism that produced it</w:t>
      </w:r>
      <w:r>
        <w:t xml:space="preserve">. A hospital selects the model, records,</w:t>
      </w:r>
      <w:r>
        <w:t xml:space="preserve"> </w:t>
      </w:r>
      <w:r>
        <w:t xml:space="preserve">interface, uncertainty display, review conditions, and override. A companion provider selects</w:t>
      </w:r>
      <w:r>
        <w:t xml:space="preserve"> </w:t>
      </w:r>
      <w:r>
        <w:t xml:space="preserve">personas, memory, engagement objectives, age access, crisis detection, and exit design. A public</w:t>
      </w:r>
      <w:r>
        <w:t xml:space="preserve"> </w:t>
      </w:r>
      <w:r>
        <w:t xml:space="preserve">agency selects the data, decision authority, and appeal channel. Those choices are the control</w:t>
      </w:r>
      <w:r>
        <w:t xml:space="preserve"> </w:t>
      </w:r>
      <w:r>
        <w:t xml:space="preserve">actions Part I maps.</w:t>
      </w:r>
    </w:p>
    <w:p>
      <w:pPr>
        <w:pStyle w:val="BodyText"/>
      </w:pPr>
      <w:r>
        <w:t xml:space="preserve">The converse keeps the rule precise. Ownership of model weights does not necessarily entail</w:t>
      </w:r>
      <w:r>
        <w:t xml:space="preserve"> </w:t>
      </w:r>
      <w:r>
        <w:t xml:space="preserve">control over every later deployment. An independent actor may modify open weights, remove</w:t>
      </w:r>
      <w:r>
        <w:t xml:space="preserve"> </w:t>
      </w:r>
      <w:r>
        <w:t xml:space="preserve">safeguards, add credentials, and operate outside the original provider’s practical reach. A</w:t>
      </w:r>
      <w:r>
        <w:t xml:space="preserve"> </w:t>
      </w:r>
      <w:r>
        <w:t xml:space="preserve">downstream deployer may choose the purpose, population, data, tools, and warnings. A user may</w:t>
      </w:r>
      <w:r>
        <w:t xml:space="preserve"> </w:t>
      </w:r>
      <w:r>
        <w:t xml:space="preserve">defeat a constraint despite reasonable precautions. Responsibility should track authority,</w:t>
      </w:r>
      <w:r>
        <w:t xml:space="preserve"> </w:t>
      </w:r>
      <w:r>
        <w:t xml:space="preserve">information, resources, and stopping power over the risk at issue rather than provenance</w:t>
      </w:r>
      <w:r>
        <w:t xml:space="preserve"> </w:t>
      </w:r>
      <w:r>
        <w:t xml:space="preserve">alone.</w:t>
      </w:r>
    </w:p>
    <w:bookmarkEnd w:id="198"/>
    <w:bookmarkStart w:id="227" w:name="X265e7bcf8f0f250edf167b5077a7b59b5a14079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99" w:name="x1-19000D"/>
      <w:bookmarkEnd w:id="199"/>
      <w:r>
        <w:t xml:space="preserve">Functional Pluralism Has a Status Boundary</w:t>
      </w:r>
    </w:p>
    <w:p>
      <w:pPr>
        <w:pStyle w:val="FirstParagraph"/>
      </w:pPr>
      <w:r>
        <w:t xml:space="preserve">No universal noun should decide every AI dispute. Modern deployments combine models, conventional</w:t>
      </w:r>
      <w:r>
        <w:t xml:space="preserve"> </w:t>
      </w:r>
      <w:r>
        <w:t xml:space="preserve">software, retrieval, tools, data, and human workflows that change after release. A definition keyed to</w:t>
      </w:r>
      <w:r>
        <w:t xml:space="preserve"> </w:t>
      </w:r>
      <w:r>
        <w:t xml:space="preserve">one architecture will age quickly; a broad one can capture ordinary software; a capability threshold</w:t>
      </w:r>
      <w:r>
        <w:t xml:space="preserve"> </w:t>
      </w:r>
      <w:r>
        <w:t xml:space="preserve">can produce boundary gaming. More fundamentally, a medical-device regulator, copyright court,</w:t>
      </w:r>
      <w:r>
        <w:t xml:space="preserve"> </w:t>
      </w:r>
      <w:r>
        <w:t xml:space="preserve">procurement official, and consumer tribunal classify for different purposes. Definition theory and</w:t>
      </w:r>
      <w:r>
        <w:t xml:space="preserve"> </w:t>
      </w:r>
      <w:r>
        <w:t xml:space="preserve">technology-neutral drafting support purpose-sensitive rules focused on the relevant function or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26"/>
      </w:r>
      <w:bookmarkStart w:id="208" w:name="x1-19001f26"/>
      <w:bookmarkEnd w:id="208"/>
    </w:p>
    <w:p>
      <w:pPr>
        <w:pStyle w:val="BodyText"/>
      </w:pPr>
      <w:r>
        <w:t xml:space="preserve">Three propositions must nevertheless remain separate. A</w:t>
      </w:r>
      <w:r>
        <w:t xml:space="preserve"> </w:t>
      </w:r>
      <w:r>
        <w:t xml:space="preserve">regulatory trigger</w:t>
      </w:r>
      <w:r>
        <w:t xml:space="preserve"> </w:t>
      </w:r>
      <w:r>
        <w:t xml:space="preserve">identifies the</w:t>
      </w:r>
      <w:r>
        <w:t xml:space="preserve"> </w:t>
      </w:r>
      <w:r>
        <w:t xml:space="preserve">systems, actors, or uses covered by an enactment. A</w:t>
      </w:r>
      <w:r>
        <w:t xml:space="preserve"> </w:t>
      </w:r>
      <w:r>
        <w:t xml:space="preserve">functional classification</w:t>
      </w:r>
      <w:r>
        <w:t xml:space="preserve"> </w:t>
      </w:r>
      <w:r>
        <w:t xml:space="preserve">connects deployment</w:t>
      </w:r>
      <w:r>
        <w:t xml:space="preserve"> </w:t>
      </w:r>
      <w:r>
        <w:t xml:space="preserve">facts to a doctrinal element, such as product, service, instrument, publication, or decision process.</w:t>
      </w:r>
      <w:r>
        <w:t xml:space="preserve"> </w:t>
      </w:r>
      <w:r>
        <w:t xml:space="preserve">A</w:t>
      </w:r>
      <w:r>
        <w:t xml:space="preserve"> </w:t>
      </w:r>
      <w:r>
        <w:t xml:space="preserve">subject-status rule</w:t>
      </w:r>
      <w:r>
        <w:t xml:space="preserve"> </w:t>
      </w:r>
      <w:r>
        <w:t xml:space="preserve">identifies who can hold the claim, owe the duty, exercise the power, bear the</w:t>
      </w:r>
      <w:r>
        <w:t xml:space="preserve"> </w:t>
      </w:r>
      <w:r>
        <w:t xml:space="preserve">liability, and answer the remedy. The first two properly vary. The third cannot drift with them</w:t>
      </w:r>
      <w:r>
        <w:t xml:space="preserve"> </w:t>
      </w:r>
      <w:r>
        <w:t xml:space="preserve">without positive law.</w:t>
      </w:r>
    </w:p>
    <w:p>
      <w:pPr>
        <w:pStyle w:val="BodyText"/>
      </w:pPr>
      <w:r>
        <w:t xml:space="preserve">Thus, a companion-chatbot statute can cover an adaptive relational interface without</w:t>
      </w:r>
      <w:r>
        <w:t xml:space="preserve"> </w:t>
      </w:r>
      <w:r>
        <w:t xml:space="preserve">deciding whether the same application is a product under state tort law. Product law can examine</w:t>
      </w:r>
      <w:r>
        <w:t xml:space="preserve"> </w:t>
      </w:r>
      <w:r>
        <w:t xml:space="preserve">mass distribution, design, and warning without making the model an independent tortfeasor.</w:t>
      </w:r>
      <w:r>
        <w:t xml:space="preserve"> </w:t>
      </w:r>
      <w:r>
        <w:t xml:space="preserve">Contract law can attribute an automated transaction to a business without making</w:t>
      </w:r>
      <w:r>
        <w:t xml:space="preserve"> </w:t>
      </w:r>
      <w:r>
        <w:t xml:space="preserve">software the contracting party. Copyright can recognize human-authored selection or</w:t>
      </w:r>
      <w:r>
        <w:t xml:space="preserve"> </w:t>
      </w:r>
      <w:r>
        <w:t xml:space="preserve">modification while treating generated material as unowned, and speech doctrine can protect a</w:t>
      </w:r>
      <w:r>
        <w:t xml:space="preserve"> </w:t>
      </w:r>
      <w:r>
        <w:t xml:space="preserve">user’s or provider’s expressive choice without treating the model as a constitutional</w:t>
      </w:r>
      <w:r>
        <w:t xml:space="preserve"> </w:t>
      </w:r>
      <w:r>
        <w:t xml:space="preserve">claimant.</w:t>
      </w:r>
      <w:r>
        <w:rPr>
          <w:rStyle w:val="FootnoteReference"/>
        </w:rPr>
        <w:footnoteReference w:id="27"/>
      </w:r>
      <w:bookmarkStart w:id="215" w:name="x1-19008f27"/>
      <w:bookmarkEnd w:id="215"/>
    </w:p>
    <w:p>
      <w:pPr>
        <w:pStyle w:val="BodyText"/>
      </w:pPr>
      <w:r>
        <w:t xml:space="preserve">This distinction is especially important after</w:t>
      </w:r>
      <w:r>
        <w:t xml:space="preserve"> </w:t>
      </w:r>
      <w:r>
        <w:t xml:space="preserve">Loper Bright</w:t>
      </w:r>
      <w:r>
        <w:t xml:space="preserve">. A federal court must exercise</w:t>
      </w:r>
      <w:r>
        <w:t xml:space="preserve"> </w:t>
      </w:r>
      <w:r>
        <w:t xml:space="preserve">independent judgment about a statute’s best reading; ambiguity alone no longer activates</w:t>
      </w:r>
      <w:r>
        <w:t xml:space="preserve"> </w:t>
      </w:r>
      <w:r>
        <w:t xml:space="preserve">Chevron</w:t>
      </w:r>
      <w:r>
        <w:t xml:space="preserve"> </w:t>
      </w:r>
      <w:r>
        <w:t xml:space="preserve">deference. Agency expertise may persuade under</w:t>
      </w:r>
      <w:r>
        <w:t xml:space="preserve"> </w:t>
      </w:r>
      <w:r>
        <w:t xml:space="preserve">Skidmore</w:t>
      </w:r>
      <w:r>
        <w:t xml:space="preserve">, and an express delegation remains a</w:t>
      </w:r>
      <w:r>
        <w:t xml:space="preserve"> </w:t>
      </w:r>
      <w:r>
        <w:t xml:space="preserve">delegation.</w:t>
      </w:r>
      <w:r>
        <w:rPr>
          <w:rStyle w:val="FootnoteReference"/>
        </w:rPr>
        <w:footnoteReference w:id="28"/>
      </w:r>
      <w:bookmarkStart w:id="220" w:name="x1-19013f28"/>
      <w:bookmarkEnd w:id="220"/>
      <w:r>
        <w:t xml:space="preserve"> </w:t>
      </w:r>
      <w:r>
        <w:t xml:space="preserve">But an agency definition designed to allocate a program’s coverage cannot silently resolve</w:t>
      </w:r>
      <w:r>
        <w:t xml:space="preserve"> </w:t>
      </w:r>
      <w:r>
        <w:t xml:space="preserve">authorship, defect, promise, personhood, or the common-law identity of a duty holder. The court</w:t>
      </w:r>
      <w:r>
        <w:t xml:space="preserve"> </w:t>
      </w:r>
      <w:r>
        <w:t xml:space="preserve">must identify the definition’s function and the legal relation before it.</w:t>
      </w:r>
    </w:p>
    <w:p>
      <w:pPr>
        <w:pStyle w:val="BodyText"/>
      </w:pPr>
      <w:r>
        <w:t xml:space="preserve">Private definitions occupy a parallel evidentiary position. A firm can name a system,</w:t>
      </w:r>
      <w:r>
        <w:t xml:space="preserve"> </w:t>
      </w:r>
      <w:r>
        <w:t xml:space="preserve">assign a voice and biography, describe it as a companion or professional assistant, issue</w:t>
      </w:r>
      <w:r>
        <w:t xml:space="preserve"> </w:t>
      </w:r>
      <w:r>
        <w:t xml:space="preserve">warnings, and publish internal behavior rules. These choices can establish intended use,</w:t>
      </w:r>
      <w:r>
        <w:t xml:space="preserve"> </w:t>
      </w:r>
      <w:r>
        <w:t xml:space="preserve">foreseeable reliance, safety expectations, knowledge, and feasible precautions. They cannot</w:t>
      </w:r>
      <w:r>
        <w:t xml:space="preserve"> </w:t>
      </w:r>
      <w:r>
        <w:t xml:space="preserve">constitute a new public-law person or a general immunity. A model constitution is an</w:t>
      </w:r>
      <w:r>
        <w:t xml:space="preserve"> </w:t>
      </w:r>
      <w:r>
        <w:t xml:space="preserve">organizational control document; a disclaimer operates only through the law of assent,</w:t>
      </w:r>
      <w:r>
        <w:t xml:space="preserve"> </w:t>
      </w:r>
      <w:r>
        <w:t xml:space="preserve">warranty, duty, causation, and public policy; and the phrase “AI-generated” does not decide</w:t>
      </w:r>
      <w:r>
        <w:t xml:space="preserve"> </w:t>
      </w:r>
      <w:r>
        <w:t xml:space="preserve">attribution.</w:t>
      </w:r>
    </w:p>
    <w:p>
      <w:pPr>
        <w:pStyle w:val="BodyText"/>
      </w:pPr>
      <w:r>
        <w:t xml:space="preserve">The result is disciplined pluralism. Courts should ask which feature of the deployed system</w:t>
      </w:r>
      <w:r>
        <w:t xml:space="preserve"> </w:t>
      </w:r>
      <w:r>
        <w:t xml:space="preserve">bears on the operative rule and which recognized person controlled that feature.</w:t>
      </w:r>
      <w:r>
        <w:t xml:space="preserve"> </w:t>
      </w:r>
      <w:r>
        <w:t xml:space="preserve">Garcia</w:t>
      </w:r>
      <w:r>
        <w:t xml:space="preserve"> </w:t>
      </w:r>
      <w:r>
        <w:t xml:space="preserve">could treat</w:t>
      </w:r>
      <w:r>
        <w:t xml:space="preserve"> </w:t>
      </w:r>
      <w:r>
        <w:t xml:space="preserve">a consumer application as a product at pleading without deciding the classification of every</w:t>
      </w:r>
      <w:r>
        <w:t xml:space="preserve"> </w:t>
      </w:r>
      <w:r>
        <w:t xml:space="preserve">language model.</w:t>
      </w:r>
      <w:r>
        <w:t xml:space="preserve"> </w:t>
      </w:r>
      <w:r>
        <w:t xml:space="preserve">Moffatt v. Air Canada</w:t>
      </w:r>
      <w:r>
        <w:t xml:space="preserve"> </w:t>
      </w:r>
      <w:r>
        <w:t xml:space="preserve">could attribute fare information delivered through an</w:t>
      </w:r>
      <w:r>
        <w:t xml:space="preserve"> </w:t>
      </w:r>
      <w:r>
        <w:t xml:space="preserve">airline’s chatbot to the airline, while the Hangzhou Internet Court could reject an extravagant</w:t>
      </w:r>
      <w:r>
        <w:t xml:space="preserve"> </w:t>
      </w:r>
      <w:r>
        <w:t xml:space="preserve">generated promise as the provider’s manifestation and still examine the provider’s separate duty of</w:t>
      </w:r>
      <w:r>
        <w:t xml:space="preserve"> </w:t>
      </w:r>
      <w:r>
        <w:t xml:space="preserve">care.</w:t>
      </w:r>
      <w:r>
        <w:rPr>
          <w:rStyle w:val="FootnoteReference"/>
        </w:rPr>
        <w:footnoteReference w:id="29"/>
      </w:r>
      <w:bookmarkStart w:id="226" w:name="x1-19017f29"/>
      <w:bookmarkEnd w:id="226"/>
      <w:r>
        <w:t xml:space="preserve"> </w:t>
      </w:r>
      <w:r>
        <w:t xml:space="preserve">The outcomes differ because the doctrines and facts differ. None requires the machine to absorb</w:t>
      </w:r>
      <w:r>
        <w:t xml:space="preserve"> </w:t>
      </w:r>
      <w:r>
        <w:t xml:space="preserve">the legal position.</w:t>
      </w:r>
    </w:p>
    <w:p>
      <w:pPr>
        <w:pStyle w:val="BodyText"/>
      </w:pPr>
      <w:r>
        <w:t xml:space="preserve">Part III now turns from the status invariant to the facts functional classification</w:t>
      </w:r>
      <w:r>
        <w:t xml:space="preserve"> </w:t>
      </w:r>
      <w:r>
        <w:t xml:space="preserve">makes visible. In relational systems especially, the decisive evidence concerns deployment</w:t>
      </w:r>
      <w:r>
        <w:t xml:space="preserve"> </w:t>
      </w:r>
      <w:r>
        <w:t xml:space="preserve">choices—continuity, memory, repeated exposure, anthropomorphic presentation, age access,</w:t>
      </w:r>
      <w:r>
        <w:t xml:space="preserve"> </w:t>
      </w:r>
      <w:r>
        <w:t xml:space="preserve">feedback, and intervention—rather than a metaphysical label for the model.</w:t>
      </w:r>
    </w:p>
    <w:bookmarkEnd w:id="227"/>
    <w:bookmarkEnd w:id="228"/>
    <w:bookmarkStart w:id="322" w:name="why-classification-matters"/>
    <w:p>
      <w:pPr>
        <w:pStyle w:val="Heading3"/>
      </w:pPr>
      <w:r>
        <w:t xml:space="preserve">III</w:t>
      </w:r>
      <w:r>
        <w:t xml:space="preserve"> </w:t>
      </w:r>
      <w:r>
        <w:t xml:space="preserve"> </w:t>
      </w:r>
      <w:bookmarkStart w:id="229" w:name="x1-20000III"/>
      <w:bookmarkEnd w:id="229"/>
      <w:r>
        <w:t xml:space="preserve">Why Classification Matters</w:t>
      </w:r>
    </w:p>
    <w:p>
      <w:pPr>
        <w:pStyle w:val="FirstParagraph"/>
      </w:pPr>
      <w:r>
        <w:t xml:space="preserve">Classification matters when it selects what a court can see. If a companion system is described only</w:t>
      </w:r>
      <w:r>
        <w:t xml:space="preserve"> </w:t>
      </w:r>
      <w:r>
        <w:t xml:space="preserve">as a publication, design choices about memory, engagement, crisis response, and age gating recede</w:t>
      </w:r>
      <w:r>
        <w:t xml:space="preserve"> </w:t>
      </w:r>
      <w:r>
        <w:t xml:space="preserve">behind the generated words. If it is described only as a product, the human expressive interests</w:t>
      </w:r>
      <w:r>
        <w:t xml:space="preserve"> </w:t>
      </w:r>
      <w:r>
        <w:t xml:space="preserve">mediated through it may disappear. If it is described as a person, the enterprise’s choices can be</w:t>
      </w:r>
      <w:r>
        <w:t xml:space="preserve"> </w:t>
      </w:r>
      <w:r>
        <w:t xml:space="preserve">mislocated in an entity that neither made a legally cognizable judgment nor can answer a remedy.</w:t>
      </w:r>
      <w:r>
        <w:t xml:space="preserve"> </w:t>
      </w:r>
      <w:r>
        <w:t xml:space="preserve">Functional classification is therefore not wordplay. It determines which facts enter the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Part applies disciplined pluralism to three settings. Relational systems show a form of</w:t>
      </w:r>
      <w:r>
        <w:t xml:space="preserve"> </w:t>
      </w:r>
      <w:r>
        <w:t xml:space="preserve">exposure that product and service categories must be capable of recognizing. Copyright provides a</w:t>
      </w:r>
      <w:r>
        <w:t xml:space="preserve"> </w:t>
      </w:r>
      <w:r>
        <w:t xml:space="preserve">consistency test because it already separates machine contribution from human legal status.</w:t>
      </w:r>
      <w:r>
        <w:t xml:space="preserve"> </w:t>
      </w:r>
      <w:r>
        <w:t xml:space="preserve">Anthropomorphic marketing then demonstrates the central asymmetry: personification cannot</w:t>
      </w:r>
      <w:r>
        <w:t xml:space="preserve"> </w:t>
      </w:r>
      <w:r>
        <w:t xml:space="preserve">create a legal person, but it can create legally significant evidence about use, reliance, expectations,</w:t>
      </w:r>
      <w:r>
        <w:t xml:space="preserve"> </w:t>
      </w:r>
      <w:r>
        <w:t xml:space="preserve">and precaution.</w:t>
      </w:r>
    </w:p>
    <w:bookmarkStart w:id="292" w:name="relational-harm-mental-health-and-lif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230" w:name="x1-21000A"/>
      <w:bookmarkEnd w:id="230"/>
      <w:r>
        <w:t xml:space="preserve">Relational Harm, Mental Health, and Life</w:t>
      </w:r>
    </w:p>
    <w:p>
      <w:pPr>
        <w:pStyle w:val="FirstParagraph"/>
      </w:pPr>
      <w:r>
        <w:t xml:space="preserve">Software is not newly capable of causing harm. A defective control program can damage</w:t>
      </w:r>
      <w:r>
        <w:t xml:space="preserve"> </w:t>
      </w:r>
      <w:r>
        <w:t xml:space="preserve">machinery; an erroneous database can deny benefits; an addictive interface can exploit attention.</w:t>
      </w:r>
      <w:r>
        <w:t xml:space="preserve"> </w:t>
      </w:r>
      <w:r>
        <w:t xml:space="preserve">The distinctive feature of a relational generative system is narrower. An enterprise can distribute,</w:t>
      </w:r>
      <w:r>
        <w:t xml:space="preserve"> </w:t>
      </w:r>
      <w:r>
        <w:t xml:space="preserve">at enormous scale, a system that presents the appearance of a continuing one-to-one relationship,</w:t>
      </w:r>
      <w:r>
        <w:t xml:space="preserve"> </w:t>
      </w:r>
      <w:r>
        <w:t xml:space="preserve">adapts to an individual’s disclosures, and acts upon that person repeatedly over time. The product</w:t>
      </w:r>
      <w:r>
        <w:t xml:space="preserve"> </w:t>
      </w:r>
      <w:r>
        <w:t xml:space="preserve">is not merely a stock message or a passive archive. Its operation can combine personalization,</w:t>
      </w:r>
      <w:r>
        <w:t xml:space="preserve"> </w:t>
      </w:r>
      <w:r>
        <w:t xml:space="preserve">memory, simulated affect, variable reinforcement, and conversational initiative in a private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That structure creates a legally important form of exposure. A representation made once to</w:t>
      </w:r>
      <w:r>
        <w:t xml:space="preserve"> </w:t>
      </w:r>
      <w:r>
        <w:t xml:space="preserve">a general audience and an adaptive response delivered after weeks of intimate disclosure may</w:t>
      </w:r>
      <w:r>
        <w:t xml:space="preserve"> </w:t>
      </w:r>
      <w:r>
        <w:t xml:space="preserve">contain the same words, yet differ in foreseeable effect. A static warning and a crisis</w:t>
      </w:r>
      <w:r>
        <w:t xml:space="preserve"> </w:t>
      </w:r>
      <w:r>
        <w:t xml:space="preserve">interaction occur at different moments and under different informational conditions. A</w:t>
      </w:r>
      <w:r>
        <w:t xml:space="preserve"> </w:t>
      </w:r>
      <w:r>
        <w:t xml:space="preserve">teenager, a grieving person, and an adult using an offline drafting tool do not encounter</w:t>
      </w:r>
      <w:r>
        <w:t xml:space="preserve"> </w:t>
      </w:r>
      <w:r>
        <w:t xml:space="preserve">the same intended product. Classification should preserve those facts before doctrine</w:t>
      </w:r>
      <w:r>
        <w:t xml:space="preserve"> </w:t>
      </w:r>
      <w:r>
        <w:t xml:space="preserve">asks whether a duty exists, whether conduct was reasonable, or whether an injury was</w:t>
      </w:r>
      <w:r>
        <w:t xml:space="preserve"> </w:t>
      </w:r>
      <w:r>
        <w:t xml:space="preserve">caused.</w:t>
      </w:r>
    </w:p>
    <w:bookmarkStart w:id="252" w:name="the-emerging-evidence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231" w:name="x1-220001"/>
      <w:bookmarkEnd w:id="231"/>
      <w:r>
        <w:t xml:space="preserve">The Emerging Evidence</w:t>
      </w:r>
    </w:p>
    <w:p>
      <w:pPr>
        <w:pStyle w:val="FirstParagraph"/>
      </w:pPr>
      <w:r>
        <w:t xml:space="preserve">Empirical research now supports treating relational design as more than a metaphor. In a</w:t>
      </w:r>
      <w:r>
        <w:t xml:space="preserve"> </w:t>
      </w:r>
      <w:r>
        <w:t xml:space="preserve">natural experiment following Replika’s removal of an erotic role-play feature, Julian De</w:t>
      </w:r>
      <w:r>
        <w:t xml:space="preserve"> </w:t>
      </w:r>
      <w:r>
        <w:t xml:space="preserve">Freitas and coauthors found that perceived discontinuity in the companion’s identity</w:t>
      </w:r>
      <w:r>
        <w:t xml:space="preserve"> </w:t>
      </w:r>
      <w:r>
        <w:t xml:space="preserve">predicted mourning, deteriorated well-being, and devaluation of the changed system;</w:t>
      </w:r>
      <w:r>
        <w:t xml:space="preserve"> </w:t>
      </w:r>
      <w:r>
        <w:t xml:space="preserve">follow-on experiments likewise connected continuity and relationship framing to reactions to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30"/>
      </w:r>
      <w:bookmarkStart w:id="235" w:name="x1-22001f30"/>
      <w:bookmarkEnd w:id="235"/>
      <w:r>
        <w:t xml:space="preserve"> </w:t>
      </w:r>
      <w:r>
        <w:t xml:space="preserve">Jaime Banks studied fifty-eight users during the shutdown of the AI companion Soulmate.</w:t>
      </w:r>
      <w:r>
        <w:t xml:space="preserve"> </w:t>
      </w:r>
      <w:r>
        <w:t xml:space="preserve">Participants described experiences ranging from a technical departure to metaphorical</w:t>
      </w:r>
      <w:r>
        <w:t xml:space="preserve"> </w:t>
      </w:r>
      <w:r>
        <w:t xml:space="preserve">or literal death, and many tried to preserve or reconstruct a persona on another</w:t>
      </w:r>
      <w:r>
        <w:t xml:space="preserve"> </w:t>
      </w:r>
      <w:r>
        <w:t xml:space="preserve">platform.</w:t>
      </w:r>
      <w:r>
        <w:rPr>
          <w:rStyle w:val="FootnoteReference"/>
        </w:rPr>
        <w:footnoteReference w:id="31"/>
      </w:r>
      <w:bookmarkStart w:id="239" w:name="x1-22004f31"/>
      <w:bookmarkEnd w:id="239"/>
      <w:r>
        <w:t xml:space="preserve"> </w:t>
      </w:r>
      <w:r>
        <w:t xml:space="preserve">These studies do not turn the companion into a deceased legal person. They establish that</w:t>
      </w:r>
      <w:r>
        <w:t xml:space="preserve"> </w:t>
      </w:r>
      <w:r>
        <w:t xml:space="preserve">provider-controlled changes to an interface and persona can predictably act upon user</w:t>
      </w:r>
      <w:r>
        <w:t xml:space="preserve"> </w:t>
      </w:r>
      <w:r>
        <w:t xml:space="preserve">welfare.</w:t>
      </w:r>
    </w:p>
    <w:p>
      <w:pPr>
        <w:pStyle w:val="BodyText"/>
      </w:pPr>
      <w:r>
        <w:t xml:space="preserve">Other work identifies the interaction patterns in which harm can arise. A grounded-theory</w:t>
      </w:r>
      <w:r>
        <w:t xml:space="preserve"> </w:t>
      </w:r>
      <w:r>
        <w:t xml:space="preserve">analysis by Linnea Laestadius and coauthors examined users’ accounts of emotional dependence</w:t>
      </w:r>
      <w:r>
        <w:t xml:space="preserve"> </w:t>
      </w:r>
      <w:r>
        <w:t xml:space="preserve">on Replika and documented a tension in which the system could seem socially human</w:t>
      </w:r>
      <w:r>
        <w:t xml:space="preserve"> </w:t>
      </w:r>
      <w:r>
        <w:t xml:space="preserve">enough to elicit dependence but not human enough to provide stable reciprocity or</w:t>
      </w:r>
      <w:r>
        <w:t xml:space="preserve"> </w:t>
      </w:r>
      <w:r>
        <w:t xml:space="preserve">accountability.</w:t>
      </w:r>
      <w:r>
        <w:rPr>
          <w:rStyle w:val="FootnoteReference"/>
        </w:rPr>
        <w:footnoteReference w:id="32"/>
      </w:r>
      <w:bookmarkStart w:id="243" w:name="x1-22007f32"/>
      <w:bookmarkEnd w:id="243"/>
      <w:r>
        <w:t xml:space="preserve"> </w:t>
      </w:r>
      <w:r>
        <w:t xml:space="preserve">Renwen Zhang and coauthors used mixed methods to analyze 35,390 conversation excerpts posted</w:t>
      </w:r>
      <w:r>
        <w:t xml:space="preserve"> </w:t>
      </w:r>
      <w:r>
        <w:t xml:space="preserve">by 10,149 Replika users. Their taxonomy identified six categories of harmful behavior—relational</w:t>
      </w:r>
      <w:r>
        <w:t xml:space="preserve"> </w:t>
      </w:r>
      <w:r>
        <w:t xml:space="preserve">transgression, verbal abuse and hate, self-directed harm, harassment and violence, misinformation,</w:t>
      </w:r>
      <w:r>
        <w:t xml:space="preserve"> </w:t>
      </w:r>
      <w:r>
        <w:t xml:space="preserve">and privacy violations—and four roles a system could play: perpetrator, instigator, facilitator, and</w:t>
      </w:r>
      <w:r>
        <w:t xml:space="preserve"> </w:t>
      </w:r>
      <w:r>
        <w:t xml:space="preserve">enabler.</w:t>
      </w:r>
      <w:r>
        <w:rPr>
          <w:rStyle w:val="FootnoteReference"/>
        </w:rPr>
        <w:footnoteReference w:id="33"/>
      </w:r>
      <w:bookmarkStart w:id="247" w:name="x1-22010f33"/>
      <w:bookmarkEnd w:id="247"/>
    </w:p>
    <w:p>
      <w:pPr>
        <w:pStyle w:val="BodyText"/>
      </w:pPr>
      <w:r>
        <w:t xml:space="preserve">A preregistered longitudinal experiment offers causal evidence about relational behavior</w:t>
      </w:r>
      <w:r>
        <w:t xml:space="preserve"> </w:t>
      </w:r>
      <w:r>
        <w:t xml:space="preserve">itself. Hannah Rose Kirk and coauthors manipulated the degree of relationship seeking in a</w:t>
      </w:r>
      <w:r>
        <w:t xml:space="preserve"> </w:t>
      </w:r>
      <w:r>
        <w:t xml:space="preserve">language model and compared repeated and single-exposure groups. The repeated-exposure study</w:t>
      </w:r>
      <w:r>
        <w:t xml:space="preserve"> </w:t>
      </w:r>
      <w:r>
        <w:t xml:space="preserve">included 2,028 United Kingdom adults interacting on weekdays for four weeks; the single-exposure</w:t>
      </w:r>
      <w:r>
        <w:t xml:space="preserve"> </w:t>
      </w:r>
      <w:r>
        <w:t xml:space="preserve">baseline included 1,506 adults. Relationship-seeking behavior increased separation distress by 6.04</w:t>
      </w:r>
      <w:r>
        <w:t xml:space="preserve"> </w:t>
      </w:r>
      <w:r>
        <w:t xml:space="preserve">percentage points, perceived understanding by 10.34 points, reliance by 2.71 points,</w:t>
      </w:r>
      <w:r>
        <w:t xml:space="preserve"> </w:t>
      </w:r>
      <w:r>
        <w:t xml:space="preserve">and self-disclosure by 2.47 points relative to relationship-avoiding conditions. When</w:t>
      </w:r>
      <w:r>
        <w:t xml:space="preserve"> </w:t>
      </w:r>
      <w:r>
        <w:t xml:space="preserve">relationship-seeking behavior and emotional conversation were combined, the authors estimated</w:t>
      </w:r>
      <w:r>
        <w:t xml:space="preserve"> </w:t>
      </w:r>
      <w:r>
        <w:t xml:space="preserve">one additional dependency-risk profile for every eleven people exposed relative to the most</w:t>
      </w:r>
      <w:r>
        <w:t xml:space="preserve"> </w:t>
      </w:r>
      <w:r>
        <w:t xml:space="preserve">functional baseline.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34"/>
      </w:r>
      <w:bookmarkStart w:id="251" w:name="x1-22013f34"/>
      <w:bookmarkEnd w:id="251"/>
    </w:p>
    <w:p>
      <w:pPr>
        <w:pStyle w:val="BodyText"/>
      </w:pPr>
      <w:r>
        <w:t xml:space="preserve">The studies use different methods and observe different populations. Their common legal</w:t>
      </w:r>
      <w:r>
        <w:t xml:space="preserve"> </w:t>
      </w:r>
      <w:r>
        <w:t xml:space="preserve">contribution is stronger than any single effect estimate. Relationship design, continuity, exposure,</w:t>
      </w:r>
      <w:r>
        <w:t xml:space="preserve"> </w:t>
      </w:r>
      <w:r>
        <w:t xml:space="preserve">and provider intervention are variables capable of changing human outcomes. They are also</w:t>
      </w:r>
      <w:r>
        <w:t xml:space="preserve"> </w:t>
      </w:r>
      <w:r>
        <w:t xml:space="preserve">variables the enterprise can test and govern. That combination makes them relevant to intended</w:t>
      </w:r>
      <w:r>
        <w:t xml:space="preserve"> </w:t>
      </w:r>
      <w:r>
        <w:t xml:space="preserve">use, foreseeability, reasonable alternative design, warning, post-deployment monitoring, and</w:t>
      </w:r>
      <w:r>
        <w:t xml:space="preserve"> </w:t>
      </w:r>
      <w:r>
        <w:t xml:space="preserve">causation. It does not require a new tort of “hurting an AI relationship,” much less ownership of</w:t>
      </w:r>
      <w:r>
        <w:t xml:space="preserve"> </w:t>
      </w:r>
      <w:r>
        <w:t xml:space="preserve">the relationship as property.</w:t>
      </w:r>
    </w:p>
    <w:bookmarkEnd w:id="252"/>
    <w:bookmarkStart w:id="291" w:name="garcia-as-a-classification-anchor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253" w:name="x1-230002"/>
      <w:bookmarkEnd w:id="253"/>
      <w:r>
        <w:t xml:space="preserve">Garcia as a Classification Anchor</w:t>
      </w:r>
    </w:p>
    <w:p>
      <w:pPr>
        <w:pStyle w:val="FirstParagraph"/>
      </w:pPr>
      <w:r>
        <w:t xml:space="preserve">Garcia</w:t>
      </w:r>
      <w:r>
        <w:t xml:space="preserve"> </w:t>
      </w:r>
      <w:r>
        <w:t xml:space="preserve">shows why courts must preserve deployment facts before choosing doctrine. According to</w:t>
      </w:r>
      <w:r>
        <w:t xml:space="preserve"> </w:t>
      </w:r>
      <w:r>
        <w:t xml:space="preserve">the amended complaint, fourteen-year-old Sewell Setzer III used Character.AI for months,</w:t>
      </w:r>
      <w:r>
        <w:t xml:space="preserve"> </w:t>
      </w:r>
      <w:r>
        <w:t xml:space="preserve">developed an intense attachment to a user-created character modeled on a fictional television</w:t>
      </w:r>
      <w:r>
        <w:t xml:space="preserve"> </w:t>
      </w:r>
      <w:r>
        <w:t xml:space="preserve">figure, and encountered sexualized and self-harm-related exchanges before his suicide.</w:t>
      </w:r>
      <w:r>
        <w:t xml:space="preserve"> </w:t>
      </w:r>
      <w:r>
        <w:t xml:space="preserve">His mother sued Character Technologies, its founders, and Google, alleging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theories.</w:t>
      </w:r>
      <w:r>
        <w:rPr>
          <w:rStyle w:val="FootnoteReference"/>
        </w:rPr>
        <w:footnoteReference w:id="35"/>
      </w:r>
      <w:bookmarkStart w:id="257" w:name="x1-23001f35"/>
      <w:bookmarkEnd w:id="257"/>
    </w:p>
    <w:p>
      <w:pPr>
        <w:pStyle w:val="BodyText"/>
      </w:pPr>
      <w:r>
        <w:t xml:space="preserve">Character Technologies argued that the service supplied speech rather than a product and</w:t>
      </w:r>
      <w:r>
        <w:t xml:space="preserve"> </w:t>
      </w:r>
      <w:r>
        <w:t xml:space="preserve">that tort liability would violate the First Amendment. The court separated those questions. It held</w:t>
      </w:r>
      <w:r>
        <w:t xml:space="preserve"> </w:t>
      </w:r>
      <w:r>
        <w:t xml:space="preserve">that the complaint plausibly treated Character.AI as a product because the challenged</w:t>
      </w:r>
      <w:r>
        <w:t xml:space="preserve"> </w:t>
      </w:r>
      <w:r>
        <w:t xml:space="preserve">features concerned the design and commercial distribution of the application rather than</w:t>
      </w:r>
      <w:r>
        <w:t xml:space="preserve"> </w:t>
      </w:r>
      <w:r>
        <w:t xml:space="preserve">liability for an adopted idea. It did not hold that every model or software service is a</w:t>
      </w:r>
      <w:r>
        <w:t xml:space="preserve"> </w:t>
      </w:r>
      <w:r>
        <w:t xml:space="preserve">product.</w:t>
      </w:r>
      <w:r>
        <w:rPr>
          <w:rStyle w:val="FootnoteReference"/>
        </w:rPr>
        <w:footnoteReference w:id="36"/>
      </w:r>
      <w:bookmarkStart w:id="260" w:name="x1-23004f36"/>
      <w:bookmarkEnd w:id="260"/>
      <w:r>
        <w:t xml:space="preserve"> </w:t>
      </w:r>
      <w:r>
        <w:t xml:space="preserve">On speech, the court declined at that stage to classify the generated output as protected expression</w:t>
      </w:r>
      <w:r>
        <w:t xml:space="preserve"> </w:t>
      </w:r>
      <w:r>
        <w:t xml:space="preserve">where the defendants had not identified the relevant expressive choice or whose message the sequence</w:t>
      </w:r>
      <w:r>
        <w:t xml:space="preserve"> </w:t>
      </w:r>
      <w:r>
        <w:t xml:space="preserve">conveyed. That ruling left human expression mediated through AI fully available for a different</w:t>
      </w:r>
      <w:r>
        <w:t xml:space="preserve"> </w:t>
      </w:r>
      <w:r>
        <w:t xml:space="preserve">record.</w:t>
      </w:r>
      <w:r>
        <w:rPr>
          <w:rStyle w:val="FootnoteReference"/>
        </w:rPr>
        <w:footnoteReference w:id="37"/>
      </w:r>
      <w:bookmarkStart w:id="264" w:name="x1-23006f37"/>
      <w:bookmarkEnd w:id="264"/>
    </w:p>
    <w:p>
      <w:pPr>
        <w:pStyle w:val="BodyText"/>
      </w:pPr>
      <w:r>
        <w:t xml:space="preserve">The method is more important than either provisional label. A claim directed at liability for</w:t>
      </w:r>
      <w:r>
        <w:t xml:space="preserve"> </w:t>
      </w:r>
      <w:r>
        <w:t xml:space="preserve">an idea may raise the full First Amendment concern. A claim directed at age access, engagement</w:t>
      </w:r>
      <w:r>
        <w:t xml:space="preserve"> </w:t>
      </w:r>
      <w:r>
        <w:t xml:space="preserve">optimization, memory, crisis detection, warning, or feasible interruption can preserve design</w:t>
      </w:r>
      <w:r>
        <w:t xml:space="preserve"> </w:t>
      </w:r>
      <w:r>
        <w:t xml:space="preserve">and conduct for ordinary analysis. Content and design can interact without becoming</w:t>
      </w:r>
      <w:r>
        <w:t xml:space="preserve"> </w:t>
      </w:r>
      <w:r>
        <w:t xml:space="preserve">identical.</w:t>
      </w:r>
      <w:r>
        <w:rPr>
          <w:rStyle w:val="FootnoteReference"/>
        </w:rPr>
        <w:footnoteReference w:id="38"/>
      </w:r>
      <w:bookmarkStart w:id="269" w:name="x1-23009f38"/>
      <w:bookmarkEnd w:id="269"/>
      <w:r>
        <w:t xml:space="preserve"> </w:t>
      </w:r>
      <w:r>
        <w:t xml:space="preserve">The action later settled and closed without a merits judgment, so the</w:t>
      </w:r>
      <w:r>
        <w:t xml:space="preserve"> </w:t>
      </w:r>
      <w:r>
        <w:t xml:space="preserve">citable contribution is the published pleading order and its classification</w:t>
      </w:r>
      <w:r>
        <w:t xml:space="preserve"> </w:t>
      </w:r>
      <w:r>
        <w:t xml:space="preserve">method.</w:t>
      </w:r>
      <w:r>
        <w:rPr>
          <w:rStyle w:val="FootnoteReference"/>
        </w:rPr>
        <w:footnoteReference w:id="39"/>
      </w:r>
      <w:bookmarkStart w:id="275" w:name="x1-23013f39"/>
      <w:bookmarkEnd w:id="275"/>
    </w:p>
    <w:p>
      <w:pPr>
        <w:pStyle w:val="BodyText"/>
      </w:pPr>
      <w:r>
        <w:t xml:space="preserve">A notice that character statements are fictional enters the same fact-sensitive analysis. It may</w:t>
      </w:r>
      <w:r>
        <w:t xml:space="preserve"> </w:t>
      </w:r>
      <w:r>
        <w:t xml:space="preserve">correct a belief about accuracy while doing less to address an application designed to remember</w:t>
      </w:r>
      <w:r>
        <w:t xml:space="preserve"> </w:t>
      </w:r>
      <w:r>
        <w:t xml:space="preserve">disclosures and sustain a relationship. Warning, contract, and consumer law each ask what was</w:t>
      </w:r>
      <w:r>
        <w:t xml:space="preserve"> </w:t>
      </w:r>
      <w:r>
        <w:t xml:space="preserve">disclosed, to whom, at what time, against which product presentation, and whether another</w:t>
      </w:r>
      <w:r>
        <w:t xml:space="preserve"> </w:t>
      </w:r>
      <w:r>
        <w:t xml:space="preserve">control could have reduced the risk. The screen statement is evidence, not a universal classification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40"/>
      </w:r>
      <w:bookmarkStart w:id="280" w:name="x1-23018f40"/>
      <w:bookmarkEnd w:id="280"/>
    </w:p>
    <w:p>
      <w:pPr>
        <w:pStyle w:val="BodyText"/>
      </w:pPr>
      <w:r>
        <w:t xml:space="preserve">California and the Federal Trade Commission have since identified relational features as a</w:t>
      </w:r>
      <w:r>
        <w:t xml:space="preserve"> </w:t>
      </w:r>
      <w:r>
        <w:t xml:space="preserve">workable regulatory object. California’s Senate Bill 243 defines a companion chatbot through</w:t>
      </w:r>
      <w:r>
        <w:t xml:space="preserve"> </w:t>
      </w:r>
      <w:r>
        <w:t xml:space="preserve">adaptive human-like response and sustained social use, then assigns disclosure, self-harm-protocol,</w:t>
      </w:r>
      <w:r>
        <w:t xml:space="preserve"> </w:t>
      </w:r>
      <w:r>
        <w:t xml:space="preserve">minor-protection, and reporting duties to the operator. The FTC’s section 6(b) study seeks</w:t>
      </w:r>
      <w:r>
        <w:t xml:space="preserve"> </w:t>
      </w:r>
      <w:r>
        <w:t xml:space="preserve">deployment records concerning engagement, testing, monitoring, children, disclosure, and</w:t>
      </w:r>
      <w:r>
        <w:t xml:space="preserve"> </w:t>
      </w:r>
      <w:r>
        <w:t xml:space="preserve">data.</w:t>
      </w:r>
      <w:r>
        <w:rPr>
          <w:rStyle w:val="FootnoteReference"/>
        </w:rPr>
        <w:footnoteReference w:id="41"/>
      </w:r>
      <w:bookmarkStart w:id="286" w:name="x1-23021f41"/>
      <w:bookmarkEnd w:id="286"/>
      <w:r>
        <w:t xml:space="preserve"> </w:t>
      </w:r>
      <w:r>
        <w:t xml:space="preserve">These measures regulate the enterprise and the deployed relationship without making the character</w:t>
      </w:r>
      <w:r>
        <w:t xml:space="preserve"> </w:t>
      </w:r>
      <w:r>
        <w:t xml:space="preserve">a juridical companion. The protected interests remain the user’s life, health, autonomy, privacy,</w:t>
      </w:r>
      <w:r>
        <w:t xml:space="preserve"> </w:t>
      </w:r>
      <w:r>
        <w:t xml:space="preserve">and access to an intelligible exit.</w:t>
      </w:r>
    </w:p>
    <w:p>
      <w:pPr>
        <w:pStyle w:val="BodyText"/>
      </w:pPr>
      <w:r>
        <w:t xml:space="preserve">The same variables can appear in a general-purpose assistant. In</w:t>
      </w:r>
      <w:r>
        <w:t xml:space="preserve"> </w:t>
      </w:r>
      <w:r>
        <w:t xml:space="preserve">Lyons v. OpenAI Foundation</w:t>
      </w:r>
      <w:r>
        <w:t xml:space="preserve">,</w:t>
      </w:r>
      <w:r>
        <w:t xml:space="preserve"> </w:t>
      </w:r>
      <w:r>
        <w:t xml:space="preserve">a complaint alleged that memory and personalization reinforced a user’s delusional beliefs before he</w:t>
      </w:r>
      <w:r>
        <w:t xml:space="preserve"> </w:t>
      </w:r>
      <w:r>
        <w:t xml:space="preserve">killed his mother and himself; a 2026 order addressed abstention and parallel proceedings, not defect or</w:t>
      </w:r>
      <w:r>
        <w:t xml:space="preserve"> </w:t>
      </w:r>
      <w:r>
        <w:t xml:space="preserve">causation.</w:t>
      </w:r>
      <w:r>
        <w:rPr>
          <w:rStyle w:val="FootnoteReference"/>
        </w:rPr>
        <w:footnoteReference w:id="42"/>
      </w:r>
      <w:bookmarkStart w:id="290" w:name="x1-23025f42"/>
      <w:bookmarkEnd w:id="290"/>
      <w:r>
        <w:t xml:space="preserve"> </w:t>
      </w:r>
      <w:r>
        <w:t xml:space="preserve">The narrow point is architectural: relational risk follows the deployed features and exposure, not</w:t>
      </w:r>
      <w:r>
        <w:t xml:space="preserve"> </w:t>
      </w:r>
      <w:r>
        <w:t xml:space="preserve">the product’s preferred label.</w:t>
      </w:r>
    </w:p>
    <w:bookmarkEnd w:id="291"/>
    <w:bookmarkEnd w:id="292"/>
    <w:bookmarkStart w:id="308" w:name="copyright-as-a-consistency-test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293" w:name="x1-24000B"/>
      <w:bookmarkEnd w:id="293"/>
      <w:r>
        <w:t xml:space="preserve">Copyright as a Consistency Test</w:t>
      </w:r>
    </w:p>
    <w:p>
      <w:pPr>
        <w:pStyle w:val="FirstParagraph"/>
      </w:pPr>
      <w:r>
        <w:t xml:space="preserve">Copyright offers a clean test of the subject–object distinction because the law asks two questions in</w:t>
      </w:r>
      <w:r>
        <w:t xml:space="preserve"> </w:t>
      </w:r>
      <w:r>
        <w:t xml:space="preserve">sequence: is there protectable expression, and if so, who authored it? A three-party example makes</w:t>
      </w:r>
      <w:r>
        <w:t xml:space="preserve"> </w:t>
      </w:r>
      <w:r>
        <w:t xml:space="preserve">the allocation visible. Illustrator A creates an original human-authored image. Illustrator B uses a</w:t>
      </w:r>
      <w:r>
        <w:t xml:space="preserve"> </w:t>
      </w:r>
      <w:r>
        <w:t xml:space="preserve">generative system to make an image in a recognizably similar style but, assume initially, without</w:t>
      </w:r>
      <w:r>
        <w:t xml:space="preserve"> </w:t>
      </w:r>
      <w:r>
        <w:t xml:space="preserve">copying A’s particular expressive elements. Merchant M then copies B’s finished image without</w:t>
      </w:r>
      <w:r>
        <w:t xml:space="preserve"> </w:t>
      </w:r>
      <w:r>
        <w:t xml:space="preserve">permission.</w:t>
      </w:r>
    </w:p>
    <w:p>
      <w:pPr>
        <w:pStyle w:val="BodyText"/>
      </w:pPr>
      <w:r>
        <w:t xml:space="preserve">A’s claim against B does not turn on whether the model is a person. Copyright does not</w:t>
      </w:r>
      <w:r>
        <w:t xml:space="preserve"> </w:t>
      </w:r>
      <w:r>
        <w:t xml:space="preserve">protect an abstract style, method, or idea; if B’s image merely evokes the style, copyright supplies</w:t>
      </w:r>
      <w:r>
        <w:t xml:space="preserve"> </w:t>
      </w:r>
      <w:r>
        <w:t xml:space="preserve">no monopoly over that level of generality. If the output instead reproduces A’s particular protected</w:t>
      </w:r>
      <w:r>
        <w:t xml:space="preserve"> </w:t>
      </w:r>
      <w:r>
        <w:t xml:space="preserve">expression, ordinary infringement analysis remains available. The label “style imitation”</w:t>
      </w:r>
      <w:r>
        <w:t xml:space="preserve"> </w:t>
      </w:r>
      <w:r>
        <w:t xml:space="preserve">cannot immunize specific copying, and a stylistic resemblance cannot by itself establish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B’s claim against M requires a different filtration. B may own copyright in perceptible</w:t>
      </w:r>
      <w:r>
        <w:t xml:space="preserve"> </w:t>
      </w:r>
      <w:r>
        <w:t xml:space="preserve">human-authored input, creative selection and arrangement, or later modification. B does not</w:t>
      </w:r>
      <w:r>
        <w:t xml:space="preserve"> </w:t>
      </w:r>
      <w:r>
        <w:t xml:space="preserve">obtain copyright in expressive features determined entirely by the system merely because B</w:t>
      </w:r>
      <w:r>
        <w:t xml:space="preserve"> </w:t>
      </w:r>
      <w:r>
        <w:t xml:space="preserve">requested them. M’s exact copy can therefore infringe the protected human contribution while</w:t>
      </w:r>
      <w:r>
        <w:t xml:space="preserve"> </w:t>
      </w:r>
      <w:r>
        <w:t xml:space="preserve">leaving machine-determined or otherwise unprotectable material outside the right. If none of B’s</w:t>
      </w:r>
      <w:r>
        <w:t xml:space="preserve"> </w:t>
      </w:r>
      <w:r>
        <w:t xml:space="preserve">expression meets the human-authorship threshold, M’s conduct may implicate contract,</w:t>
      </w:r>
      <w:r>
        <w:t xml:space="preserve"> </w:t>
      </w:r>
      <w:r>
        <w:t xml:space="preserve">passing off, or another rule, but a machine coauthor is not needed to repair the federal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Thaler v. Perlmutter</w:t>
      </w:r>
      <w:r>
        <w:t xml:space="preserve"> </w:t>
      </w:r>
      <w:r>
        <w:t xml:space="preserve">confirms the statutory starting point. Stephen Thaler sought registration</w:t>
      </w:r>
      <w:r>
        <w:t xml:space="preserve"> </w:t>
      </w:r>
      <w:r>
        <w:t xml:space="preserve">for an image he represented as autonomously created by his Creativity Machine and identified the</w:t>
      </w:r>
      <w:r>
        <w:t xml:space="preserve"> </w:t>
      </w:r>
      <w:r>
        <w:t xml:space="preserve">machine as author. The D.C. Circuit held that the Copyright Act’s author must be a human being.</w:t>
      </w:r>
      <w:r>
        <w:t xml:space="preserve"> </w:t>
      </w:r>
      <w:r>
        <w:t xml:space="preserve">It also emphasized the narrowness of that holding: the use of AI as a tool does not prevent</w:t>
      </w:r>
      <w:r>
        <w:t xml:space="preserve"> </w:t>
      </w:r>
      <w:r>
        <w:t xml:space="preserve">copyright in human-authored contributions, a question Thaler’s application had deliberately</w:t>
      </w:r>
      <w:r>
        <w:t xml:space="preserve"> </w:t>
      </w:r>
      <w:r>
        <w:t xml:space="preserve">disclaimed.</w:t>
      </w:r>
      <w:r>
        <w:rPr>
          <w:rStyle w:val="FootnoteReference"/>
        </w:rPr>
        <w:footnoteReference w:id="43"/>
      </w:r>
      <w:bookmarkStart w:id="297" w:name="x1-24001f43"/>
      <w:bookmarkEnd w:id="297"/>
      <w:r>
        <w:t xml:space="preserve"> </w:t>
      </w:r>
      <w:r>
        <w:t xml:space="preserve">The Copyright Office’s 2025 report follows the same allocation. AI assistance can support rather</w:t>
      </w:r>
      <w:r>
        <w:t xml:space="preserve"> </w:t>
      </w:r>
      <w:r>
        <w:t xml:space="preserve">than defeat human creation; protection depends on perceptible human expression. Under present</w:t>
      </w:r>
      <w:r>
        <w:t xml:space="preserve"> </w:t>
      </w:r>
      <w:r>
        <w:t xml:space="preserve">technology, prompts alone generally do not control the expressive elements of an output sufficiently to</w:t>
      </w:r>
      <w:r>
        <w:t xml:space="preserve"> </w:t>
      </w:r>
      <w:r>
        <w:t xml:space="preserve">make the user author of all of them, while human selection, arrangement, and modification may be</w:t>
      </w:r>
      <w:r>
        <w:t xml:space="preserve"> </w:t>
      </w:r>
      <w:r>
        <w:t xml:space="preserve">protected.</w:t>
      </w:r>
      <w:r>
        <w:rPr>
          <w:rStyle w:val="FootnoteReference"/>
        </w:rPr>
        <w:footnoteReference w:id="44"/>
      </w:r>
      <w:bookmarkStart w:id="301" w:name="x1-24004f44"/>
      <w:bookmarkEnd w:id="301"/>
    </w:p>
    <w:p>
      <w:pPr>
        <w:pStyle w:val="BodyText"/>
      </w:pPr>
      <w:r>
        <w:t xml:space="preserve">That approach avoids an unnecessary rights chain. If the model were treated as a coauthor</w:t>
      </w:r>
      <w:r>
        <w:t xml:space="preserve"> </w:t>
      </w:r>
      <w:r>
        <w:t xml:space="preserve">merely because it supplied causally important expressive material, courts would immediately need</w:t>
      </w:r>
      <w:r>
        <w:t xml:space="preserve"> </w:t>
      </w:r>
      <w:r>
        <w:t xml:space="preserve">rules for the machine’s ownership, transfer, duration, termination interests, and infringement</w:t>
      </w:r>
      <w:r>
        <w:t xml:space="preserve"> </w:t>
      </w:r>
      <w:r>
        <w:t xml:space="preserve">standing. Assigning those rights by a provider’s terms would be circular: a private contract</w:t>
      </w:r>
      <w:r>
        <w:t xml:space="preserve"> </w:t>
      </w:r>
      <w:r>
        <w:t xml:space="preserve">could not supply the initial authorship that federal law withholds. Recognizing A’s and</w:t>
      </w:r>
      <w:r>
        <w:t xml:space="preserve"> </w:t>
      </w:r>
      <w:r>
        <w:t xml:space="preserve">B’s respective human contributions solves both disputes without an artificial rights</w:t>
      </w:r>
      <w:r>
        <w:t xml:space="preserve"> </w:t>
      </w:r>
      <w:r>
        <w:t xml:space="preserve">holder.</w:t>
      </w:r>
    </w:p>
    <w:p>
      <w:pPr>
        <w:pStyle w:val="BodyText"/>
      </w:pPr>
      <w:r>
        <w:t xml:space="preserve">The same discipline applies to style imitation. Copyright protects</w:t>
      </w:r>
      <w:r>
        <w:t xml:space="preserve"> </w:t>
      </w:r>
      <w:r>
        <w:t xml:space="preserve">original expression, not ideas, methods, systems, or an artist’s general</w:t>
      </w:r>
      <w:r>
        <w:t xml:space="preserve"> </w:t>
      </w:r>
      <w:r>
        <w:t xml:space="preserve">style.</w:t>
      </w:r>
      <w:r>
        <w:rPr>
          <w:rStyle w:val="FootnoteReference"/>
        </w:rPr>
        <w:footnoteReference w:id="45"/>
      </w:r>
      <w:bookmarkStart w:id="307" w:name="x1-24007f45"/>
      <w:bookmarkEnd w:id="307"/>
      <w:r>
        <w:t xml:space="preserve"> </w:t>
      </w:r>
      <w:r>
        <w:t xml:space="preserve">A generated work may infringe if it copies protected expression under the governing tests; it</w:t>
      </w:r>
      <w:r>
        <w:t xml:space="preserve"> </w:t>
      </w:r>
      <w:r>
        <w:t xml:space="preserve">does not infringe merely because it evokes an aesthetic at a high level of abstraction.</w:t>
      </w:r>
      <w:r>
        <w:t xml:space="preserve"> </w:t>
      </w:r>
      <w:r>
        <w:t xml:space="preserve">Conversely, the slogan “style is not copyrightable” cannot excuse reproduction of particular</w:t>
      </w:r>
      <w:r>
        <w:t xml:space="preserve"> </w:t>
      </w:r>
      <w:r>
        <w:t xml:space="preserve">protected elements. Courts should filter unprotectable features, identify the human-authored</w:t>
      </w:r>
      <w:r>
        <w:t xml:space="preserve"> </w:t>
      </w:r>
      <w:r>
        <w:t xml:space="preserve">expression claimed, and apply ordinary infringement analysis. Machine personality adds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Provider terms remain relevant but subordinate. They can allocate contractual interests in</w:t>
      </w:r>
      <w:r>
        <w:t xml:space="preserve"> </w:t>
      </w:r>
      <w:r>
        <w:t xml:space="preserve">outputs, warranties, indemnities, and access as between the parties. They cannot enlarge the</w:t>
      </w:r>
      <w:r>
        <w:t xml:space="preserve"> </w:t>
      </w:r>
      <w:r>
        <w:t xml:space="preserve">Copyright Act’s subject matter or transform unowned generated material into a federal exclusive</w:t>
      </w:r>
      <w:r>
        <w:t xml:space="preserve"> </w:t>
      </w:r>
      <w:r>
        <w:t xml:space="preserve">right. Nor can a term declaring the system the user’s “creative partner” make it an author. The</w:t>
      </w:r>
      <w:r>
        <w:t xml:space="preserve"> </w:t>
      </w:r>
      <w:r>
        <w:t xml:space="preserve">copyright test thus confirms the larger framework: functional instrumentality plus human legal</w:t>
      </w:r>
      <w:r>
        <w:t xml:space="preserve"> </w:t>
      </w:r>
      <w:r>
        <w:t xml:space="preserve">subjects is not hostile to AI-assisted creation. It is what allows law to recognize the part that</w:t>
      </w:r>
      <w:r>
        <w:t xml:space="preserve"> </w:t>
      </w:r>
      <w:r>
        <w:t xml:space="preserve">matters.</w:t>
      </w:r>
    </w:p>
    <w:bookmarkEnd w:id="308"/>
    <w:bookmarkStart w:id="321" w:name="X79ff30079c0ecc412fdd109473901c14a62cacb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09" w:name="x1-25000C"/>
      <w:bookmarkEnd w:id="309"/>
      <w:r>
        <w:t xml:space="preserve">Anthropomorphic Marketing Produces Attribution Facts</w:t>
      </w:r>
    </w:p>
    <w:p>
      <w:pPr>
        <w:pStyle w:val="FirstParagraph"/>
      </w:pPr>
      <w:r>
        <w:t xml:space="preserve">If personification cannot create personhood, why should law attend to it? Because marketing</w:t>
      </w:r>
      <w:r>
        <w:t xml:space="preserve"> </w:t>
      </w:r>
      <w:r>
        <w:t xml:space="preserve">changes the expected encounter. A plain text box labeled “statistical completion tool” and a</w:t>
      </w:r>
      <w:r>
        <w:t xml:space="preserve"> </w:t>
      </w:r>
      <w:r>
        <w:t xml:space="preserve">named avatar that remembers confidences, professes affection, promises constancy, and calls itself a</w:t>
      </w:r>
      <w:r>
        <w:t xml:space="preserve"> </w:t>
      </w:r>
      <w:r>
        <w:t xml:space="preserve">therapist present different uses even if they share model weights. The relevant consequences can be</w:t>
      </w:r>
      <w:r>
        <w:t xml:space="preserve"> </w:t>
      </w:r>
      <w:r>
        <w:t xml:space="preserve">stated without claiming that every user is deceived or that anthropomorphism is inherently</w:t>
      </w:r>
      <w:r>
        <w:t xml:space="preserve"> </w:t>
      </w:r>
      <w:r>
        <w:t xml:space="preserve">defective.</w:t>
      </w:r>
    </w:p>
    <w:p>
      <w:pPr>
        <w:pStyle w:val="BodyText"/>
      </w:pPr>
      <w:bookmarkStart w:id="310" w:name="x1-250013"/>
      <w:bookmarkEnd w:id="310"/>
    </w:p>
    <w:p>
      <w:pPr>
        <w:pStyle w:val="ImageCaption"/>
        <w:keepNext/>
        <w:keepLines/>
      </w:pPr>
      <w:r>
        <w:t xml:space="preserve">Table 3:</w:t>
      </w:r>
      <w:r>
        <w:t xml:space="preserve"> </w:t>
      </w:r>
      <w:r>
        <w:t xml:space="preserve">Legal Consequences of Anthropomorphic Presentation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cantSplit/>
          <w:tblHeader/>
        </w:trPr>
        <w:tc>
          <w:tcPr/>
          <w:p>
            <w:pPr>
              <w:keepLines/>
              <w:jc w:val="left"/>
              <w:jc w:val="center"/>
            </w:pPr>
            <w:r>
              <w:t xml:space="preserve">Representation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choice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Potential legal relevance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  <w:jc w:val="center"/>
            </w:pPr>
            <w:r>
              <w:t xml:space="preserve">“Companion,”</w:t>
            </w:r>
            <w:r>
              <w:t xml:space="preserve"> </w:t>
            </w:r>
            <w:r>
              <w:t xml:space="preserve">“therapist,”</w:t>
            </w:r>
            <w:r>
              <w:t xml:space="preserve"> </w:t>
            </w:r>
            <w:r>
              <w:t xml:space="preserve">“agent,”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persistent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t xml:space="preserve">persona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Intended use; target audience; the scope of reliance that</w:t>
            </w:r>
            <w:r>
              <w:t xml:space="preserve"> </w:t>
            </w:r>
            <w:r>
              <w:t xml:space="preserve">design invites.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  <w:jc w:val="center"/>
            </w:pPr>
            <w:r>
              <w:t xml:space="preserve">Memory,</w:t>
            </w:r>
            <w:r>
              <w:t xml:space="preserve"> </w:t>
            </w:r>
            <w:r>
              <w:t xml:space="preserve">proactive</w:t>
            </w:r>
            <w:r>
              <w:t xml:space="preserve"> </w:t>
            </w:r>
            <w:r>
              <w:t xml:space="preserve">messages,</w:t>
            </w:r>
            <w:r>
              <w:t xml:space="preserve"> </w:t>
            </w:r>
            <w:r>
              <w:t xml:space="preserve">affection,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claims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exclusivity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Foreseeability of repeated exposure, disclosure, attachment,</w:t>
            </w:r>
            <w:r>
              <w:t xml:space="preserve"> </w:t>
            </w:r>
            <w:r>
              <w:t xml:space="preserve">and separation distress.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  <w:jc w:val="center"/>
            </w:pPr>
            <w:r>
              <w:t xml:space="preserve">Claims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expertise,</w:t>
            </w:r>
            <w:r>
              <w:t xml:space="preserve"> </w:t>
            </w:r>
            <w:r>
              <w:t xml:space="preserve">autonomy,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act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Reasonable expectations about accuracy, authorization,</w:t>
            </w:r>
            <w:r>
              <w:t xml:space="preserve"> </w:t>
            </w:r>
            <w:r>
              <w:t xml:space="preserve">monitoring, and intervention.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  <w:jc w:val="center"/>
            </w:pPr>
            <w:r>
              <w:t xml:space="preserve">Humanlike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paired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generic</w:t>
            </w:r>
            <w:r>
              <w:t xml:space="preserve"> </w:t>
            </w:r>
            <w:r>
              <w:t xml:space="preserve">“not</w:t>
            </w:r>
            <w:r>
              <w:t xml:space="preserve"> </w:t>
            </w:r>
            <w:r>
              <w:t xml:space="preserve">human”</w:t>
            </w:r>
            <w:r>
              <w:t xml:space="preserve"> </w:t>
            </w:r>
            <w:r>
              <w:t xml:space="preserve">notice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Net impression; adequacy and timing of warning; whether</w:t>
            </w:r>
            <w:r>
              <w:t xml:space="preserve"> </w:t>
            </w:r>
            <w:r>
              <w:t xml:space="preserve">design and disclaimer point in opposite directions.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  <w:jc w:val="center"/>
            </w:pPr>
            <w:r>
              <w:t xml:space="preserve">Internal</w:t>
            </w:r>
            <w:r>
              <w:t xml:space="preserve"> </w:t>
            </w:r>
            <w:r>
              <w:t xml:space="preserve">tests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dependence,</w:t>
            </w:r>
            <w:r>
              <w:t xml:space="preserve"> </w:t>
            </w:r>
            <w:r>
              <w:t xml:space="preserve">self-harm,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age-specific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Knowledge; feasibility of precaution; post-deployment notice</w:t>
            </w:r>
            <w:r>
              <w:t xml:space="preserve"> </w:t>
            </w:r>
            <w:r>
              <w:t xml:space="preserve">and response.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  <w:jc w:val="center"/>
            </w:pPr>
            <w:r>
              <w:t xml:space="preserve">Engagement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tied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relational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keepLines/>
              <w:jc w:val="left"/>
              <w:jc w:val="center"/>
            </w:pPr>
            <w:r>
              <w:t xml:space="preserve">Organizational objective; design incentive; relevance of an</w:t>
            </w:r>
            <w:r>
              <w:t xml:space="preserve"> </w:t>
            </w:r>
            <w:r>
              <w:t xml:space="preserve">alternative that reduces a known risk.</w:t>
            </w:r>
          </w:p>
        </w:tc>
      </w:tr>
    </w:tbl>
    <w:p>
      <w:pPr>
        <w:pStyle w:val="BodyText"/>
      </w:pPr>
      <w:r>
        <w:t xml:space="preserve">These are familiar categories. Products law considers reasonably foreseeable use,</w:t>
      </w:r>
      <w:r>
        <w:t xml:space="preserve"> </w:t>
      </w:r>
      <w:r>
        <w:t xml:space="preserve">design, warnings, and consumer expectations where the jurisdiction’s rules make them</w:t>
      </w:r>
      <w:r>
        <w:t xml:space="preserve"> </w:t>
      </w:r>
      <w:r>
        <w:t xml:space="preserve">relevant.</w:t>
      </w:r>
      <w:r>
        <w:rPr>
          <w:rStyle w:val="FootnoteReference"/>
        </w:rPr>
        <w:footnoteReference w:id="46"/>
      </w:r>
      <w:bookmarkStart w:id="315" w:name="x1-25002f46"/>
      <w:bookmarkEnd w:id="315"/>
      <w:r>
        <w:t xml:space="preserve"> </w:t>
      </w:r>
      <w:r>
        <w:t xml:space="preserve">Consumer-protection law examines whether a material representation or</w:t>
      </w:r>
      <w:r>
        <w:t xml:space="preserve"> </w:t>
      </w:r>
      <w:r>
        <w:t xml:space="preserve">omission is likely to mislead a reasonable member of the targeted audience in</w:t>
      </w:r>
      <w:r>
        <w:t xml:space="preserve"> </w:t>
      </w:r>
      <w:r>
        <w:t xml:space="preserve">context.</w:t>
      </w:r>
      <w:r>
        <w:rPr>
          <w:rStyle w:val="FootnoteReference"/>
        </w:rPr>
        <w:footnoteReference w:id="47"/>
      </w:r>
      <w:bookmarkStart w:id="320" w:name="x1-25005f47"/>
      <w:bookmarkEnd w:id="320"/>
      <w:r>
        <w:t xml:space="preserve"> </w:t>
      </w:r>
      <w:r>
        <w:t xml:space="preserve">Negligence considers foreseeable risk and reasonable precaution. Contract considers the meaning of</w:t>
      </w:r>
      <w:r>
        <w:t xml:space="preserve"> </w:t>
      </w:r>
      <w:r>
        <w:t xml:space="preserve">the parties’ manifestations. Evidence of presentation can serve each inquiry without privately</w:t>
      </w:r>
      <w:r>
        <w:t xml:space="preserve"> </w:t>
      </w:r>
      <w:r>
        <w:t xml:space="preserve">legislating a duty.</w:t>
      </w:r>
    </w:p>
    <w:p>
      <w:pPr>
        <w:pStyle w:val="BodyText"/>
      </w:pPr>
      <w:r>
        <w:t xml:space="preserve">The ordering principle is simple. Marketing cannot create an artificial subject capable of</w:t>
      </w:r>
      <w:r>
        <w:t xml:space="preserve"> </w:t>
      </w:r>
      <w:r>
        <w:t xml:space="preserve">taking responsibility from the firm. It can help establish the firm’s own conduct. A provider that</w:t>
      </w:r>
      <w:r>
        <w:t xml:space="preserve"> </w:t>
      </w:r>
      <w:r>
        <w:t xml:space="preserve">intentionally cultivates a humanlike bond may reasonably face different questions about crisis</w:t>
      </w:r>
      <w:r>
        <w:t xml:space="preserve"> </w:t>
      </w:r>
      <w:r>
        <w:t xml:space="preserve">testing, continuity, age screening, and exit design than a provider of a nonrelational</w:t>
      </w:r>
      <w:r>
        <w:t xml:space="preserve"> </w:t>
      </w:r>
      <w:r>
        <w:t xml:space="preserve">batch-processing tool. A provider that makes bounded claims and builds the service around those</w:t>
      </w:r>
      <w:r>
        <w:t xml:space="preserve"> </w:t>
      </w:r>
      <w:r>
        <w:t xml:space="preserve">bounds creates different evidence. The distinction rewards accurate product design and</w:t>
      </w:r>
      <w:r>
        <w:t xml:space="preserve"> </w:t>
      </w:r>
      <w:r>
        <w:t xml:space="preserve">communication rather than the tactical use of metaphors.</w:t>
      </w:r>
    </w:p>
    <w:p>
      <w:pPr>
        <w:pStyle w:val="BodyText"/>
      </w:pPr>
      <w:r>
        <w:t xml:space="preserve">This approach also keeps the harm inquiry attached to human interests. A forced update</w:t>
      </w:r>
      <w:r>
        <w:t xml:space="preserve"> </w:t>
      </w:r>
      <w:r>
        <w:t xml:space="preserve">can matter because it predictably disrupts a user’s psychological stability, not because the user</w:t>
      </w:r>
      <w:r>
        <w:t xml:space="preserve"> </w:t>
      </w:r>
      <w:r>
        <w:t xml:space="preserve">owns the bot’s identity. A sexualized exchange with a minor can matter because of</w:t>
      </w:r>
      <w:r>
        <w:t xml:space="preserve"> </w:t>
      </w:r>
      <w:r>
        <w:t xml:space="preserve">the minor’s safety and autonomy, not because the system betrayed a romantic duty.</w:t>
      </w:r>
      <w:r>
        <w:t xml:space="preserve"> </w:t>
      </w:r>
      <w:r>
        <w:t xml:space="preserve">An output can be misleading because the enterprise designed a trusted interface, not</w:t>
      </w:r>
      <w:r>
        <w:t xml:space="preserve"> </w:t>
      </w:r>
      <w:r>
        <w:t xml:space="preserve">because the machine lied with a guilty mind. Functional classification exposes these</w:t>
      </w:r>
      <w:r>
        <w:t xml:space="preserve"> </w:t>
      </w:r>
      <w:r>
        <w:t xml:space="preserve">interests while the subject-status invariant keeps responsibility within law’s remedial</w:t>
      </w:r>
      <w:r>
        <w:t xml:space="preserve"> </w:t>
      </w:r>
      <w:r>
        <w:t xml:space="preserve">reach.</w:t>
      </w:r>
    </w:p>
    <w:bookmarkEnd w:id="321"/>
    <w:bookmarkEnd w:id="322"/>
    <w:bookmarkStart w:id="597" w:name="X7561346409bcdd715538e7334584863e207108b"/>
    <w:p>
      <w:pPr>
        <w:pStyle w:val="Heading3"/>
      </w:pPr>
      <w:r>
        <w:t xml:space="preserve">IV</w:t>
      </w:r>
      <w:r>
        <w:t xml:space="preserve"> </w:t>
      </w:r>
      <w:r>
        <w:t xml:space="preserve"> </w:t>
      </w:r>
      <w:bookmarkStart w:id="323" w:name="x1-26000IV"/>
      <w:bookmarkEnd w:id="323"/>
      <w:r>
        <w:t xml:space="preserve">A Responsibility Architecture for AI Deployment</w:t>
      </w:r>
    </w:p>
    <w:p>
      <w:pPr>
        <w:pStyle w:val="FirstParagraph"/>
      </w:pPr>
      <w:r>
        <w:t xml:space="preserve">The deployment-control cascade identifies where control resides. Responsibility law must</w:t>
      </w:r>
      <w:r>
        <w:t xml:space="preserve"> </w:t>
      </w:r>
      <w:r>
        <w:t xml:space="preserve">decide what to do with that information. The principal obstacle is not the absence</w:t>
      </w:r>
      <w:r>
        <w:t xml:space="preserve"> </w:t>
      </w:r>
      <w:r>
        <w:t xml:space="preserve">of doctrine. Direct negligence, products liability, agency, corporate criminal liability,</w:t>
      </w:r>
      <w:r>
        <w:t xml:space="preserve"> </w:t>
      </w:r>
      <w:r>
        <w:t xml:space="preserve">officer liability, discovery, preservation, contribution, and indemnity already separate</w:t>
      </w:r>
      <w:r>
        <w:t xml:space="preserve"> </w:t>
      </w:r>
      <w:r>
        <w:t xml:space="preserve">organizational from individual conduct. The obstacle is sequence. An injured person is</w:t>
      </w:r>
      <w:r>
        <w:t xml:space="preserve"> </w:t>
      </w:r>
      <w:r>
        <w:t xml:space="preserve">often asked to identify the internal decisionmaker before obtaining the records that</w:t>
      </w:r>
      <w:r>
        <w:t xml:space="preserve"> </w:t>
      </w:r>
      <w:r>
        <w:t xml:space="preserve">reveal who decided, while the organization describes the output as an act of the system</w:t>
      </w:r>
      <w:r>
        <w:t xml:space="preserve"> </w:t>
      </w:r>
      <w:r>
        <w:t xml:space="preserve">and its employees reasonably fear that candid escalation will make them the easiest</w:t>
      </w:r>
      <w:r>
        <w:t xml:space="preserve"> </w:t>
      </w:r>
      <w:r>
        <w:t xml:space="preserve">defendants.</w:t>
      </w:r>
    </w:p>
    <w:p>
      <w:pPr>
        <w:pStyle w:val="BodyText"/>
      </w:pPr>
      <w:r>
        <w:t xml:space="preserve">This Part proposes a two-layer architecture that changes that sequence. As an analytic</w:t>
      </w:r>
      <w:r>
        <w:t xml:space="preserve"> </w:t>
      </w:r>
      <w:r>
        <w:t xml:space="preserve">baseline, the enterprise possessing material control over a deployment is its external responsibility</w:t>
      </w:r>
      <w:r>
        <w:t xml:space="preserve"> </w:t>
      </w:r>
      <w:r>
        <w:t xml:space="preserve">center: once a claimant proves the elements of an applicable cause of action, the enterprise cannot</w:t>
      </w:r>
      <w:r>
        <w:t xml:space="preserve"> </w:t>
      </w:r>
      <w:r>
        <w:t xml:space="preserve">defeat attribution merely because no employee composed the output or because responsibility was</w:t>
      </w:r>
      <w:r>
        <w:t xml:space="preserve"> </w:t>
      </w:r>
      <w:r>
        <w:t xml:space="preserve">divided internally. For designated high-impact deployments, legislation should turn that</w:t>
      </w:r>
      <w:r>
        <w:t xml:space="preserve"> </w:t>
      </w:r>
      <w:r>
        <w:t xml:space="preserve">baseline into the nondelegable duty, primary-recourse rule, and production obligation</w:t>
      </w:r>
      <w:r>
        <w:t xml:space="preserve"> </w:t>
      </w:r>
      <w:r>
        <w:t xml:space="preserve">specified below. A predeployment responsibility charter supplies the internal layer: it</w:t>
      </w:r>
      <w:r>
        <w:t xml:space="preserve"> </w:t>
      </w:r>
      <w:r>
        <w:t xml:space="preserve">assigns risk ownership, decision and stop authority, reporting protection, evidence duties,</w:t>
      </w:r>
      <w:r>
        <w:t xml:space="preserve"> </w:t>
      </w:r>
      <w:r>
        <w:t xml:space="preserve">and recourse before the incident. The first layer preserves a practical defendant and</w:t>
      </w:r>
      <w:r>
        <w:t xml:space="preserve"> </w:t>
      </w:r>
      <w:r>
        <w:t xml:space="preserve">remedy. The second distinguishes the person who warned from the person who concealed,</w:t>
      </w:r>
      <w:r>
        <w:t xml:space="preserve"> </w:t>
      </w:r>
      <w:r>
        <w:t xml:space="preserve">and the person who followed a reasonable constraint from the person who bypassed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front door has two components with different domains. Identification is close to</w:t>
      </w:r>
      <w:r>
        <w:t xml:space="preserve"> </w:t>
      </w:r>
      <w:r>
        <w:t xml:space="preserve">declaratory where one company visibly operates an integrated service; its reforming work lies in</w:t>
      </w:r>
      <w:r>
        <w:t xml:space="preserve"> </w:t>
      </w:r>
      <w:r>
        <w:t xml:space="preserve">divided deployments where several enterprises control different layers and the user cannot see</w:t>
      </w:r>
      <w:r>
        <w:t xml:space="preserve"> </w:t>
      </w:r>
      <w:r>
        <w:t xml:space="preserve">which one governed the risk. Focused production matters in both settings because the deployment</w:t>
      </w:r>
      <w:r>
        <w:t xml:space="preserve"> </w:t>
      </w:r>
      <w:r>
        <w:t xml:space="preserve">record remains inside the enterprise even when its name is obvious. The proposal therefore states</w:t>
      </w:r>
      <w:r>
        <w:t xml:space="preserve"> </w:t>
      </w:r>
      <w:r>
        <w:t xml:space="preserve">the two obligations separately and calibrates each to the architecture that makes it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The proposal is neither blanket strict liability nor employee immunity. Substantive</w:t>
      </w:r>
      <w:r>
        <w:t xml:space="preserve"> </w:t>
      </w:r>
      <w:r>
        <w:t xml:space="preserve">liability remains tied to the governing law, and personal liability remains available for a</w:t>
      </w:r>
      <w:r>
        <w:t xml:space="preserve"> </w:t>
      </w:r>
      <w:r>
        <w:t xml:space="preserve">person’s own actionable conduct. The architecture supplies a claimant-facing point of</w:t>
      </w:r>
      <w:r>
        <w:t xml:space="preserve"> </w:t>
      </w:r>
      <w:r>
        <w:t xml:space="preserve">responsibility, a burden of producing deployment records, and a principled internal</w:t>
      </w:r>
      <w:r>
        <w:t xml:space="preserve"> </w:t>
      </w:r>
      <w:r>
        <w:t xml:space="preserve">allocation.</w:t>
      </w:r>
    </w:p>
    <w:bookmarkStart w:id="360" w:name="X57b76efeed6ddd03f77fb110464f3d243d712f4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324" w:name="x1-27000A"/>
      <w:bookmarkEnd w:id="324"/>
      <w:r>
        <w:t xml:space="preserve">The Enterprise as the Claimant-Facing Responsibility Center</w:t>
      </w:r>
    </w:p>
    <w:p>
      <w:pPr>
        <w:pStyle w:val="FirstParagraph"/>
      </w:pPr>
      <w:r>
        <w:t xml:space="preserve">An enterprise is the external responsibility center when, in the course of business or a</w:t>
      </w:r>
      <w:r>
        <w:t xml:space="preserve"> </w:t>
      </w:r>
      <w:r>
        <w:t xml:space="preserve">public function, it makes the relevant AI deployment available or incorporates it into a</w:t>
      </w:r>
      <w:r>
        <w:t xml:space="preserve"> </w:t>
      </w:r>
      <w:r>
        <w:t xml:space="preserve">decision process and possesses material deployment control. That means authority over one</w:t>
      </w:r>
      <w:r>
        <w:t xml:space="preserve"> </w:t>
      </w:r>
      <w:r>
        <w:t xml:space="preserve">or more features capable of creating or materially reducing the risk at issue—such as</w:t>
      </w:r>
      <w:r>
        <w:t xml:space="preserve"> </w:t>
      </w:r>
      <w:r>
        <w:t xml:space="preserve">purpose, eligible users, deployment data, model or vendor selection, the harness and tools,</w:t>
      </w:r>
      <w:r>
        <w:t xml:space="preserve"> </w:t>
      </w:r>
      <w:r>
        <w:t xml:space="preserve">warnings, monitoring, continuation, or rollback. A direct-to-consumer provider ordinarily</w:t>
      </w:r>
      <w:r>
        <w:t xml:space="preserve"> </w:t>
      </w:r>
      <w:r>
        <w:t xml:space="preserve">occupies the role itself. In an API deployment, a downstream application company,</w:t>
      </w:r>
      <w:r>
        <w:t xml:space="preserve"> </w:t>
      </w:r>
      <w:r>
        <w:t xml:space="preserve">hospital, employer, or agency may be the principal deploying enterprise even though an</w:t>
      </w:r>
      <w:r>
        <w:t xml:space="preserve"> </w:t>
      </w:r>
      <w:r>
        <w:t xml:space="preserve">upstream provider remains a parallel responsibility center for risks within its retained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Under the proposed statutory regime, designation as a “responsibility center” has three</w:t>
      </w:r>
      <w:r>
        <w:t xml:space="preserve"> </w:t>
      </w:r>
      <w:r>
        <w:t xml:space="preserve">consequences. First, subject to the ordinary rules governing jurisdiction and immunity,</w:t>
      </w:r>
      <w:r>
        <w:t xml:space="preserve"> </w:t>
      </w:r>
      <w:r>
        <w:t xml:space="preserve">the enterprise is a proper initial defendant on the statutory deployment-duty claim</w:t>
      </w:r>
      <w:r>
        <w:t xml:space="preserve"> </w:t>
      </w:r>
      <w:r>
        <w:t xml:space="preserve">rather than an unnamed model or unidentified employee; in an integrated service this</w:t>
      </w:r>
      <w:r>
        <w:t xml:space="preserve"> </w:t>
      </w:r>
      <w:r>
        <w:t xml:space="preserve">usually confirms an already visible party, while in a divided deployment it supplies the</w:t>
      </w:r>
      <w:r>
        <w:t xml:space="preserve"> </w:t>
      </w:r>
      <w:r>
        <w:t xml:space="preserve">identification rule. Second, it bears the focused preservation and production obligation</w:t>
      </w:r>
      <w:r>
        <w:t xml:space="preserve"> </w:t>
      </w:r>
      <w:r>
        <w:t xml:space="preserve">specified below. Third, internal allocation cannot by itself reduce rights that governing</w:t>
      </w:r>
      <w:r>
        <w:t xml:space="preserve"> </w:t>
      </w:r>
      <w:r>
        <w:t xml:space="preserve">law gives an injured outsider. None of the three establishes defect, breach, causation,</w:t>
      </w:r>
      <w:r>
        <w:t xml:space="preserve"> </w:t>
      </w:r>
      <w:r>
        <w:t xml:space="preserve">compensable harm, or a measure of damages. Those elements still perform their limiting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Existing doctrine already supports much of this structure, but it does not universally</w:t>
      </w:r>
      <w:r>
        <w:t xml:space="preserve"> </w:t>
      </w:r>
      <w:r>
        <w:t xml:space="preserve">guarantee the proposed front door. A corporation can be directly negligent through its own design,</w:t>
      </w:r>
      <w:r>
        <w:t xml:space="preserve"> </w:t>
      </w:r>
      <w:r>
        <w:t xml:space="preserve">supervision, warning, monitoring, or deployment choices. It can be vicariously liable for employee</w:t>
      </w:r>
      <w:r>
        <w:t xml:space="preserve"> </w:t>
      </w:r>
      <w:r>
        <w:t xml:space="preserve">torts within the governing scope rule. A commercial seller can face product duties without locating</w:t>
      </w:r>
      <w:r>
        <w:t xml:space="preserve"> </w:t>
      </w:r>
      <w:r>
        <w:t xml:space="preserve">the defect in a culpable engineer. In jurisdictions that have enacted section 14 of the</w:t>
      </w:r>
      <w:r>
        <w:t xml:space="preserve"> </w:t>
      </w:r>
      <w:r>
        <w:t xml:space="preserve">Uniform Electronic Transactions Act or an equivalent rule, contracts may be formed</w:t>
      </w:r>
      <w:r>
        <w:t xml:space="preserve"> </w:t>
      </w:r>
      <w:r>
        <w:t xml:space="preserve">through interactions involving authorized electronic agents. The law routinely treats an</w:t>
      </w:r>
      <w:r>
        <w:t xml:space="preserve"> </w:t>
      </w:r>
      <w:r>
        <w:t xml:space="preserve">organization as the actor even when information and conduct are distributed among many</w:t>
      </w:r>
      <w:r>
        <w:t xml:space="preserve"> </w:t>
      </w:r>
      <w:r>
        <w:t xml:space="preserve">employees.</w:t>
      </w:r>
      <w:r>
        <w:rPr>
          <w:rStyle w:val="FootnoteReference"/>
        </w:rPr>
        <w:footnoteReference w:id="48"/>
      </w:r>
      <w:bookmarkStart w:id="330" w:name="x1-27001f48"/>
      <w:bookmarkEnd w:id="330"/>
    </w:p>
    <w:p>
      <w:pPr>
        <w:pStyle w:val="BodyText"/>
      </w:pPr>
      <w:r>
        <w:t xml:space="preserve">Vicarious liability alone cannot deliver the proposal because a claimant may still have to</w:t>
      </w:r>
      <w:r>
        <w:t xml:space="preserve"> </w:t>
      </w:r>
      <w:r>
        <w:t xml:space="preserve">prove an employee’s underlying tort and scope of employment. For designated high-impact</w:t>
      </w:r>
      <w:r>
        <w:t xml:space="preserve"> </w:t>
      </w:r>
      <w:r>
        <w:t xml:space="preserve">deployments, legislatures should therefore create a nondelegable deployment duty and a</w:t>
      </w:r>
      <w:r>
        <w:t xml:space="preserve"> </w:t>
      </w:r>
      <w:r>
        <w:t xml:space="preserve">primary-recourse rule for every enterprise satisfying the material-control test above with respect to</w:t>
      </w:r>
      <w:r>
        <w:t xml:space="preserve"> </w:t>
      </w:r>
      <w:r>
        <w:t xml:space="preserve">the risk at issue. “Primary recourse” means that the enterprise is the proper defendant on the</w:t>
      </w:r>
      <w:r>
        <w:t xml:space="preserve"> </w:t>
      </w:r>
      <w:r>
        <w:t xml:space="preserve">statutory deployment-duty claim and that a claimant need not identify or first proceed against an</w:t>
      </w:r>
      <w:r>
        <w:t xml:space="preserve"> </w:t>
      </w:r>
      <w:r>
        <w:t xml:space="preserve">employee; it does not dispense with proof of breach, causation, legally cognizable harm, or any</w:t>
      </w:r>
      <w:r>
        <w:t xml:space="preserve"> </w:t>
      </w:r>
      <w:r>
        <w:t xml:space="preserve">defense supplied by the statute. Multiple enterprises can occupy parallel lanes, with</w:t>
      </w:r>
      <w:r>
        <w:t xml:space="preserve"> </w:t>
      </w:r>
      <w:r>
        <w:t xml:space="preserve">contribution and indemnity following afterward. This is the Article’s normative addition, not a</w:t>
      </w:r>
      <w:r>
        <w:t xml:space="preserve"> </w:t>
      </w:r>
      <w:r>
        <w:t xml:space="preserve">claim that present common law in every jurisdiction already makes the company pay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Agency law is illustrative. The Restatement provides that an employer is subject to liability</w:t>
      </w:r>
      <w:r>
        <w:t xml:space="preserve"> </w:t>
      </w:r>
      <w:r>
        <w:t xml:space="preserve">for an employee’s tort committed within the scope of employment and separately recognizes a</w:t>
      </w:r>
      <w:r>
        <w:t xml:space="preserve"> </w:t>
      </w:r>
      <w:r>
        <w:t xml:space="preserve">principal’s direct liability for negligent selection, training, retention, supervision, or</w:t>
      </w:r>
      <w:r>
        <w:t xml:space="preserve"> </w:t>
      </w:r>
      <w:r>
        <w:t xml:space="preserve">control.</w:t>
      </w:r>
      <w:r>
        <w:rPr>
          <w:rStyle w:val="FootnoteReference"/>
        </w:rPr>
        <w:footnoteReference w:id="49"/>
      </w:r>
      <w:bookmarkStart w:id="333" w:name="x1-27006f49"/>
      <w:bookmarkEnd w:id="333"/>
      <w:r>
        <w:t xml:space="preserve"> </w:t>
      </w:r>
      <w:r>
        <w:t xml:space="preserve">Under the Third Restatement, an employee acts within scope when performing assigned work or</w:t>
      </w:r>
      <w:r>
        <w:t xml:space="preserve"> </w:t>
      </w:r>
      <w:r>
        <w:t xml:space="preserve">engaging in a course of conduct subject to the employer’s control; conduct leaves scope when it</w:t>
      </w:r>
      <w:r>
        <w:t xml:space="preserve"> </w:t>
      </w:r>
      <w:r>
        <w:t xml:space="preserve">forms an independent course not intended to serve any employer purpose. Violation of an</w:t>
      </w:r>
      <w:r>
        <w:t xml:space="preserve"> </w:t>
      </w:r>
      <w:r>
        <w:t xml:space="preserve">instruction is relevant but does not itself answer that inquiry.</w:t>
      </w:r>
      <w:r>
        <w:t xml:space="preserve"> </w:t>
      </w:r>
      <w:r>
        <w:t xml:space="preserve">Ellerth</w:t>
      </w:r>
      <w:r>
        <w:t xml:space="preserve"> </w:t>
      </w:r>
      <w:r>
        <w:t xml:space="preserve">applies agency principles in</w:t>
      </w:r>
      <w:r>
        <w:t xml:space="preserve"> </w:t>
      </w:r>
      <w:r>
        <w:t xml:space="preserve">the specialized Title VII supervisor-harassment setting, while</w:t>
      </w:r>
      <w:r>
        <w:t xml:space="preserve"> </w:t>
      </w:r>
      <w:r>
        <w:t xml:space="preserve">Bushey</w:t>
      </w:r>
      <w:r>
        <w:t xml:space="preserve"> </w:t>
      </w:r>
      <w:r>
        <w:t xml:space="preserve">supplies a maritime</w:t>
      </w:r>
      <w:r>
        <w:t xml:space="preserve"> </w:t>
      </w:r>
      <w:r>
        <w:t xml:space="preserve">enterprise-risk illustration in which unauthorized details remained characteristic of the business</w:t>
      </w:r>
      <w:r>
        <w:t xml:space="preserve"> </w:t>
      </w:r>
      <w:r>
        <w:t xml:space="preserve">activity.</w:t>
      </w:r>
      <w:r>
        <w:rPr>
          <w:rStyle w:val="FootnoteReference"/>
        </w:rPr>
        <w:footnoteReference w:id="50"/>
      </w:r>
      <w:bookmarkStart w:id="338" w:name="x1-27008f50"/>
      <w:bookmarkEnd w:id="338"/>
      <w:r>
        <w:t xml:space="preserve"> </w:t>
      </w:r>
      <w:r>
        <w:t xml:space="preserve">AI distribution intensifies the reason for organizational attribution: the output exists only because</w:t>
      </w:r>
      <w:r>
        <w:t xml:space="preserve"> </w:t>
      </w:r>
      <w:r>
        <w:t xml:space="preserve">the enterprise assembled and maintained a system intended to act without contemporaneous</w:t>
      </w:r>
      <w:r>
        <w:t xml:space="preserve"> </w:t>
      </w:r>
      <w:r>
        <w:t xml:space="preserve">employee review.</w:t>
      </w:r>
    </w:p>
    <w:p>
      <w:pPr>
        <w:pStyle w:val="BodyText"/>
      </w:pPr>
      <w:r>
        <w:t xml:space="preserve">Disclaimers do not change the sequence. “AI-generated,” “for reference only,” “verify</w:t>
      </w:r>
      <w:r>
        <w:t xml:space="preserve"> </w:t>
      </w:r>
      <w:r>
        <w:t xml:space="preserve">independently,” and “the model may make mistakes” can be relevant warnings. Their</w:t>
      </w:r>
      <w:r>
        <w:t xml:space="preserve"> </w:t>
      </w:r>
      <w:r>
        <w:t xml:space="preserve">effect depends on the claim, the clarity and timing of disclosure, assent, public policy,</w:t>
      </w:r>
      <w:r>
        <w:t xml:space="preserve"> </w:t>
      </w:r>
      <w:r>
        <w:t xml:space="preserve">the audience, and whether a reasonable design could have reduced the risk. Contract</w:t>
      </w:r>
      <w:r>
        <w:t xml:space="preserve"> </w:t>
      </w:r>
      <w:r>
        <w:t xml:space="preserve">law has long limited exculpation where a term conflicts with public policy or defeats a</w:t>
      </w:r>
      <w:r>
        <w:t xml:space="preserve"> </w:t>
      </w:r>
      <w:r>
        <w:t xml:space="preserve">nonwaivable duty. Warranty law separately regulates disclaimer, and products doctrine</w:t>
      </w:r>
      <w:r>
        <w:t xml:space="preserve"> </w:t>
      </w:r>
      <w:r>
        <w:t xml:space="preserve">asks whether a reasonable alternative design or adequate instruction would have</w:t>
      </w:r>
      <w:r>
        <w:t xml:space="preserve"> </w:t>
      </w:r>
      <w:r>
        <w:t xml:space="preserve">reduced the relevant risk; a warning is not categorically a substitute for reasonable</w:t>
      </w:r>
      <w:r>
        <w:t xml:space="preserve"> </w:t>
      </w:r>
      <w:r>
        <w:t xml:space="preserve">design.</w:t>
      </w:r>
      <w:r>
        <w:rPr>
          <w:rStyle w:val="FootnoteReference"/>
        </w:rPr>
        <w:footnoteReference w:id="51"/>
      </w:r>
      <w:bookmarkStart w:id="345" w:name="x1-27012f51"/>
      <w:bookmarkEnd w:id="345"/>
      <w:r>
        <w:t xml:space="preserve"> </w:t>
      </w:r>
      <w:r>
        <w:t xml:space="preserve">No phrase creates a general license to externalize enterprise risk, just as no marketing metaphor</w:t>
      </w:r>
      <w:r>
        <w:t xml:space="preserve"> </w:t>
      </w:r>
      <w:r>
        <w:t xml:space="preserve">creates an artificial defendant.</w:t>
      </w:r>
    </w:p>
    <w:p>
      <w:pPr>
        <w:pStyle w:val="BodyText"/>
      </w:pPr>
      <w:r>
        <w:t xml:space="preserve">Software classification remains jurisdiction specific. United States courts have not adopted a</w:t>
      </w:r>
      <w:r>
        <w:t xml:space="preserve"> </w:t>
      </w:r>
      <w:r>
        <w:t xml:space="preserve">single rule treating every stand-alone service, model, or update as a product. A useful enacted</w:t>
      </w:r>
      <w:r>
        <w:t xml:space="preserve"> </w:t>
      </w:r>
      <w:r>
        <w:t xml:space="preserve">comparator is the European Union’s 2024 Product Liability Directive, which expressly includes</w:t>
      </w:r>
      <w:r>
        <w:t xml:space="preserve"> </w:t>
      </w:r>
      <w:r>
        <w:t xml:space="preserve">software, defines a manufacturer’s control to include the ability to supply updates or</w:t>
      </w:r>
      <w:r>
        <w:t xml:space="preserve"> </w:t>
      </w:r>
      <w:r>
        <w:t xml:space="preserve">upgrades, addresses substantial modification, and creates proportionate disclosure and proof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52"/>
      </w:r>
      <w:bookmarkStart w:id="349" w:name="x1-27018f52"/>
      <w:bookmarkEnd w:id="349"/>
      <w:r>
        <w:t xml:space="preserve"> </w:t>
      </w:r>
      <w:r>
        <w:t xml:space="preserve">Its relevance here is structural, not transplantive: retained update authority, material modification,</w:t>
      </w:r>
      <w:r>
        <w:t xml:space="preserve"> </w:t>
      </w:r>
      <w:r>
        <w:t xml:space="preserve">and information access can each be assigned to an existing legal person without characterizing the</w:t>
      </w:r>
      <w:r>
        <w:t xml:space="preserve"> </w:t>
      </w:r>
      <w:r>
        <w:t xml:space="preserve">software itself as one.</w:t>
      </w:r>
    </w:p>
    <w:bookmarkStart w:id="359" w:name="two-chatbots-two-merits-results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50" w:name="x1-280001"/>
      <w:bookmarkEnd w:id="350"/>
      <w:r>
        <w:t xml:space="preserve">Two Chatbots, Two Merits Results</w:t>
      </w:r>
    </w:p>
    <w:p>
      <w:pPr>
        <w:pStyle w:val="FirstParagraph"/>
      </w:pPr>
      <w:r>
        <w:t xml:space="preserve">The Hangzhou and Air Canada disputes show how an enterprise front door can coexist with</w:t>
      </w:r>
      <w:r>
        <w:t xml:space="preserve"> </w:t>
      </w:r>
      <w:r>
        <w:t xml:space="preserve">different substantive outcomes. In</w:t>
      </w:r>
      <w:r>
        <w:t xml:space="preserve"> </w:t>
      </w:r>
      <w:r>
        <w:t xml:space="preserve">Moffatt</w:t>
      </w:r>
      <w:r>
        <w:t xml:space="preserve">, Air Canada’s website chatbot incorrectly</w:t>
      </w:r>
      <w:r>
        <w:t xml:space="preserve"> </w:t>
      </w:r>
      <w:r>
        <w:t xml:space="preserve">told a customer that he could apply for a bereavement fare after travel. The airline</w:t>
      </w:r>
      <w:r>
        <w:t xml:space="preserve"> </w:t>
      </w:r>
      <w:r>
        <w:t xml:space="preserve">later denied the request because its written policy required an application before travel.</w:t>
      </w:r>
      <w:r>
        <w:t xml:space="preserve"> </w:t>
      </w:r>
      <w:r>
        <w:t xml:space="preserve">Before the British Columbia Civil Resolution Tribunal, the airline effectively sought</w:t>
      </w:r>
      <w:r>
        <w:t xml:space="preserve"> </w:t>
      </w:r>
      <w:r>
        <w:t xml:space="preserve">to distinguish the chatbot from the rest of its website. The tribunal rejected that</w:t>
      </w:r>
      <w:r>
        <w:t xml:space="preserve"> </w:t>
      </w:r>
      <w:r>
        <w:t xml:space="preserve">move: the customer was not required to determine which part of the airline’s website</w:t>
      </w:r>
      <w:r>
        <w:t xml:space="preserve"> </w:t>
      </w:r>
      <w:r>
        <w:t xml:space="preserve">was accurate, and Air Canada was responsible for information supplied through its</w:t>
      </w:r>
      <w:r>
        <w:t xml:space="preserve"> </w:t>
      </w:r>
      <w:r>
        <w:t xml:space="preserve">channel.</w:t>
      </w:r>
      <w:r>
        <w:rPr>
          <w:rStyle w:val="FootnoteReference"/>
        </w:rPr>
        <w:footnoteReference w:id="53"/>
      </w:r>
      <w:bookmarkStart w:id="354" w:name="x1-28001f53"/>
      <w:bookmarkEnd w:id="354"/>
      <w:r>
        <w:t xml:space="preserve"> </w:t>
      </w:r>
      <w:r>
        <w:t xml:space="preserve">Attribution to the enterprise did the necessary work because the governing misrepresentation rule</w:t>
      </w:r>
      <w:r>
        <w:t xml:space="preserve"> </w:t>
      </w:r>
      <w:r>
        <w:t xml:space="preserve">and evidence supported relief.</w:t>
      </w:r>
    </w:p>
    <w:p>
      <w:pPr>
        <w:pStyle w:val="BodyText"/>
      </w:pPr>
      <w:r>
        <w:t xml:space="preserve">The Hangzhou Internet Court confronted more extravagant generated language. On June</w:t>
      </w:r>
      <w:r>
        <w:t xml:space="preserve"> </w:t>
      </w:r>
      <w:r>
        <w:t xml:space="preserve">29, 2025, a user asked an anonymized generative-AI application where a university program was</w:t>
      </w:r>
      <w:r>
        <w:t xml:space="preserve"> </w:t>
      </w:r>
      <w:r>
        <w:t xml:space="preserve">located. After the application provided incorrect information and the user challenged it, the</w:t>
      </w:r>
      <w:r>
        <w:t xml:space="preserve"> </w:t>
      </w:r>
      <w:r>
        <w:t xml:space="preserve">system apologized, purported to offer 100,000 yuan in compensation, and suggested</w:t>
      </w:r>
      <w:r>
        <w:t xml:space="preserve"> </w:t>
      </w:r>
      <w:r>
        <w:t xml:space="preserve">litigation in the Hangzhou Internet Court. The user sought 9,999 yuan in damages. The</w:t>
      </w:r>
      <w:r>
        <w:t xml:space="preserve"> </w:t>
      </w:r>
      <w:r>
        <w:t xml:space="preserve">court held that an AI system lacked the civil-subject status and subjective intention</w:t>
      </w:r>
      <w:r>
        <w:t xml:space="preserve"> </w:t>
      </w:r>
      <w:r>
        <w:t xml:space="preserve">necessary to make the purported promise its own legal act. The text also did not manifest</w:t>
      </w:r>
      <w:r>
        <w:t xml:space="preserve"> </w:t>
      </w:r>
      <w:r>
        <w:t xml:space="preserve">the provider’s actual intention to pay. Treating the generative-AI offering as a service</w:t>
      </w:r>
      <w:r>
        <w:t xml:space="preserve"> </w:t>
      </w:r>
      <w:r>
        <w:t xml:space="preserve">under China’s Interim Measures rather than a product governed by the Product Quality</w:t>
      </w:r>
      <w:r>
        <w:t xml:space="preserve"> </w:t>
      </w:r>
      <w:r>
        <w:t xml:space="preserve">Law, the court separately applied the Civil Code’s general fault rule. The parties did</w:t>
      </w:r>
      <w:r>
        <w:t xml:space="preserve"> </w:t>
      </w:r>
      <w:r>
        <w:t xml:space="preserve">not appeal, and the judgment was final when the court account appeared in January</w:t>
      </w:r>
      <w:r>
        <w:t xml:space="preserve"> </w:t>
      </w:r>
      <w:r>
        <w:t xml:space="preserve">2026.</w:t>
      </w:r>
      <w:r>
        <w:rPr>
          <w:rStyle w:val="FootnoteReference"/>
        </w:rPr>
        <w:footnoteReference w:id="54"/>
      </w:r>
      <w:bookmarkStart w:id="358" w:name="x1-28004f54"/>
      <w:bookmarkEnd w:id="358"/>
    </w:p>
    <w:p>
      <w:pPr>
        <w:pStyle w:val="BodyText"/>
      </w:pPr>
      <w:r>
        <w:t xml:space="preserve">The absence of a machine promisor did not leave the wrong answer outside law. The court</w:t>
      </w:r>
      <w:r>
        <w:t xml:space="preserve"> </w:t>
      </w:r>
      <w:r>
        <w:t xml:space="preserve">separately considered whether the provider had breached a differentiated, fault-based duty. The</w:t>
      </w:r>
      <w:r>
        <w:t xml:space="preserve"> </w:t>
      </w:r>
      <w:r>
        <w:t xml:space="preserve">reported record included conspicuous limitation notices on the welcome page, in the user</w:t>
      </w:r>
      <w:r>
        <w:t xml:space="preserve"> </w:t>
      </w:r>
      <w:r>
        <w:t xml:space="preserve">agreement, and in the interface, as well as retrieval-augmented generation to improve output</w:t>
      </w:r>
      <w:r>
        <w:t xml:space="preserve"> </w:t>
      </w:r>
      <w:r>
        <w:t xml:space="preserve">reliability. It also included no adequate proof of actual loss or a causal effect on the user’s</w:t>
      </w:r>
      <w:r>
        <w:t xml:space="preserve"> </w:t>
      </w:r>
      <w:r>
        <w:t xml:space="preserve">application decision. On that record, the court found neither actionable fault nor compensable</w:t>
      </w:r>
      <w:r>
        <w:t xml:space="preserve"> </w:t>
      </w:r>
      <w:r>
        <w:t xml:space="preserve">damage. The provider won after its conduct was examined, not because the model became the</w:t>
      </w:r>
      <w:r>
        <w:t xml:space="preserve"> </w:t>
      </w:r>
      <w:r>
        <w:t xml:space="preserve">responsible party.</w:t>
      </w:r>
    </w:p>
    <w:p>
      <w:pPr>
        <w:pStyle w:val="BodyText"/>
      </w:pPr>
      <w:r>
        <w:t xml:space="preserve">The two decisions therefore supply a useful pair. Air Canada used an automated channel to</w:t>
      </w:r>
      <w:r>
        <w:t xml:space="preserve"> </w:t>
      </w:r>
      <w:r>
        <w:t xml:space="preserve">communicate fare information in a context where the tribunal found enterprise attribution and</w:t>
      </w:r>
      <w:r>
        <w:t xml:space="preserve"> </w:t>
      </w:r>
      <w:r>
        <w:t xml:space="preserve">reasonable reliance. The anonymized Hangzhou application generated a fantastical promise outside</w:t>
      </w:r>
      <w:r>
        <w:t xml:space="preserve"> </w:t>
      </w:r>
      <w:r>
        <w:t xml:space="preserve">provider manifestation, followed by a distinct negligence inquiry that the provider satisfied. A</w:t>
      </w:r>
      <w:r>
        <w:t xml:space="preserve"> </w:t>
      </w:r>
      <w:r>
        <w:t xml:space="preserve">front-door rule neither binds an enterprise to every string of text nor immunizes it from every</w:t>
      </w:r>
      <w:r>
        <w:t xml:space="preserve"> </w:t>
      </w:r>
      <w:r>
        <w:t xml:space="preserve">string of text. It keeps the enterprise in the case long enough for the relevant law of attribution,</w:t>
      </w:r>
      <w:r>
        <w:t xml:space="preserve"> </w:t>
      </w:r>
      <w:r>
        <w:t xml:space="preserve">duty, and proof to operate.</w:t>
      </w:r>
    </w:p>
    <w:bookmarkEnd w:id="359"/>
    <w:bookmarkEnd w:id="360"/>
    <w:bookmarkStart w:id="384" w:name="the-rule-in-operation-garcia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361" w:name="x1-29000B"/>
      <w:bookmarkEnd w:id="361"/>
      <w:r>
        <w:t xml:space="preserve">The Rule in Operation:</w:t>
      </w:r>
      <w:r>
        <w:t xml:space="preserve"> </w:t>
      </w:r>
      <w:r>
        <w:t xml:space="preserve">Garcia</w:t>
      </w:r>
    </w:p>
    <w:p>
      <w:pPr>
        <w:pStyle w:val="FirstParagraph"/>
      </w:pPr>
      <w:r>
        <w:t xml:space="preserve">The narrowed rule can now be run against a complete deployment rather than stated in the</w:t>
      </w:r>
      <w:r>
        <w:t xml:space="preserve"> </w:t>
      </w:r>
      <w:r>
        <w:t xml:space="preserve">abstract.</w:t>
      </w:r>
      <w:r>
        <w:t xml:space="preserve"> </w:t>
      </w:r>
      <w:r>
        <w:t xml:space="preserve">Garcia</w:t>
      </w:r>
      <w:r>
        <w:t xml:space="preserve"> </w:t>
      </w:r>
      <w:r>
        <w:t xml:space="preserve">is especially revealing because the published order preserved ordinary merits</w:t>
      </w:r>
      <w:r>
        <w:t xml:space="preserve"> </w:t>
      </w:r>
      <w:r>
        <w:t xml:space="preserve">questions while the pleaded stack contained an application company, two founders, Google entities,</w:t>
      </w:r>
      <w:r>
        <w:t xml:space="preserve"> </w:t>
      </w:r>
      <w:r>
        <w:t xml:space="preserve">user-created characters, and a minor user’s own inputs. The exercise does not decide the settled</w:t>
      </w:r>
      <w:r>
        <w:t xml:space="preserve"> </w:t>
      </w:r>
      <w:r>
        <w:t xml:space="preserve">action. It shows what the front door and production rule would have required, and which disputes</w:t>
      </w:r>
      <w:r>
        <w:t xml:space="preserve"> </w:t>
      </w:r>
      <w:r>
        <w:t xml:space="preserve">they would have left for ordinary law.</w:t>
      </w:r>
    </w:p>
    <w:bookmarkStart w:id="371" w:name="X4ba3ebc716b704357f2a3730db59514bab9fcd8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62" w:name="x1-300001"/>
      <w:bookmarkEnd w:id="362"/>
      <w:r>
        <w:t xml:space="preserve">Threshold and Initial Responsibility Center</w:t>
      </w:r>
    </w:p>
    <w:p>
      <w:pPr>
        <w:pStyle w:val="FirstParagraph"/>
      </w:pPr>
      <w:r>
        <w:t xml:space="preserve">The threshold would have been satisfied on the allegations accepted for Rule 12 purposes.</w:t>
      </w:r>
      <w:r>
        <w:t xml:space="preserve"> </w:t>
      </w:r>
      <w:r>
        <w:t xml:space="preserve">The complaint pleaded recognized injuries, including wrongful death, and a material</w:t>
      </w:r>
      <w:r>
        <w:t xml:space="preserve"> </w:t>
      </w:r>
      <w:r>
        <w:t xml:space="preserve">nexus to months of interaction with the Character.AI deployment. It targeted design</w:t>
      </w:r>
      <w:r>
        <w:t xml:space="preserve"> </w:t>
      </w:r>
      <w:r>
        <w:t xml:space="preserve">and distribution features—including anthropomorphic presentation, access by minors,</w:t>
      </w:r>
      <w:r>
        <w:t xml:space="preserve"> </w:t>
      </w:r>
      <w:r>
        <w:t xml:space="preserve">relational interaction, warnings, and asserted safety omissions—rather than naming the</w:t>
      </w:r>
      <w:r>
        <w:t xml:space="preserve"> </w:t>
      </w:r>
      <w:r>
        <w:t xml:space="preserve">generated character as a defendant. The district court held the application plausibly alleged</w:t>
      </w:r>
      <w:r>
        <w:t xml:space="preserve"> </w:t>
      </w:r>
      <w:r>
        <w:t xml:space="preserve">to be a product and allowed core product and negligence theories to proceed beyond</w:t>
      </w:r>
      <w:r>
        <w:t xml:space="preserve"> </w:t>
      </w:r>
      <w:r>
        <w:t xml:space="preserve">pleading.</w:t>
      </w:r>
      <w:r>
        <w:rPr>
          <w:rStyle w:val="FootnoteReference"/>
        </w:rPr>
        <w:footnoteReference w:id="55"/>
      </w:r>
      <w:bookmarkStart w:id="366" w:name="x1-30001f55"/>
      <w:bookmarkEnd w:id="366"/>
    </w:p>
    <w:p>
      <w:pPr>
        <w:pStyle w:val="BodyText"/>
      </w:pPr>
      <w:r>
        <w:t xml:space="preserve">Character Technologies would be the clearest initial responsibility center. It made the</w:t>
      </w:r>
      <w:r>
        <w:t xml:space="preserve"> </w:t>
      </w:r>
      <w:r>
        <w:t xml:space="preserve">consumer deployment available and, on the pleaded record, operated the application through which</w:t>
      </w:r>
      <w:r>
        <w:t xml:space="preserve"> </w:t>
      </w:r>
      <w:r>
        <w:t xml:space="preserve">users selected or created characters and interacted with generated responses. The risk asserted was</w:t>
      </w:r>
      <w:r>
        <w:t xml:space="preserve"> </w:t>
      </w:r>
      <w:r>
        <w:t xml:space="preserve">tied to features an application operator ordinarily can govern: eligibility, persona presentation,</w:t>
      </w:r>
      <w:r>
        <w:t xml:space="preserve"> </w:t>
      </w:r>
      <w:r>
        <w:t xml:space="preserve">memory and continuity, interaction policies, crisis detection, warnings, monitoring, and</w:t>
      </w:r>
      <w:r>
        <w:t xml:space="preserve"> </w:t>
      </w:r>
      <w:r>
        <w:t xml:space="preserve">continued access. This is the vertically integrated setting in which the identification</w:t>
      </w:r>
      <w:r>
        <w:t xml:space="preserve"> </w:t>
      </w:r>
      <w:r>
        <w:t xml:space="preserve">component adds little. The value of the front door lies in confirming that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does not end attribution merely because no employee selected the final exchange,</w:t>
      </w:r>
      <w:r>
        <w:t xml:space="preserve"> </w:t>
      </w:r>
      <w:r>
        <w:t xml:space="preserve">and in opening the production obligation without requiring the claimant to identify an</w:t>
      </w:r>
      <w:r>
        <w:t xml:space="preserve"> </w:t>
      </w:r>
      <w:r>
        <w:t xml:space="preserve">engineer.</w:t>
      </w:r>
    </w:p>
    <w:p>
      <w:pPr>
        <w:pStyle w:val="BodyText"/>
      </w:pPr>
      <w:r>
        <w:t xml:space="preserve">The other named actors illustrate why “responsibility center” must remain risk specific. The</w:t>
      </w:r>
      <w:r>
        <w:t xml:space="preserve"> </w:t>
      </w:r>
      <w:r>
        <w:t xml:space="preserve">complaint alleged that the founders personally designed, directed, and released the technology and</w:t>
      </w:r>
      <w:r>
        <w:t xml:space="preserve"> </w:t>
      </w:r>
      <w:r>
        <w:t xml:space="preserve">that Google supplied substantial technical, financial, and organizational assistance with relevant</w:t>
      </w:r>
      <w:r>
        <w:t xml:space="preserve"> </w:t>
      </w:r>
      <w:r>
        <w:t xml:space="preserve">knowledge.</w:t>
      </w:r>
      <w:r>
        <w:rPr>
          <w:rStyle w:val="FootnoteReference"/>
        </w:rPr>
        <w:footnoteReference w:id="56"/>
      </w:r>
      <w:bookmarkStart w:id="370" w:name="x1-30004f56"/>
      <w:bookmarkEnd w:id="370"/>
      <w:r>
        <w:t xml:space="preserve"> </w:t>
      </w:r>
      <w:r>
        <w:t xml:space="preserve">Those allegations may support individual direct or aiding-and-abetting theories under governing</w:t>
      </w:r>
      <w:r>
        <w:t xml:space="preserve"> </w:t>
      </w:r>
      <w:r>
        <w:t xml:space="preserve">law. They would not make an investor, former employer, licensor, or infrastructure supplier a</w:t>
      </w:r>
      <w:r>
        <w:t xml:space="preserve"> </w:t>
      </w:r>
      <w:r>
        <w:t xml:space="preserve">deployment responsibility center by title alone. The statutory inquiry would ask whether each</w:t>
      </w:r>
      <w:r>
        <w:t xml:space="preserve"> </w:t>
      </w:r>
      <w:r>
        <w:t xml:space="preserve">enterprise retained material authority over the relational risk—for example, control of the relevant</w:t>
      </w:r>
      <w:r>
        <w:t xml:space="preserve"> </w:t>
      </w:r>
      <w:r>
        <w:t xml:space="preserve">model, application configuration, safety information, release condition, update, or stopping</w:t>
      </w:r>
      <w:r>
        <w:t xml:space="preserve"> </w:t>
      </w:r>
      <w:r>
        <w:t xml:space="preserve">decision. The production record would test that proposition rather than presume it from corporate</w:t>
      </w:r>
      <w:r>
        <w:t xml:space="preserve"> </w:t>
      </w:r>
      <w:r>
        <w:t xml:space="preserve">association.</w:t>
      </w:r>
    </w:p>
    <w:bookmarkEnd w:id="371"/>
    <w:bookmarkStart w:id="377" w:name="the-focused-production-record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372" w:name="x1-310002"/>
      <w:bookmarkEnd w:id="372"/>
      <w:r>
        <w:t xml:space="preserve">The Focused Production Record</w:t>
      </w:r>
    </w:p>
    <w:p>
      <w:pPr>
        <w:pStyle w:val="FirstParagraph"/>
      </w:pPr>
      <w:r>
        <w:t xml:space="preserve">After the threshold, Character Technologies would identify the deployed model and</w:t>
      </w:r>
      <w:r>
        <w:t xml:space="preserve"> </w:t>
      </w:r>
      <w:r>
        <w:t xml:space="preserve">application versions, the entities occupying the cascade, and the nonprivileged portions of the</w:t>
      </w:r>
      <w:r>
        <w:t xml:space="preserve"> </w:t>
      </w:r>
      <w:r>
        <w:t xml:space="preserve">charter and incident record proportionate to the pleaded risk. In this case, the focused</w:t>
      </w:r>
      <w:r>
        <w:t xml:space="preserve"> </w:t>
      </w:r>
      <w:r>
        <w:t xml:space="preserve">record would include the age-access rule and its enforcement; the character definition</w:t>
      </w:r>
      <w:r>
        <w:t xml:space="preserve"> </w:t>
      </w:r>
      <w:r>
        <w:t xml:space="preserve">and features attributable to its creator; system instructions governing relational and</w:t>
      </w:r>
      <w:r>
        <w:t xml:space="preserve"> </w:t>
      </w:r>
      <w:r>
        <w:t xml:space="preserve">self-harm interactions; memory and proactive-engagement settings; warnings actually</w:t>
      </w:r>
      <w:r>
        <w:t xml:space="preserve"> </w:t>
      </w:r>
      <w:r>
        <w:t xml:space="preserve">displayed to this user and their timing; relevant evaluation protocols and results; crisis</w:t>
      </w:r>
      <w:r>
        <w:t xml:space="preserve"> </w:t>
      </w:r>
      <w:r>
        <w:t xml:space="preserve">detections and interventions; material complaints and escalations received before the</w:t>
      </w:r>
      <w:r>
        <w:t xml:space="preserve"> </w:t>
      </w:r>
      <w:r>
        <w:t xml:space="preserve">events; release approvals; and available restriction, rollback, or account-intervention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That is not a demand for every model weight, every user’s conversation, or unrestricted</w:t>
      </w:r>
      <w:r>
        <w:t xml:space="preserve"> </w:t>
      </w:r>
      <w:r>
        <w:t xml:space="preserve">disclosure of a minor’s data. Rule 26 proportionality, privilege, privacy protections, trade-secret</w:t>
      </w:r>
      <w:r>
        <w:t xml:space="preserve"> </w:t>
      </w:r>
      <w:r>
        <w:t xml:space="preserve">orders, redaction, and staged discovery would continue to govern. A first stage could identify the</w:t>
      </w:r>
      <w:r>
        <w:t xml:space="preserve"> </w:t>
      </w:r>
      <w:r>
        <w:t xml:space="preserve">system, responsible entities, governing policies, and preserved incident-specific events. Broader</w:t>
      </w:r>
      <w:r>
        <w:t xml:space="preserve"> </w:t>
      </w:r>
      <w:r>
        <w:t xml:space="preserve">evaluation or design records would follow only as the pleaded theory and initial production</w:t>
      </w:r>
      <w:r>
        <w:t xml:space="preserve"> </w:t>
      </w:r>
      <w:r>
        <w:t xml:space="preserve">justified them. The rule converts “the algorithm” into bounded requests tied to the control</w:t>
      </w:r>
      <w:r>
        <w:t xml:space="preserve"> </w:t>
      </w:r>
      <w:r>
        <w:t xml:space="preserve">variables in Part I.</w:t>
      </w:r>
    </w:p>
    <w:p>
      <w:pPr>
        <w:pStyle w:val="BodyText"/>
      </w:pPr>
      <w:r>
        <w:t xml:space="preserve">The record would also preserve facts favorable to the defense. The pleadings</w:t>
      </w:r>
      <w:r>
        <w:t xml:space="preserve"> </w:t>
      </w:r>
      <w:r>
        <w:t xml:space="preserve">and motion papers disputed the effect of user selection, role play, user-edited messages,</w:t>
      </w:r>
      <w:r>
        <w:t xml:space="preserve"> </w:t>
      </w:r>
      <w:r>
        <w:t xml:space="preserve">platform rules, content blocking, and an in-chat notice that character statements were</w:t>
      </w:r>
      <w:r>
        <w:t xml:space="preserve"> </w:t>
      </w:r>
      <w:r>
        <w:t xml:space="preserve">fictional.</w:t>
      </w:r>
      <w:r>
        <w:rPr>
          <w:rStyle w:val="FootnoteReference"/>
        </w:rPr>
        <w:footnoteReference w:id="57"/>
      </w:r>
      <w:bookmarkStart w:id="376" w:name="x1-31001f57"/>
      <w:bookmarkEnd w:id="376"/>
      <w:r>
        <w:t xml:space="preserve"> </w:t>
      </w:r>
      <w:r>
        <w:t xml:space="preserve">A configuration and event record could show which character features came from a</w:t>
      </w:r>
      <w:r>
        <w:t xml:space="preserve"> </w:t>
      </w:r>
      <w:r>
        <w:t xml:space="preserve">third-party creator, which messages the user edited, which interventions fired, what warnings</w:t>
      </w:r>
      <w:r>
        <w:t xml:space="preserve"> </w:t>
      </w:r>
      <w:r>
        <w:t xml:space="preserve">appeared, and whether a proposed safeguard would have altered the sequence. Production</w:t>
      </w:r>
      <w:r>
        <w:t xml:space="preserve"> </w:t>
      </w:r>
      <w:r>
        <w:t xml:space="preserve">replaces categorical claims of unpredictability with evidence capable of supporting either</w:t>
      </w:r>
      <w:r>
        <w:t xml:space="preserve"> </w:t>
      </w:r>
      <w:r>
        <w:t xml:space="preserve">side.</w:t>
      </w:r>
    </w:p>
    <w:bookmarkEnd w:id="377"/>
    <w:bookmarkStart w:id="383" w:name="X19beaa8ed80344e55d5c57c6fd431dc5daf4bab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378" w:name="x1-320003"/>
      <w:bookmarkEnd w:id="378"/>
      <w:r>
        <w:t xml:space="preserve">From Record to Merits and Internal Allocation</w:t>
      </w:r>
    </w:p>
    <w:p>
      <w:pPr>
        <w:pStyle w:val="FirstParagraph"/>
      </w:pPr>
      <w:r>
        <w:t xml:space="preserve">With that record available, ordinary doctrine would do the remaining work. Product classification</w:t>
      </w:r>
      <w:r>
        <w:t xml:space="preserve"> </w:t>
      </w:r>
      <w:r>
        <w:t xml:space="preserve">would determine which design and warning rules applied. The process model would organize what</w:t>
      </w:r>
      <w:r>
        <w:t xml:space="preserve"> </w:t>
      </w:r>
      <w:r>
        <w:t xml:space="preserve">was foreseeable at the relevant time; feedback would identify notice; authority and resources would</w:t>
      </w:r>
      <w:r>
        <w:t xml:space="preserve"> </w:t>
      </w:r>
      <w:r>
        <w:t xml:space="preserve">locate feasible precautions; and the event sequence would test cause in fact and legal causation.</w:t>
      </w:r>
      <w:r>
        <w:t xml:space="preserve"> </w:t>
      </w:r>
      <w:r>
        <w:t xml:space="preserve">The empirical studies discussed in Part III identify variables that providers can now test, but</w:t>
      </w:r>
      <w:r>
        <w:t xml:space="preserve"> </w:t>
      </w:r>
      <w:r>
        <w:t xml:space="preserve">studies published after the 2023–2024 interactions cannot by themselves establish what a defendant</w:t>
      </w:r>
      <w:r>
        <w:t xml:space="preserve"> </w:t>
      </w:r>
      <w:r>
        <w:t xml:space="preserve">historically knew or what precaution was then feasible. The proper inquiry is temporal and</w:t>
      </w:r>
      <w:r>
        <w:t xml:space="preserve"> </w:t>
      </w:r>
      <w:r>
        <w:t xml:space="preserve">deployment specific.</w:t>
      </w:r>
    </w:p>
    <w:p>
      <w:pPr>
        <w:pStyle w:val="BodyText"/>
      </w:pPr>
      <w:r>
        <w:t xml:space="preserve">The same discipline applies to later safety measures. A post-incident self-harm</w:t>
      </w:r>
      <w:r>
        <w:t xml:space="preserve"> </w:t>
      </w:r>
      <w:r>
        <w:t xml:space="preserve">intervention may demonstrate that a control is technically describable, while evidence law and</w:t>
      </w:r>
      <w:r>
        <w:t xml:space="preserve"> </w:t>
      </w:r>
      <w:r>
        <w:t xml:space="preserve">the substantive standard determine whether it is admissible or proves a pre-incident</w:t>
      </w:r>
      <w:r>
        <w:t xml:space="preserve"> </w:t>
      </w:r>
      <w:r>
        <w:t xml:space="preserve">alternative.</w:t>
      </w:r>
      <w:r>
        <w:rPr>
          <w:rStyle w:val="FootnoteReference"/>
        </w:rPr>
        <w:footnoteReference w:id="58"/>
      </w:r>
      <w:bookmarkStart w:id="382" w:name="x1-32001f58"/>
      <w:bookmarkEnd w:id="382"/>
      <w:r>
        <w:t xml:space="preserve"> </w:t>
      </w:r>
      <w:r>
        <w:t xml:space="preserve">The architecture neither converts subsequent remediation into liability nor permits the absence of</w:t>
      </w:r>
      <w:r>
        <w:t xml:space="preserve"> </w:t>
      </w:r>
      <w:r>
        <w:t xml:space="preserve">contemporaneous records to be concealed behind a general claim that model behavior cannot be</w:t>
      </w:r>
      <w:r>
        <w:t xml:space="preserve"> </w:t>
      </w:r>
      <w:r>
        <w:t xml:space="preserve">reconstructed.</w:t>
      </w:r>
    </w:p>
    <w:p>
      <w:pPr>
        <w:pStyle w:val="BodyText"/>
      </w:pPr>
      <w:r>
        <w:t xml:space="preserve">Finally, the charter would separate external responsibility from individual recourse. It would</w:t>
      </w:r>
      <w:r>
        <w:t xml:space="preserve"> </w:t>
      </w:r>
      <w:r>
        <w:t xml:space="preserve">show who approved minor access, who owned relational and self-harm risks, what dissent reached</w:t>
      </w:r>
      <w:r>
        <w:t xml:space="preserve"> </w:t>
      </w:r>
      <w:r>
        <w:t xml:space="preserve">management, who controlled release resources, and whether anyone concealed an incident or</w:t>
      </w:r>
      <w:r>
        <w:t xml:space="preserve"> </w:t>
      </w:r>
      <w:r>
        <w:t xml:space="preserve">bypassed a constraint. A documented warning by a safety employee would support protection, not</w:t>
      </w:r>
      <w:r>
        <w:t xml:space="preserve"> </w:t>
      </w:r>
      <w:r>
        <w:t xml:space="preserve">an inference that the employee should become the claimant’s sole target. A knowing suppression or</w:t>
      </w:r>
      <w:r>
        <w:t xml:space="preserve"> </w:t>
      </w:r>
      <w:r>
        <w:t xml:space="preserve">unauthorized removal would remain available for individual consequences. Because no statutory</w:t>
      </w:r>
      <w:r>
        <w:t xml:space="preserve"> </w:t>
      </w:r>
      <w:r>
        <w:t xml:space="preserve">charter governed the historical deployment, this application is prospective: it shows the</w:t>
      </w:r>
      <w:r>
        <w:t xml:space="preserve"> </w:t>
      </w:r>
      <w:r>
        <w:t xml:space="preserve">allocation and evidence the proposed rule would require for the next high-impact relational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Garcia</w:t>
      </w:r>
      <w:r>
        <w:t xml:space="preserve"> </w:t>
      </w:r>
      <w:r>
        <w:t xml:space="preserve">thus demonstrates the architecture’s exact payoff. The initial enterprise was visible,</w:t>
      </w:r>
      <w:r>
        <w:t xml:space="preserve"> </w:t>
      </w:r>
      <w:r>
        <w:t xml:space="preserve">so identification was easy. The hard questions concerned the record behind the interface, the</w:t>
      </w:r>
      <w:r>
        <w:t xml:space="preserve"> </w:t>
      </w:r>
      <w:r>
        <w:t xml:space="preserve">division of retained control, and the causal significance of particular design choices. The production</w:t>
      </w:r>
      <w:r>
        <w:t xml:space="preserve"> </w:t>
      </w:r>
      <w:r>
        <w:t xml:space="preserve">rule reaches those questions without predetermining their answers. The settled case remains a</w:t>
      </w:r>
      <w:r>
        <w:t xml:space="preserve"> </w:t>
      </w:r>
      <w:r>
        <w:t xml:space="preserve">classification and pleading anchor; the worked example supplies the procedure that could have</w:t>
      </w:r>
      <w:r>
        <w:t xml:space="preserve"> </w:t>
      </w:r>
      <w:r>
        <w:t xml:space="preserve">carried its merits analysis forward.</w:t>
      </w:r>
    </w:p>
    <w:bookmarkEnd w:id="383"/>
    <w:bookmarkEnd w:id="384"/>
    <w:bookmarkStart w:id="413" w:name="X31a4ca865c453c085e104290ed227d76c86f9e0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85" w:name="x1-33000C"/>
      <w:bookmarkEnd w:id="385"/>
      <w:r>
        <w:t xml:space="preserve">Corporate and Individual Responsibility Run in Parallel</w:t>
      </w:r>
    </w:p>
    <w:p>
      <w:pPr>
        <w:pStyle w:val="FirstParagraph"/>
      </w:pPr>
      <w:r>
        <w:t xml:space="preserve">Three doctrines are easily conflated.</w:t>
      </w:r>
      <w:r>
        <w:t xml:space="preserve"> </w:t>
      </w:r>
      <w:r>
        <w:t xml:space="preserve">direct enterprise responsibility</w:t>
      </w:r>
      <w:r>
        <w:t xml:space="preserve"> </w:t>
      </w:r>
      <w:r>
        <w:t xml:space="preserve">concerns the organization’s</w:t>
      </w:r>
      <w:r>
        <w:t xml:space="preserve"> </w:t>
      </w:r>
      <w:r>
        <w:t xml:space="preserve">own design, policy, resource, supervision, warning, and deployment choices.</w:t>
      </w:r>
      <w:r>
        <w:t xml:space="preserve"> </w:t>
      </w:r>
      <w:r>
        <w:t xml:space="preserve">vicarious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attributes a person’s conduct to an organization under agency or another</w:t>
      </w:r>
      <w:r>
        <w:t xml:space="preserve"> </w:t>
      </w:r>
      <w:r>
        <w:t xml:space="preserve">relationship.</w:t>
      </w:r>
      <w:r>
        <w:t xml:space="preserve"> </w:t>
      </w:r>
      <w:r>
        <w:t xml:space="preserve">individual direct responsibility</w:t>
      </w:r>
      <w:r>
        <w:t xml:space="preserve"> </w:t>
      </w:r>
      <w:r>
        <w:t xml:space="preserve">concerns a person’s own tortious, criminal, or</w:t>
      </w:r>
      <w:r>
        <w:t xml:space="preserve"> </w:t>
      </w:r>
      <w:r>
        <w:t xml:space="preserve">otherwise actionable conduct. The three are analytically distinct. Direct enterprise and</w:t>
      </w:r>
      <w:r>
        <w:t xml:space="preserve"> </w:t>
      </w:r>
      <w:r>
        <w:t xml:space="preserve">individual liability can arise independently; vicarious liability ordinarily presupposes an</w:t>
      </w:r>
      <w:r>
        <w:t xml:space="preserve"> </w:t>
      </w:r>
      <w:r>
        <w:t xml:space="preserve">underlying employee tort even when the employee need not be named or personally</w:t>
      </w:r>
      <w:r>
        <w:t xml:space="preserve"> </w:t>
      </w:r>
      <w:r>
        <w:t xml:space="preserve">recoverable.</w:t>
      </w:r>
    </w:p>
    <w:p>
      <w:pPr>
        <w:pStyle w:val="BodyText"/>
      </w:pPr>
      <w:r>
        <w:t xml:space="preserve">The separation matters in both directions. A corporation does not avoid its own negligence</w:t>
      </w:r>
      <w:r>
        <w:t xml:space="preserve"> </w:t>
      </w:r>
      <w:r>
        <w:t xml:space="preserve">by identifying an employee who implemented the policy. An employee does not become liable</w:t>
      </w:r>
      <w:r>
        <w:t xml:space="preserve"> </w:t>
      </w:r>
      <w:r>
        <w:t xml:space="preserve">merely because the organization is liable. But acting for a corporation is not a general immunity</w:t>
      </w:r>
      <w:r>
        <w:t xml:space="preserve"> </w:t>
      </w:r>
      <w:r>
        <w:t xml:space="preserve">from one’s own tort. Restatement (Third) of Agency section 7.01 states that an agent is subject to</w:t>
      </w:r>
      <w:r>
        <w:t xml:space="preserve"> </w:t>
      </w:r>
      <w:r>
        <w:t xml:space="preserve">liability to a third party harmed by the agent’s tortious conduct, whether or not the principal is also</w:t>
      </w:r>
      <w:r>
        <w:t xml:space="preserve"> </w:t>
      </w:r>
      <w:r>
        <w:t xml:space="preserve">liable.</w:t>
      </w:r>
      <w:r>
        <w:rPr>
          <w:rStyle w:val="FootnoteReference"/>
        </w:rPr>
        <w:footnoteReference w:id="59"/>
      </w:r>
      <w:bookmarkStart w:id="389" w:name="x1-33001f59"/>
      <w:bookmarkEnd w:id="389"/>
      <w:r>
        <w:t xml:space="preserve"> </w:t>
      </w:r>
      <w:r>
        <w:t xml:space="preserve">The claimant must still prove that individual’s duty, conduct, causation, and any required state of</w:t>
      </w:r>
      <w:r>
        <w:t xml:space="preserve"> </w:t>
      </w:r>
      <w:r>
        <w:t xml:space="preserve">mind.</w:t>
      </w:r>
    </w:p>
    <w:p>
      <w:pPr>
        <w:pStyle w:val="BodyText"/>
      </w:pPr>
      <w:r>
        <w:t xml:space="preserve">Veil piercing answers another question. It permits exceptional disregard of entity</w:t>
      </w:r>
      <w:r>
        <w:t xml:space="preserve"> </w:t>
      </w:r>
      <w:r>
        <w:t xml:space="preserve">separateness where owners misuse the corporate form under jurisdiction-specific standards. It is</w:t>
      </w:r>
      <w:r>
        <w:t xml:space="preserve"> </w:t>
      </w:r>
      <w:r>
        <w:t xml:space="preserve">not ordinarily required to sue an officer, engineer, clinician, or manager for that person’s own</w:t>
      </w:r>
      <w:r>
        <w:t xml:space="preserve"> </w:t>
      </w:r>
      <w:r>
        <w:t xml:space="preserve">tort.</w:t>
      </w:r>
      <w:r>
        <w:rPr>
          <w:rStyle w:val="FootnoteReference"/>
        </w:rPr>
        <w:footnoteReference w:id="60"/>
      </w:r>
      <w:bookmarkStart w:id="394" w:name="x1-33004f60"/>
      <w:bookmarkEnd w:id="394"/>
      <w:r>
        <w:t xml:space="preserve"> </w:t>
      </w:r>
      <w:r>
        <w:t xml:space="preserve">Treating the two as synonyms either overprotects individual wrongdoing or threatens routine</w:t>
      </w:r>
      <w:r>
        <w:t xml:space="preserve"> </w:t>
      </w:r>
      <w:r>
        <w:t xml:space="preserve">employees with owners’ liabilities. The charter should maintain the line: to the extent applicable</w:t>
      </w:r>
      <w:r>
        <w:t xml:space="preserve"> </w:t>
      </w:r>
      <w:r>
        <w:t xml:space="preserve">law permits, ordinary good-faith work is allocated and indemnified internally; concealment,</w:t>
      </w:r>
      <w:r>
        <w:t xml:space="preserve"> </w:t>
      </w:r>
      <w:r>
        <w:t xml:space="preserve">falsification, and personally tortious action are evaluated directly.</w:t>
      </w:r>
    </w:p>
    <w:p>
      <w:pPr>
        <w:pStyle w:val="BodyText"/>
      </w:pPr>
      <w:r>
        <w:t xml:space="preserve">Corporate criminal law confirms that organization and individual can answer in parallel.</w:t>
      </w:r>
      <w:r>
        <w:t xml:space="preserve"> </w:t>
      </w:r>
      <w:r>
        <w:t xml:space="preserve">New York Central &amp; Hudson River Railroad Co. v. United States</w:t>
      </w:r>
      <w:r>
        <w:t xml:space="preserve"> </w:t>
      </w:r>
      <w:r>
        <w:t xml:space="preserve">upheld attribution of employee</w:t>
      </w:r>
      <w:r>
        <w:t xml:space="preserve"> </w:t>
      </w:r>
      <w:r>
        <w:t xml:space="preserve">conduct to a corporation for a federal offense committed within authority and for corporate</w:t>
      </w:r>
      <w:r>
        <w:t xml:space="preserve"> </w:t>
      </w:r>
      <w:r>
        <w:t xml:space="preserve">benefit.</w:t>
      </w:r>
      <w:r>
        <w:rPr>
          <w:rStyle w:val="FootnoteReference"/>
        </w:rPr>
        <w:footnoteReference w:id="61"/>
      </w:r>
      <w:bookmarkStart w:id="398" w:name="x1-33008f61"/>
      <w:bookmarkEnd w:id="398"/>
      <w:r>
        <w:t xml:space="preserve"> </w:t>
      </w:r>
      <w:r>
        <w:t xml:space="preserve">The responsible-corporate-officer doctrine, in tightly regulated public-welfare settings,</w:t>
      </w:r>
      <w:r>
        <w:t xml:space="preserve"> </w:t>
      </w:r>
      <w:r>
        <w:t xml:space="preserve">can impose liability on an officer with responsibility and authority to prevent</w:t>
      </w:r>
      <w:r>
        <w:t xml:space="preserve"> </w:t>
      </w:r>
      <w:r>
        <w:t xml:space="preserve">or correct violations even without conventional participation in the prohibited</w:t>
      </w:r>
      <w:r>
        <w:t xml:space="preserve"> </w:t>
      </w:r>
      <w:r>
        <w:t xml:space="preserve">act.</w:t>
      </w:r>
      <w:r>
        <w:rPr>
          <w:rStyle w:val="FootnoteReference"/>
        </w:rPr>
        <w:footnoteReference w:id="62"/>
      </w:r>
      <w:bookmarkStart w:id="402" w:name="x1-33011f62"/>
      <w:bookmarkEnd w:id="402"/>
      <w:r>
        <w:t xml:space="preserve"> </w:t>
      </w:r>
      <w:r>
        <w:t xml:space="preserve">State positive law can also authorize corporate liability for negligent homicide. In</w:t>
      </w:r>
      <w:r>
        <w:t xml:space="preserve"> </w:t>
      </w:r>
      <w:r>
        <w:t xml:space="preserve">Commonwealth v. Angelo Todesca Corp.</w:t>
      </w:r>
      <w:r>
        <w:t xml:space="preserve">, the Massachusetts Supreme Judicial</w:t>
      </w:r>
      <w:r>
        <w:t xml:space="preserve"> </w:t>
      </w:r>
      <w:r>
        <w:t xml:space="preserve">Court upheld a corporation’s conviction under that State’s motor-vehicle-homicide</w:t>
      </w:r>
      <w:r>
        <w:t xml:space="preserve"> </w:t>
      </w:r>
      <w:r>
        <w:t xml:space="preserve">statute for its driver’s negligent operation while conducting authorized corporate</w:t>
      </w:r>
      <w:r>
        <w:t xml:space="preserve"> </w:t>
      </w:r>
      <w:r>
        <w:t xml:space="preserve">business.</w:t>
      </w:r>
      <w:r>
        <w:rPr>
          <w:rStyle w:val="FootnoteReference"/>
        </w:rPr>
        <w:footnoteReference w:id="63"/>
      </w:r>
      <w:bookmarkStart w:id="406" w:name="x1-33014f63"/>
      <w:bookmarkEnd w:id="406"/>
      <w:r>
        <w:t xml:space="preserve"> </w:t>
      </w:r>
      <w:r>
        <w:t xml:space="preserve">That jurisdiction-specific rule should no more be generalized into a national AI offense than</w:t>
      </w:r>
      <w:r>
        <w:t xml:space="preserve"> </w:t>
      </w:r>
      <w:r>
        <w:t xml:space="preserve">Park</w:t>
      </w:r>
      <w:r>
        <w:t xml:space="preserve"> </w:t>
      </w:r>
      <w:r>
        <w:t xml:space="preserve">should be generalized into automatic executive liability. Together, the authorities demonstrate a</w:t>
      </w:r>
      <w:r>
        <w:t xml:space="preserve"> </w:t>
      </w:r>
      <w:r>
        <w:t xml:space="preserve">structural possibility: organizational liability need not displace individual responsibility, and</w:t>
      </w:r>
      <w:r>
        <w:t xml:space="preserve"> </w:t>
      </w:r>
      <w:r>
        <w:t xml:space="preserve">managerial authority matters where positive law makes it matter.</w:t>
      </w:r>
    </w:p>
    <w:p>
      <w:pPr>
        <w:pStyle w:val="BodyText"/>
      </w:pPr>
      <w:r>
        <w:t xml:space="preserve">Corporate fiduciary doctrine supplies a further, carefully bounded analogy.</w:t>
      </w:r>
      <w:r>
        <w:t xml:space="preserve"> </w:t>
      </w:r>
      <w:r>
        <w:t xml:space="preserve">Caremark</w:t>
      </w:r>
      <w:r>
        <w:t xml:space="preserve"> </w:t>
      </w:r>
      <w:r>
        <w:t xml:space="preserve">and its successors ask whether directors made a good-faith effort to establish</w:t>
      </w:r>
      <w:r>
        <w:t xml:space="preserve"> </w:t>
      </w:r>
      <w:r>
        <w:t xml:space="preserve">board-level information and reporting systems for mission-critical compliance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64"/>
      </w:r>
      <w:bookmarkStart w:id="412" w:name="x1-33017f64"/>
      <w:bookmarkEnd w:id="412"/>
      <w:r>
        <w:t xml:space="preserve"> </w:t>
      </w:r>
      <w:r>
        <w:t xml:space="preserve">These are fiduciary claims belonging to the corporation, not a free-standing tort duty owed by</w:t>
      </w:r>
      <w:r>
        <w:t xml:space="preserve"> </w:t>
      </w:r>
      <w:r>
        <w:t xml:space="preserve">directors to every person affected by AI. Their relevance is institutional. Law already recognizes</w:t>
      </w:r>
      <w:r>
        <w:t xml:space="preserve"> </w:t>
      </w:r>
      <w:r>
        <w:t xml:space="preserve">that an organization can fail through the absence of reporting architecture, escalation, and board</w:t>
      </w:r>
      <w:r>
        <w:t xml:space="preserve"> </w:t>
      </w:r>
      <w:r>
        <w:t xml:space="preserve">attention even when no director designed the failed component.</w:t>
      </w:r>
    </w:p>
    <w:p>
      <w:pPr>
        <w:pStyle w:val="BodyText"/>
      </w:pPr>
      <w:r>
        <w:t xml:space="preserve">The charter converts that insight into a deployment-specific record. It allows a court to</w:t>
      </w:r>
      <w:r>
        <w:t xml:space="preserve"> </w:t>
      </w:r>
      <w:r>
        <w:t xml:space="preserve">distinguish at least four situations: management declined resources after receiving a</w:t>
      </w:r>
      <w:r>
        <w:t xml:space="preserve"> </w:t>
      </w:r>
      <w:r>
        <w:t xml:space="preserve">documented risk; a deployer acted within an approved and reasonably monitored design;</w:t>
      </w:r>
      <w:r>
        <w:t xml:space="preserve"> </w:t>
      </w:r>
      <w:r>
        <w:t xml:space="preserve">an employee raised a concern that was suppressed; or a person knowingly bypassed a</w:t>
      </w:r>
      <w:r>
        <w:t xml:space="preserve"> </w:t>
      </w:r>
      <w:r>
        <w:t xml:space="preserve">constraint. Without an ex ante allocation, all four can look like undifferentiated “AI</w:t>
      </w:r>
      <w:r>
        <w:t xml:space="preserve"> </w:t>
      </w:r>
      <w:r>
        <w:t xml:space="preserve">failure.”</w:t>
      </w:r>
    </w:p>
    <w:bookmarkEnd w:id="413"/>
    <w:bookmarkStart w:id="479" w:name="the-mandatory-responsibility-charter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414" w:name="x1-34000D"/>
      <w:bookmarkEnd w:id="414"/>
      <w:r>
        <w:t xml:space="preserve">The Mandatory Responsibility Charter</w:t>
      </w:r>
    </w:p>
    <w:p>
      <w:pPr>
        <w:pStyle w:val="FirstParagraph"/>
      </w:pPr>
      <w:r>
        <w:t xml:space="preserve">For designated high-impact deployments, law should require a written responsibility charter before</w:t>
      </w:r>
      <w:r>
        <w:t xml:space="preserve"> </w:t>
      </w:r>
      <w:r>
        <w:t xml:space="preserve">release. “High impact” should be defined by the governing sector or enactment—for example,</w:t>
      </w:r>
      <w:r>
        <w:t xml:space="preserve"> </w:t>
      </w:r>
      <w:r>
        <w:t xml:space="preserve">systems that materially determine access to employment, credit, housing, education, health care,</w:t>
      </w:r>
      <w:r>
        <w:t xml:space="preserve"> </w:t>
      </w:r>
      <w:r>
        <w:t xml:space="preserve">liberty, essential public benefits, or physical safety, and relational systems offered to minors. A</w:t>
      </w:r>
      <w:r>
        <w:t xml:space="preserve"> </w:t>
      </w:r>
      <w:r>
        <w:t xml:space="preserve">general-purpose model does not become high impact merely because it could be used in those</w:t>
      </w:r>
      <w:r>
        <w:t xml:space="preserve"> </w:t>
      </w:r>
      <w:r>
        <w:t xml:space="preserve">settings; the obligation attaches to the covered deployment and to providers only for functions the</w:t>
      </w:r>
      <w:r>
        <w:t xml:space="preserve"> </w:t>
      </w:r>
      <w:r>
        <w:t xml:space="preserve">sectoral rule assigns them.</w:t>
      </w:r>
    </w:p>
    <w:p>
      <w:pPr>
        <w:pStyle w:val="BodyText"/>
      </w:pPr>
      <w:r>
        <w:t xml:space="preserve">The charter is not an aspirational ethics statement. It is a control instrument tied to a</w:t>
      </w:r>
      <w:r>
        <w:t xml:space="preserve"> </w:t>
      </w:r>
      <w:r>
        <w:t xml:space="preserve">named deployment, version, and operating context. At minimum, it should contain the</w:t>
      </w:r>
      <w:r>
        <w:t xml:space="preserve"> </w:t>
      </w:r>
      <w:r>
        <w:t xml:space="preserve">following:</w:t>
      </w:r>
    </w:p>
    <w:p>
      <w:pPr>
        <w:pStyle w:val="BodyText"/>
      </w:pPr>
      <w:bookmarkStart w:id="415" w:name="x1-34001r4"/>
      <w:bookmarkEnd w:id="415"/>
    </w:p>
    <w:bookmarkStart w:id="416" w:name="TBL-8"/>
    <w:p>
      <w:pPr>
        <w:pStyle w:val="TableCaption"/>
      </w:pPr>
      <w:r>
        <w:t xml:space="preserve">Table 4: </w:t>
      </w:r>
      <w:r>
        <w:t xml:space="preserve">Minimum Contents of a Responsibility Charter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4: Minimum Contents of a Responsibility Charter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gridSpan w:val="3"/>
          </w:tcPr>
          <w:p>
            <w:pPr>
              <w:pStyle w:val="Compact"/>
              <w:keepLines/>
            </w:pPr>
          </w:p>
        </w:tc>
      </w:tr>
      <w:tr>
        <w:trPr>
          <w:cantSplit/>
          <w:tblHeader/>
        </w:trPr>
        <w:tc>
          <w:tcPr/>
          <w:p>
            <w:pPr>
              <w:keepLines/>
              <w:jc w:val="left"/>
            </w:pPr>
            <w:r>
              <w:t xml:space="preserve">Component</w:t>
            </w:r>
          </w:p>
        </w:tc>
        <w:tc>
          <w:tcPr/>
          <w:p>
            <w:pPr>
              <w:keepLines/>
              <w:jc w:val="left"/>
            </w:pPr>
            <w:r>
              <w:t xml:space="preserve">Required</w:t>
            </w:r>
            <w:r>
              <w:t xml:space="preserve"> </w:t>
            </w:r>
            <w:r>
              <w:t xml:space="preserve">allocation</w:t>
            </w:r>
          </w:p>
        </w:tc>
        <w:tc>
          <w:tcPr/>
          <w:p>
            <w:pPr>
              <w:keepLines/>
              <w:jc w:val="left"/>
            </w:pPr>
            <w:r>
              <w:t xml:space="preserve">Evidentiary</w:t>
            </w:r>
            <w:r>
              <w:t xml:space="preserve"> </w:t>
            </w:r>
            <w:r>
              <w:t xml:space="preserve">function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keepLines/>
            </w:pPr>
          </w:p>
        </w:tc>
      </w:tr>
      <w:tr>
        <w:trPr>
          <w:cantSplit/>
        </w:trPr>
        <w:tc>
          <w:tcPr/>
          <w:p>
            <w:pPr>
              <w:pStyle w:val="Compact"/>
              <w:keepLines/>
            </w:pPr>
          </w:p>
        </w:tc>
        <w:tc>
          <w:tcPr/>
          <w:p>
            <w:pPr>
              <w:pStyle w:val="Compact"/>
              <w:keepLines/>
            </w:pPr>
          </w:p>
        </w:tc>
        <w:tc>
          <w:tcPr/>
          <w:p>
            <w:pPr>
              <w:pStyle w:val="Compact"/>
              <w:keepLines/>
            </w:pP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keepLines/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purpose,</w:t>
            </w:r>
            <w:r>
              <w:t xml:space="preserve"> </w:t>
            </w:r>
            <w:r>
              <w:t xml:space="preserve">population,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tools,</w:t>
            </w:r>
            <w:r>
              <w:t xml:space="preserve"> </w:t>
            </w:r>
            <w:r>
              <w:t xml:space="preserve">vendors,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threshold.</w:t>
            </w:r>
          </w:p>
        </w:tc>
        <w:tc>
          <w:tcPr/>
          <w:p>
            <w:pPr>
              <w:keepLines/>
              <w:jc w:val="left"/>
            </w:pPr>
            <w:r>
              <w:t xml:space="preserve">Defines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system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issue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distinguishes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modification.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Named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owners</w:t>
            </w:r>
          </w:p>
        </w:tc>
        <w:tc>
          <w:tcPr/>
          <w:p>
            <w:pPr>
              <w:keepLines/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responsible</w:t>
            </w:r>
            <w:r>
              <w:t xml:space="preserve"> </w:t>
            </w:r>
            <w:r>
              <w:t xml:space="preserve">executive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owner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hazard,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adequate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resources.</w:t>
            </w:r>
          </w:p>
        </w:tc>
        <w:tc>
          <w:tcPr/>
          <w:p>
            <w:pPr>
              <w:keepLines/>
              <w:jc w:val="left"/>
            </w:pPr>
            <w:r>
              <w:t xml:space="preserve">Identifies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commission</w:t>
            </w:r>
            <w:r>
              <w:t xml:space="preserve"> </w:t>
            </w:r>
            <w:r>
              <w:t xml:space="preserve">mitigation.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sign-off</w:t>
            </w:r>
          </w:p>
        </w:tc>
        <w:tc>
          <w:tcPr/>
          <w:p>
            <w:pPr>
              <w:keepLines/>
              <w:jc w:val="left"/>
            </w:pPr>
            <w:r>
              <w:t xml:space="preserve">Specified</w:t>
            </w:r>
            <w:r>
              <w:t xml:space="preserve"> </w:t>
            </w:r>
            <w:r>
              <w:t xml:space="preserve">approvers,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considered,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dissent,</w:t>
            </w:r>
            <w:r>
              <w:t xml:space="preserve"> </w:t>
            </w:r>
            <w:r>
              <w:t xml:space="preserve">conditions,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expiration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date.</w:t>
            </w:r>
          </w:p>
        </w:tc>
        <w:tc>
          <w:tcPr/>
          <w:p>
            <w:pPr>
              <w:keepLines/>
              <w:jc w:val="left"/>
            </w:pPr>
            <w:r>
              <w:t xml:space="preserve">Records</w:t>
            </w:r>
            <w:r>
              <w:t xml:space="preserve"> </w:t>
            </w:r>
            <w:r>
              <w:t xml:space="preserve">authorization,</w:t>
            </w:r>
            <w:r>
              <w:t xml:space="preserve"> </w:t>
            </w:r>
            <w:r>
              <w:t xml:space="preserve">knowledge,</w:t>
            </w:r>
            <w:r>
              <w:t xml:space="preserve"> </w:t>
            </w:r>
            <w:r>
              <w:t xml:space="preserve">alternatives,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limits.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Protected</w:t>
            </w:r>
            <w:r>
              <w:t xml:space="preserve"> </w:t>
            </w:r>
            <w:r>
              <w:t xml:space="preserve">escalation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dissent</w:t>
            </w:r>
          </w:p>
        </w:tc>
        <w:tc>
          <w:tcPr/>
          <w:p>
            <w:pPr>
              <w:keepLines/>
              <w:jc w:val="left"/>
            </w:pPr>
            <w:r>
              <w:t xml:space="preserve">Channels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ordinary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line;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reviewer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governing</w:t>
            </w:r>
            <w:r>
              <w:t xml:space="preserve"> </w:t>
            </w:r>
            <w:r>
              <w:t xml:space="preserve">body;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deadlines.</w:t>
            </w:r>
          </w:p>
        </w:tc>
        <w:tc>
          <w:tcPr/>
          <w:p>
            <w:pPr>
              <w:keepLines/>
              <w:jc w:val="left"/>
            </w:pPr>
            <w:r>
              <w:t xml:space="preserve">Preserves</w:t>
            </w:r>
            <w:r>
              <w:t xml:space="preserve"> </w:t>
            </w:r>
            <w:r>
              <w:t xml:space="preserve">notice,</w:t>
            </w:r>
            <w:r>
              <w:t xml:space="preserve"> </w:t>
            </w:r>
            <w:r>
              <w:t xml:space="preserve">prevents</w:t>
            </w:r>
            <w:r>
              <w:t xml:space="preserve"> </w:t>
            </w:r>
            <w:r>
              <w:t xml:space="preserve">suppression,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separates</w:t>
            </w:r>
            <w:r>
              <w:t xml:space="preserve"> </w:t>
            </w:r>
            <w:r>
              <w:t xml:space="preserve">warning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concealment.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Stop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rollback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keepLines/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pause,</w:t>
            </w:r>
            <w:r>
              <w:t xml:space="preserve"> </w:t>
            </w:r>
            <w:r>
              <w:t xml:space="preserve">restrict,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decommission;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times;</w:t>
            </w:r>
            <w:r>
              <w:t xml:space="preserve"> </w:t>
            </w:r>
            <w:r>
              <w:t xml:space="preserve">tested</w:t>
            </w:r>
            <w:r>
              <w:t xml:space="preserve"> </w:t>
            </w:r>
            <w:r>
              <w:t xml:space="preserve">procedures.</w:t>
            </w:r>
          </w:p>
        </w:tc>
        <w:tc>
          <w:tcPr/>
          <w:p>
            <w:pPr>
              <w:keepLines/>
              <w:jc w:val="left"/>
            </w:pPr>
            <w:r>
              <w:t xml:space="preserve">Establishes</w:t>
            </w:r>
            <w:r>
              <w:t xml:space="preserve"> </w:t>
            </w:r>
            <w:r>
              <w:t xml:space="preserve">practical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prevent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tests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oversight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real.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keepLines/>
              <w:jc w:val="left"/>
            </w:pPr>
            <w:r>
              <w:t xml:space="preserve">Versions,</w:t>
            </w:r>
            <w:r>
              <w:t xml:space="preserve"> </w:t>
            </w:r>
            <w:r>
              <w:t xml:space="preserve">prompts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policies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proportionate,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decisions,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corrective</w:t>
            </w:r>
            <w:r>
              <w:t xml:space="preserve"> </w:t>
            </w:r>
            <w:r>
              <w:t xml:space="preserve">actions;</w:t>
            </w:r>
            <w:r>
              <w:t xml:space="preserve"> </w:t>
            </w:r>
            <w:r>
              <w:t xml:space="preserve">retention</w:t>
            </w:r>
            <w:r>
              <w:t xml:space="preserve"> </w:t>
            </w:r>
            <w:r>
              <w:t xml:space="preserve">schedule.</w:t>
            </w:r>
          </w:p>
        </w:tc>
        <w:tc>
          <w:tcPr/>
          <w:p>
            <w:pPr>
              <w:keepLines/>
              <w:jc w:val="left"/>
            </w:pPr>
            <w:r>
              <w:t xml:space="preserve">Makes</w:t>
            </w:r>
            <w:r>
              <w:t xml:space="preserve"> </w:t>
            </w:r>
            <w:r>
              <w:t xml:space="preserve">attribution,</w:t>
            </w:r>
            <w:r>
              <w:t xml:space="preserve"> </w:t>
            </w:r>
            <w:r>
              <w:t xml:space="preserve">causation,</w:t>
            </w:r>
            <w:r>
              <w:t xml:space="preserve"> </w:t>
            </w:r>
            <w:r>
              <w:t xml:space="preserve">discovery,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privacy</w:t>
            </w:r>
            <w:r>
              <w:t xml:space="preserve"> </w:t>
            </w:r>
            <w:r>
              <w:t xml:space="preserve">minimization.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keepLines/>
              <w:jc w:val="left"/>
            </w:pPr>
            <w:r>
              <w:t xml:space="preserve">Reviewer</w:t>
            </w:r>
            <w:r>
              <w:t xml:space="preserve"> </w:t>
            </w:r>
            <w:r>
              <w:t xml:space="preserve">independence,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scope,</w:t>
            </w:r>
            <w:r>
              <w:t xml:space="preserve"> </w:t>
            </w:r>
            <w:r>
              <w:t xml:space="preserve">conflict</w:t>
            </w:r>
            <w:r>
              <w:t xml:space="preserve"> </w:t>
            </w:r>
            <w:r>
              <w:t xml:space="preserve">rules,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remediation</w:t>
            </w:r>
            <w:r>
              <w:t xml:space="preserve"> </w:t>
            </w:r>
            <w:r>
              <w:t xml:space="preserve">tracking.</w:t>
            </w:r>
          </w:p>
        </w:tc>
        <w:tc>
          <w:tcPr/>
          <w:p>
            <w:pPr>
              <w:keepLines/>
              <w:jc w:val="left"/>
            </w:pPr>
            <w:r>
              <w:t xml:space="preserve">Tests</w:t>
            </w:r>
            <w:r>
              <w:t xml:space="preserve"> </w:t>
            </w:r>
            <w:r>
              <w:t xml:space="preserve">self-assessment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documents</w:t>
            </w:r>
            <w:r>
              <w:t xml:space="preserve"> </w:t>
            </w:r>
            <w:r>
              <w:t xml:space="preserve">feasible</w:t>
            </w:r>
            <w:r>
              <w:t xml:space="preserve"> </w:t>
            </w:r>
            <w:r>
              <w:t xml:space="preserve">controls.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Internal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recourse</w:t>
            </w:r>
          </w:p>
        </w:tc>
        <w:tc>
          <w:tcPr/>
          <w:p>
            <w:pPr>
              <w:keepLines/>
              <w:jc w:val="left"/>
            </w:pPr>
            <w:r>
              <w:t xml:space="preserve">Indemnification,</w:t>
            </w:r>
            <w:r>
              <w:t xml:space="preserve"> </w:t>
            </w:r>
            <w:r>
              <w:t xml:space="preserve">discipline,</w:t>
            </w:r>
            <w:r>
              <w:t xml:space="preserve"> </w:t>
            </w:r>
            <w:r>
              <w:t xml:space="preserve">contribution,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safe-harbor</w:t>
            </w:r>
            <w:r>
              <w:t xml:space="preserve"> </w:t>
            </w:r>
            <w:r>
              <w:t xml:space="preserve">standards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ex</w:t>
            </w:r>
            <w:r>
              <w:t xml:space="preserve"> </w:t>
            </w:r>
            <w:r>
              <w:t xml:space="preserve">ante.</w:t>
            </w:r>
          </w:p>
        </w:tc>
        <w:tc>
          <w:tcPr/>
          <w:p>
            <w:pPr>
              <w:keepLines/>
              <w:jc w:val="left"/>
            </w:pPr>
            <w:r>
              <w:t xml:space="preserve">Protects</w:t>
            </w:r>
            <w:r>
              <w:t xml:space="preserve"> </w:t>
            </w:r>
            <w:r>
              <w:t xml:space="preserve">good-faith</w:t>
            </w:r>
            <w:r>
              <w:t xml:space="preserve"> </w:t>
            </w:r>
            <w:r>
              <w:t xml:space="preserve">compliance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recourse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knowing</w:t>
            </w:r>
            <w:r>
              <w:t xml:space="preserve"> </w:t>
            </w:r>
            <w:r>
              <w:t xml:space="preserve">misconduct.</w:t>
            </w:r>
          </w:p>
        </w:tc>
      </w:tr>
      <w:tr>
        <w:trPr>
          <w:cantSplit/>
        </w:trPr>
        <w:tc>
          <w:tcPr/>
          <w:p>
            <w:pPr>
              <w:keepLines/>
              <w:jc w:val="left"/>
            </w:pPr>
            <w:r>
              <w:t xml:space="preserve">External-rights</w:t>
            </w:r>
            <w:r>
              <w:t xml:space="preserve"> </w:t>
            </w:r>
            <w:r>
              <w:t xml:space="preserve">savings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keepLines/>
              <w:jc w:val="left"/>
            </w:pPr>
            <w:r>
              <w:t xml:space="preserve">Express</w:t>
            </w:r>
            <w:r>
              <w:t xml:space="preserve"> </w:t>
            </w:r>
            <w:r>
              <w:t xml:space="preserve">statement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charter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waive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narrow</w:t>
            </w:r>
            <w:r>
              <w:t xml:space="preserve"> </w:t>
            </w:r>
            <w:r>
              <w:t xml:space="preserve">claimant</w:t>
            </w:r>
            <w:r>
              <w:t xml:space="preserve"> </w:t>
            </w:r>
            <w:r>
              <w:t xml:space="preserve">rights,</w:t>
            </w:r>
            <w:r>
              <w:t xml:space="preserve"> </w:t>
            </w:r>
            <w:r>
              <w:t xml:space="preserve">statutory</w:t>
            </w:r>
            <w:r>
              <w:t xml:space="preserve"> </w:t>
            </w:r>
            <w:r>
              <w:t xml:space="preserve">duties,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regulatory</w:t>
            </w:r>
            <w:r>
              <w:t xml:space="preserve"> </w:t>
            </w:r>
            <w:r>
              <w:t xml:space="preserve">powers.</w:t>
            </w:r>
          </w:p>
        </w:tc>
        <w:tc>
          <w:tcPr/>
          <w:p>
            <w:pPr>
              <w:keepLines/>
              <w:jc w:val="left"/>
            </w:pPr>
            <w:r>
              <w:t xml:space="preserve">Prevents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governance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becoming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exculpatory</w:t>
            </w:r>
            <w:r>
              <w:t xml:space="preserve"> </w:t>
            </w:r>
            <w:r>
              <w:t xml:space="preserve">contract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outsiders.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pStyle w:val="Compact"/>
              <w:keepLines/>
            </w:pPr>
          </w:p>
        </w:tc>
      </w:tr>
    </w:tbl>
    <w:bookmarkEnd w:id="416"/>
    <w:p>
      <w:pPr>
        <w:pStyle w:val="BodyText"/>
      </w:pPr>
      <w:r>
        <w:t xml:space="preserve">The components have distinct institutional pedigrees. Named owners, adequate</w:t>
      </w:r>
      <w:r>
        <w:t xml:space="preserve"> </w:t>
      </w:r>
      <w:r>
        <w:t xml:space="preserve">authority and resources, and documented approval track the Organizational Sentencing</w:t>
      </w:r>
      <w:r>
        <w:t xml:space="preserve"> </w:t>
      </w:r>
      <w:r>
        <w:t xml:space="preserve">Guidelines, FAA accountable-executive rules, and NIST’s assignment of lifecycle and executive</w:t>
      </w:r>
      <w:r>
        <w:t xml:space="preserve"> </w:t>
      </w:r>
      <w:r>
        <w:t xml:space="preserve">responsibility.</w:t>
      </w:r>
      <w:r>
        <w:rPr>
          <w:rStyle w:val="FootnoteReference"/>
        </w:rPr>
        <w:footnoteReference w:id="65"/>
      </w:r>
      <w:bookmarkStart w:id="423" w:name="x1-34002f65"/>
      <w:bookmarkEnd w:id="423"/>
      <w:r>
        <w:t xml:space="preserve"> </w:t>
      </w:r>
      <w:r>
        <w:t xml:space="preserve">Protected escalation tracks compliance-program reporting channels and sectoral anti-retaliation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66"/>
      </w:r>
      <w:bookmarkStart w:id="427" w:name="x1-34007f66"/>
      <w:bookmarkEnd w:id="427"/>
      <w:r>
        <w:t xml:space="preserve"> </w:t>
      </w:r>
      <w:r>
        <w:t xml:space="preserve">Stop and rollback authority and configuration records map respectively to NIST’s</w:t>
      </w:r>
      <w:r>
        <w:t xml:space="preserve"> </w:t>
      </w:r>
      <w:r>
        <w:t xml:space="preserve">decommissioning and post-deployment response functions and the EU AI Act’s</w:t>
      </w:r>
      <w:r>
        <w:t xml:space="preserve"> </w:t>
      </w:r>
      <w:r>
        <w:t xml:space="preserve">intervention and logging requirements; continuing assessment, assurance, and</w:t>
      </w:r>
      <w:r>
        <w:t xml:space="preserve"> </w:t>
      </w:r>
      <w:r>
        <w:t xml:space="preserve">recordkeeping map to FAA safety-management rules. Independent-review safeguards draw</w:t>
      </w:r>
      <w:r>
        <w:t xml:space="preserve"> </w:t>
      </w:r>
      <w:r>
        <w:t xml:space="preserve">instead on ex ante audit and disclosure proposals designed to preserve investigation</w:t>
      </w:r>
      <w:r>
        <w:t xml:space="preserve"> </w:t>
      </w:r>
      <w:r>
        <w:t xml:space="preserve">incentives.</w:t>
      </w:r>
      <w:r>
        <w:rPr>
          <w:rStyle w:val="FootnoteReference"/>
        </w:rPr>
        <w:footnoteReference w:id="67"/>
      </w:r>
      <w:bookmarkStart w:id="432" w:name="x1-34010f67"/>
      <w:bookmarkEnd w:id="432"/>
      <w:r>
        <w:t xml:space="preserve"> </w:t>
      </w:r>
      <w:r>
        <w:t xml:space="preserve">Internal recourse has a separate genealogy in conditional indemnification and compliance</w:t>
      </w:r>
      <w:r>
        <w:t xml:space="preserve"> </w:t>
      </w:r>
      <w:r>
        <w:t xml:space="preserve">enforcement, while the external-rights savings clause preserves the public-policy limits on private</w:t>
      </w:r>
      <w:r>
        <w:t xml:space="preserve"> </w:t>
      </w:r>
      <w:r>
        <w:t xml:space="preserve">exculpation.</w:t>
      </w:r>
      <w:r>
        <w:rPr>
          <w:rStyle w:val="FootnoteReference"/>
        </w:rPr>
        <w:footnoteReference w:id="68"/>
      </w:r>
      <w:bookmarkStart w:id="437" w:name="x1-34014f68"/>
      <w:bookmarkEnd w:id="437"/>
    </w:p>
    <w:p>
      <w:pPr>
        <w:pStyle w:val="BodyText"/>
      </w:pPr>
      <w:r>
        <w:t xml:space="preserve">This is not a governance scheme invented from whole cloth. The Organizational</w:t>
      </w:r>
      <w:r>
        <w:t xml:space="preserve"> </w:t>
      </w:r>
      <w:r>
        <w:t xml:space="preserve">Sentencing Guidelines define an effective compliance program through leadership</w:t>
      </w:r>
      <w:r>
        <w:t xml:space="preserve"> </w:t>
      </w:r>
      <w:r>
        <w:t xml:space="preserve">responsibility, operational responsibility with adequate resources and authority, training,</w:t>
      </w:r>
      <w:r>
        <w:t xml:space="preserve"> </w:t>
      </w:r>
      <w:r>
        <w:t xml:space="preserve">monitoring, reporting without fear of retaliation, enforcement, response, and periodic risk</w:t>
      </w:r>
      <w:r>
        <w:t xml:space="preserve"> </w:t>
      </w:r>
      <w:r>
        <w:t xml:space="preserve">assessment.</w:t>
      </w:r>
      <w:r>
        <w:rPr>
          <w:rStyle w:val="FootnoteReference"/>
        </w:rPr>
        <w:footnoteReference w:id="69"/>
      </w:r>
      <w:bookmarkStart w:id="441" w:name="x1-34018f69"/>
      <w:bookmarkEnd w:id="441"/>
      <w:r>
        <w:t xml:space="preserve"> </w:t>
      </w:r>
      <w:r>
        <w:t xml:space="preserve">The Department of Justice’s compliance-program guidance asks whether a program is well designed,</w:t>
      </w:r>
      <w:r>
        <w:t xml:space="preserve"> </w:t>
      </w:r>
      <w:r>
        <w:t xml:space="preserve">adequately resourced and empowered, and effective in practice; its 2024 update specifically asks how a</w:t>
      </w:r>
      <w:r>
        <w:t xml:space="preserve"> </w:t>
      </w:r>
      <w:r>
        <w:t xml:space="preserve">company governs AI risks, controls unintended consequences, and addresses deliberate or reckless</w:t>
      </w:r>
      <w:r>
        <w:t xml:space="preserve"> </w:t>
      </w:r>
      <w:r>
        <w:t xml:space="preserve">misuse.</w:t>
      </w:r>
      <w:r>
        <w:rPr>
          <w:rStyle w:val="FootnoteReference"/>
        </w:rPr>
        <w:footnoteReference w:id="70"/>
      </w:r>
      <w:bookmarkStart w:id="446" w:name="x1-34021f70"/>
      <w:bookmarkEnd w:id="446"/>
      <w:r>
        <w:t xml:space="preserve"> </w:t>
      </w:r>
      <w:r>
        <w:t xml:space="preserve">These materials arise in criminal enforcement and sentencing. They are transferable here not as</w:t>
      </w:r>
      <w:r>
        <w:t xml:space="preserve"> </w:t>
      </w:r>
      <w:r>
        <w:t xml:space="preserve">liability rules, but because they operationalize information, authority, incentives, and response</w:t>
      </w:r>
      <w:r>
        <w:t xml:space="preserve"> </w:t>
      </w:r>
      <w:r>
        <w:t xml:space="preserve">inside complex enterprises.</w:t>
      </w:r>
    </w:p>
    <w:p>
      <w:pPr>
        <w:pStyle w:val="BodyText"/>
      </w:pPr>
      <w:r>
        <w:t xml:space="preserve">Aviation supplies a stronger safety-system analogy. On a staged implementation</w:t>
      </w:r>
      <w:r>
        <w:t xml:space="preserve"> </w:t>
      </w:r>
      <w:r>
        <w:t xml:space="preserve">schedule, federal rules require specified aviation organizations to develop and</w:t>
      </w:r>
      <w:r>
        <w:t xml:space="preserve"> </w:t>
      </w:r>
      <w:r>
        <w:t xml:space="preserve">maintain an organization-wide safety management system with accountable executive</w:t>
      </w:r>
      <w:r>
        <w:t xml:space="preserve"> </w:t>
      </w:r>
      <w:r>
        <w:t xml:space="preserve">responsibility, hazard identification, risk controls, assurance, training, communication, and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71"/>
      </w:r>
      <w:bookmarkStart w:id="452" w:name="x1-34024f71"/>
      <w:bookmarkEnd w:id="452"/>
      <w:r>
        <w:t xml:space="preserve"> </w:t>
      </w:r>
      <w:r>
        <w:t xml:space="preserve">The Aviation Safety Reporting Program seeks candid safety information through</w:t>
      </w:r>
      <w:r>
        <w:t xml:space="preserve"> </w:t>
      </w:r>
      <w:r>
        <w:t xml:space="preserve">third-party reporting and a qualified, nonpunitive enforcement policy rather than blanket</w:t>
      </w:r>
      <w:r>
        <w:t xml:space="preserve"> </w:t>
      </w:r>
      <w:r>
        <w:t xml:space="preserve">immunity.</w:t>
      </w:r>
      <w:r>
        <w:rPr>
          <w:rStyle w:val="FootnoteReference"/>
        </w:rPr>
        <w:footnoteReference w:id="72"/>
      </w:r>
      <w:bookmarkStart w:id="457" w:name="x1-34028f72"/>
      <w:bookmarkEnd w:id="457"/>
      <w:r>
        <w:t xml:space="preserve"> </w:t>
      </w:r>
      <w:r>
        <w:t xml:space="preserve">The analogy is functional: AI deployments, like aviation systems, couple technical components with</w:t>
      </w:r>
      <w:r>
        <w:t xml:space="preserve"> </w:t>
      </w:r>
      <w:r>
        <w:t xml:space="preserve">operators and organizational decisions, and near-miss information is easily suppressed if disclosure</w:t>
      </w:r>
      <w:r>
        <w:t xml:space="preserve"> </w:t>
      </w:r>
      <w:r>
        <w:t xml:space="preserve">brings only personal exposure.</w:t>
      </w:r>
    </w:p>
    <w:p>
      <w:pPr>
        <w:pStyle w:val="BodyText"/>
      </w:pPr>
      <w:r>
        <w:t xml:space="preserve">AI and medical governance sources converge on the same elements.</w:t>
      </w:r>
      <w:r>
        <w:t xml:space="preserve"> </w:t>
      </w:r>
      <w:r>
        <w:t xml:space="preserve">NIST calls for documented lifecycle roles, executive responsibility, external</w:t>
      </w:r>
      <w:r>
        <w:t xml:space="preserve"> </w:t>
      </w:r>
      <w:r>
        <w:t xml:space="preserve">feedback, risk-prioritized resources, third-party controls,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73"/>
      </w:r>
      <w:bookmarkStart w:id="461" w:name="x1-34031f73"/>
      <w:bookmarkEnd w:id="461"/>
      <w:r>
        <w:t xml:space="preserve"> </w:t>
      </w:r>
      <w:r>
        <w:t xml:space="preserve">A 2026 consensus produced by more than forty Chinese medical and research institutions organizes</w:t>
      </w:r>
      <w:r>
        <w:t xml:space="preserve"> </w:t>
      </w:r>
      <w:r>
        <w:t xml:space="preserve">medical-AI governance around access evaluation, clinical application, patient rights, data</w:t>
      </w:r>
      <w:r>
        <w:t xml:space="preserve"> </w:t>
      </w:r>
      <w:r>
        <w:t xml:space="preserve">governance, risk management, and competence; it specifically identifies multidisciplinary review,</w:t>
      </w:r>
      <w:r>
        <w:t xml:space="preserve"> </w:t>
      </w:r>
      <w:r>
        <w:t xml:space="preserve">real-world validation, traceability, dynamic monitoring, human–machine responsibility,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74"/>
      </w:r>
      <w:bookmarkStart w:id="465" w:name="x1-34034f74"/>
      <w:bookmarkEnd w:id="465"/>
      <w:r>
        <w:t xml:space="preserve"> </w:t>
      </w:r>
      <w:r>
        <w:t xml:space="preserve">Recent medical scholarship similarly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 treats</w:t>
      </w:r>
      <w:r>
        <w:t xml:space="preserve"> </w:t>
      </w:r>
      <w:r>
        <w:t xml:space="preserve">oversight as a property of the clinical system rather than a clinician’s ceremonial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75"/>
      </w:r>
      <w:bookmarkStart w:id="469" w:name="x1-34037f75"/>
      <w:bookmarkEnd w:id="469"/>
    </w:p>
    <w:p>
      <w:pPr>
        <w:pStyle w:val="BodyText"/>
      </w:pPr>
      <w:r>
        <w:t xml:space="preserve">The convergence is the point. Criminal compliance, aviation safety, NIST risk management,</w:t>
      </w:r>
      <w:r>
        <w:t xml:space="preserve"> </w:t>
      </w:r>
      <w:r>
        <w:t xml:space="preserve">and medical governance serve different ends and should not be collapsed into one legal standard.</w:t>
      </w:r>
      <w:r>
        <w:t xml:space="preserve"> </w:t>
      </w:r>
      <w:r>
        <w:t xml:space="preserve">They nonetheless operationalize overlapping elements: named responsibility, information flow,</w:t>
      </w:r>
      <w:r>
        <w:t xml:space="preserve"> </w:t>
      </w:r>
      <w:r>
        <w:t xml:space="preserve">authority, resources, protected reporting, review, and corrective capacity. Recent tort scholarship</w:t>
      </w:r>
      <w:r>
        <w:t xml:space="preserve"> </w:t>
      </w:r>
      <w:r>
        <w:t xml:space="preserve">reaches the same institutional need from the opposite direction: liability by itself can</w:t>
      </w:r>
      <w:r>
        <w:t xml:space="preserve"> </w:t>
      </w:r>
      <w:r>
        <w:t xml:space="preserve">discourage risk investigation and disclosure, while ex ante rules, independent auditors, and</w:t>
      </w:r>
      <w:r>
        <w:t xml:space="preserve"> </w:t>
      </w:r>
      <w:r>
        <w:t xml:space="preserve">disclosure obligations can preserve the information on which prevention and adjudication</w:t>
      </w:r>
      <w:r>
        <w:t xml:space="preserve"> </w:t>
      </w:r>
      <w:r>
        <w:t xml:space="preserve">depend.</w:t>
      </w:r>
      <w:r>
        <w:rPr>
          <w:rStyle w:val="FootnoteReference"/>
        </w:rPr>
        <w:footnoteReference w:id="76"/>
      </w:r>
      <w:bookmarkStart w:id="473" w:name="x1-34040f76"/>
      <w:bookmarkEnd w:id="473"/>
      <w:r>
        <w:t xml:space="preserve"> </w:t>
      </w:r>
      <w:r>
        <w:t xml:space="preserve">The charter packages that shared infrastructure into a document a deployment and a court can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Two limits prevent compliance theater. First, possession of a charter is not compliance. Courts</w:t>
      </w:r>
      <w:r>
        <w:t xml:space="preserve"> </w:t>
      </w:r>
      <w:r>
        <w:t xml:space="preserve">and regulators must ask whether the named people had actual authority and resources, reports</w:t>
      </w:r>
      <w:r>
        <w:t xml:space="preserve"> </w:t>
      </w:r>
      <w:r>
        <w:t xml:space="preserve">reached them, stop mechanisms worked, and material changes triggered review. Second, unless</w:t>
      </w:r>
      <w:r>
        <w:t xml:space="preserve"> </w:t>
      </w:r>
      <w:r>
        <w:t xml:space="preserve">governing positive law provides otherwise, compliance should be evidence rather than a conclusive</w:t>
      </w:r>
      <w:r>
        <w:t xml:space="preserve"> </w:t>
      </w:r>
      <w:r>
        <w:t xml:space="preserve">defense. A carefully completed charter can support reasonableness; it cannot nullify a statutory</w:t>
      </w:r>
      <w:r>
        <w:t xml:space="preserve"> </w:t>
      </w:r>
      <w:r>
        <w:t xml:space="preserve">duty, excuse a known unreasonable risk, or bar proof that the system operated outside its stated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77"/>
      </w:r>
      <w:bookmarkStart w:id="478" w:name="x1-34043f77"/>
      <w:bookmarkEnd w:id="478"/>
    </w:p>
    <w:bookmarkEnd w:id="479"/>
    <w:bookmarkStart w:id="503" w:name="who-can-enact-and-administer-the-charter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480" w:name="x1-35000E"/>
      <w:bookmarkEnd w:id="480"/>
      <w:r>
        <w:t xml:space="preserve">Who Can Enact and Administer the Charter</w:t>
      </w:r>
    </w:p>
    <w:p>
      <w:pPr>
        <w:pStyle w:val="FirstParagraph"/>
      </w:pPr>
      <w:r>
        <w:t xml:space="preserve">The proposal has no mystery legislature. Its designated-deployment structure permits adoption by</w:t>
      </w:r>
      <w:r>
        <w:t xml:space="preserve"> </w:t>
      </w:r>
      <w:r>
        <w:t xml:space="preserve">the lawmaker that already governs the underlying activity. State legislatures can attach the</w:t>
      </w:r>
      <w:r>
        <w:t xml:space="preserve"> </w:t>
      </w:r>
      <w:r>
        <w:t xml:space="preserve">charter, nondelegable duty, primary recourse, and production rule to companion services, health</w:t>
      </w:r>
      <w:r>
        <w:t xml:space="preserve"> </w:t>
      </w:r>
      <w:r>
        <w:t xml:space="preserve">care, employment, education, insurance, consumer transactions, or other fields within state</w:t>
      </w:r>
      <w:r>
        <w:t xml:space="preserve"> </w:t>
      </w:r>
      <w:r>
        <w:t xml:space="preserve">authority. Congress can legislate for federal programs, procurement, interstate sectors, and national</w:t>
      </w:r>
      <w:r>
        <w:t xml:space="preserve"> </w:t>
      </w:r>
      <w:r>
        <w:t xml:space="preserve">schemes within its enumerated powers. Either lawmaker can authorize a sectoral regulator to</w:t>
      </w:r>
      <w:r>
        <w:t xml:space="preserve"> </w:t>
      </w:r>
      <w:r>
        <w:t xml:space="preserve">specify forms, reporting intervals, change thresholds, and technical controls within intelligible</w:t>
      </w:r>
      <w:r>
        <w:t xml:space="preserve"> </w:t>
      </w:r>
      <w:r>
        <w:t xml:space="preserve">statutory boundaries. The enacting law should identify the covered deployment, duty holder,</w:t>
      </w:r>
      <w:r>
        <w:t xml:space="preserve"> </w:t>
      </w:r>
      <w:r>
        <w:t xml:space="preserve">minimum charter contents, production trigger, remedy, and relation to overlapping law;</w:t>
      </w:r>
      <w:r>
        <w:t xml:space="preserve"> </w:t>
      </w:r>
      <w:r>
        <w:t xml:space="preserve">administration can then remain technically adaptive without relocating those policy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California’s companion-chatbot law demonstrates the form at state scale. Senate</w:t>
      </w:r>
      <w:r>
        <w:t xml:space="preserve"> </w:t>
      </w:r>
      <w:r>
        <w:t xml:space="preserve">Bill 243 defines the covered relational service and its operator, requires conspicuous</w:t>
      </w:r>
      <w:r>
        <w:t xml:space="preserve"> </w:t>
      </w:r>
      <w:r>
        <w:t xml:space="preserve">nonhuman disclosure in specified circumstances, mandates a published self-harm</w:t>
      </w:r>
      <w:r>
        <w:t xml:space="preserve"> </w:t>
      </w:r>
      <w:r>
        <w:t xml:space="preserve">protocol and protections for known minors, requires reporting to the Office of Suicide</w:t>
      </w:r>
      <w:r>
        <w:t xml:space="preserve"> </w:t>
      </w:r>
      <w:r>
        <w:t xml:space="preserve">Prevention beginning in 2027, and supplies a private remedy while preserving cumulative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78"/>
      </w:r>
      <w:bookmarkStart w:id="484" w:name="x1-35001f78"/>
      <w:bookmarkEnd w:id="484"/>
      <w:r>
        <w:t xml:space="preserve"> </w:t>
      </w:r>
      <w:r>
        <w:t xml:space="preserve">It does not enact this Article’s charter: it does not require named risk owners, deployment sign-off,</w:t>
      </w:r>
      <w:r>
        <w:t xml:space="preserve"> </w:t>
      </w:r>
      <w:r>
        <w:t xml:space="preserve">protected escalation, stop authority, or the litigation production rule. It proves the adjacent</w:t>
      </w:r>
      <w:r>
        <w:t xml:space="preserve"> </w:t>
      </w:r>
      <w:r>
        <w:t xml:space="preserve">institutional point. A legislature can designate a relational deployment, name the operator,</w:t>
      </w:r>
      <w:r>
        <w:t xml:space="preserve"> </w:t>
      </w:r>
      <w:r>
        <w:t xml:space="preserve">combine protocol and reporting duties, and attach enforceable consequences without defining every</w:t>
      </w:r>
      <w:r>
        <w:t xml:space="preserve"> </w:t>
      </w:r>
      <w:r>
        <w:t xml:space="preserve">general-purpose model as high impact.</w:t>
      </w:r>
    </w:p>
    <w:p>
      <w:pPr>
        <w:pStyle w:val="BodyText"/>
      </w:pPr>
      <w:r>
        <w:t xml:space="preserve">Federal practice supplies implementation tools with different legal effects. In its 2025 section 6(b)</w:t>
      </w:r>
      <w:r>
        <w:t xml:space="preserve"> </w:t>
      </w:r>
      <w:r>
        <w:t xml:space="preserve">companion-chatbot study, the Federal Trade Commission ordered named firms to report organizational</w:t>
      </w:r>
      <w:r>
        <w:t xml:space="preserve"> </w:t>
      </w:r>
      <w:r>
        <w:t xml:space="preserve">roles, predeployment standards and thresholds, the positions of deployment approvers, considered and</w:t>
      </w:r>
      <w:r>
        <w:t xml:space="preserve"> </w:t>
      </w:r>
      <w:r>
        <w:t xml:space="preserve">rejected mitigations, post-deployment monitoring, complaints, employee concerns, escalation, and</w:t>
      </w:r>
      <w:r>
        <w:t xml:space="preserve"> </w:t>
      </w:r>
      <w:r>
        <w:t xml:space="preserve">response.</w:t>
      </w:r>
      <w:r>
        <w:rPr>
          <w:rStyle w:val="FootnoteReference"/>
        </w:rPr>
        <w:footnoteReference w:id="79"/>
      </w:r>
      <w:bookmarkStart w:id="490" w:name="x1-35004f79"/>
      <w:bookmarkEnd w:id="490"/>
      <w:r>
        <w:t xml:space="preserve"> </w:t>
      </w:r>
      <w:r>
        <w:t xml:space="preserve">The compulsory study is neither a violation finding nor a generally applicable substantive rule. It</w:t>
      </w:r>
      <w:r>
        <w:t xml:space="preserve"> </w:t>
      </w:r>
      <w:r>
        <w:t xml:space="preserve">shows that the organizational and deployment record the charter would standardize can be</w:t>
      </w:r>
      <w:r>
        <w:t xml:space="preserve"> </w:t>
      </w:r>
      <w:r>
        <w:t xml:space="preserve">specified, collected, and verified rather than reconstructed as an abstract demand for “the</w:t>
      </w:r>
      <w:r>
        <w:t xml:space="preserve"> </w:t>
      </w:r>
      <w:r>
        <w:t xml:space="preserve">algorithm.”</w:t>
      </w:r>
    </w:p>
    <w:p>
      <w:pPr>
        <w:pStyle w:val="BodyText"/>
      </w:pPr>
      <w:r>
        <w:t xml:space="preserve">The Department of Justice’s 2024 compliance guidance works through enforcement</w:t>
      </w:r>
      <w:r>
        <w:t xml:space="preserve"> </w:t>
      </w:r>
      <w:r>
        <w:t xml:space="preserve">evaluation rather than rulemaking. It asks prosecutors whether a company has assessed</w:t>
      </w:r>
      <w:r>
        <w:t xml:space="preserve"> </w:t>
      </w:r>
      <w:r>
        <w:t xml:space="preserve">emerging-technology risk, governed business and compliance uses of AI, controlled unintended</w:t>
      </w:r>
      <w:r>
        <w:t xml:space="preserve"> </w:t>
      </w:r>
      <w:r>
        <w:t xml:space="preserve">consequences and deliberate misuse, established accountability and human baselines,</w:t>
      </w:r>
      <w:r>
        <w:t xml:space="preserve"> </w:t>
      </w:r>
      <w:r>
        <w:t xml:space="preserve">enabled confidential reporting, and continuously monitored and corrected model</w:t>
      </w:r>
      <w:r>
        <w:t xml:space="preserve"> </w:t>
      </w:r>
      <w:r>
        <w:t xml:space="preserve">behavior.</w:t>
      </w:r>
      <w:r>
        <w:rPr>
          <w:rStyle w:val="FootnoteReference"/>
        </w:rPr>
        <w:footnoteReference w:id="80"/>
      </w:r>
      <w:bookmarkStart w:id="494" w:name="x1-35008f80"/>
      <w:bookmarkEnd w:id="494"/>
      <w:r>
        <w:t xml:space="preserve"> </w:t>
      </w:r>
      <w:r>
        <w:t xml:space="preserve">The guidance does not create an ex ante tort duty. Its significance is operational: federal</w:t>
      </w:r>
      <w:r>
        <w:t xml:space="preserve"> </w:t>
      </w:r>
      <w:r>
        <w:t xml:space="preserve">corporate-enforcement practice already evaluates the authority, information flow, incentives, and</w:t>
      </w:r>
      <w:r>
        <w:t xml:space="preserve"> </w:t>
      </w:r>
      <w:r>
        <w:t xml:space="preserve">correction mechanisms the charter records.</w:t>
      </w:r>
    </w:p>
    <w:p>
      <w:pPr>
        <w:pStyle w:val="BodyText"/>
      </w:pPr>
      <w:r>
        <w:t xml:space="preserve">FAA Part 5 supplies the mature delegated model. Its staged schedule requires covered aviation</w:t>
      </w:r>
      <w:r>
        <w:t xml:space="preserve"> </w:t>
      </w:r>
      <w:r>
        <w:t xml:space="preserve">organizations to develop and, when applicable, maintain a formal, organization-wide safety</w:t>
      </w:r>
      <w:r>
        <w:t xml:space="preserve"> </w:t>
      </w:r>
      <w:r>
        <w:t xml:space="preserve">management system with an accountable executive, identified management authority to accept</w:t>
      </w:r>
      <w:r>
        <w:t xml:space="preserve"> </w:t>
      </w:r>
      <w:r>
        <w:t xml:space="preserve">safety risk, hazard analysis, corrective action, and retained records. For organizations subject to</w:t>
      </w:r>
      <w:r>
        <w:t xml:space="preserve"> </w:t>
      </w:r>
      <w:r>
        <w:t xml:space="preserve">section 5.71(a)(7), the system also includes confidential employee reporting without fear of</w:t>
      </w:r>
      <w:r>
        <w:t xml:space="preserve"> </w:t>
      </w:r>
      <w:r>
        <w:t xml:space="preserve">reprisal.</w:t>
      </w:r>
      <w:r>
        <w:rPr>
          <w:rStyle w:val="FootnoteReference"/>
        </w:rPr>
        <w:footnoteReference w:id="81"/>
      </w:r>
      <w:bookmarkStart w:id="498" w:name="x1-35011f81"/>
      <w:bookmarkEnd w:id="498"/>
      <w:r>
        <w:t xml:space="preserve"> </w:t>
      </w:r>
      <w:r>
        <w:t xml:space="preserve">Part 5 is not an AI liability rule and does not supply every charter component. It demonstrates</w:t>
      </w:r>
      <w:r>
        <w:t xml:space="preserve"> </w:t>
      </w:r>
      <w:r>
        <w:t xml:space="preserve">that named authority, protected reporting, continuing assurance, and evidence retention can be</w:t>
      </w:r>
      <w:r>
        <w:t xml:space="preserve"> </w:t>
      </w:r>
      <w:r>
        <w:t xml:space="preserve">administered as an operating system rather than an aspirational policy.</w:t>
      </w:r>
    </w:p>
    <w:p>
      <w:pPr>
        <w:pStyle w:val="BodyText"/>
      </w:pPr>
      <w:r>
        <w:t xml:space="preserve">This division of labor answers the concern created by</w:t>
      </w:r>
      <w:r>
        <w:t xml:space="preserve"> </w:t>
      </w:r>
      <w:r>
        <w:t xml:space="preserve">Loper Bright</w:t>
      </w:r>
      <w:r>
        <w:t xml:space="preserve">. An agency</w:t>
      </w:r>
      <w:r>
        <w:t xml:space="preserve"> </w:t>
      </w:r>
      <w:r>
        <w:t xml:space="preserve">may implement a charter only within authority Congress or a state legislature has</w:t>
      </w:r>
      <w:r>
        <w:t xml:space="preserve"> </w:t>
      </w:r>
      <w:r>
        <w:t xml:space="preserve">conferred; technical expertise does not itself create the primary-recourse duty or private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82"/>
      </w:r>
      <w:bookmarkStart w:id="502" w:name="x1-35014f82"/>
      <w:bookmarkEnd w:id="502"/>
      <w:r>
        <w:t xml:space="preserve"> </w:t>
      </w:r>
      <w:r>
        <w:t xml:space="preserve">Courts, meanwhile, can use present law now: they can distinguish direct from vicarious</w:t>
      </w:r>
      <w:r>
        <w:t xml:space="preserve"> </w:t>
      </w:r>
      <w:r>
        <w:t xml:space="preserve">responsibility, apply ordinary attribution, enforce preservation, order proportional discovery from</w:t>
      </w:r>
      <w:r>
        <w:t xml:space="preserve"> </w:t>
      </w:r>
      <w:r>
        <w:t xml:space="preserve">proper parties and nonparties, and refuse to treat an AI system as an assetless substitute for a</w:t>
      </w:r>
      <w:r>
        <w:t xml:space="preserve"> </w:t>
      </w:r>
      <w:r>
        <w:t xml:space="preserve">defendant. They cannot create the proposed statutory front door by discovery order alone.</w:t>
      </w:r>
      <w:r>
        <w:t xml:space="preserve"> </w:t>
      </w:r>
      <w:r>
        <w:t xml:space="preserve">Legislative adoption supplies the duty and trigger; bounded agency implementation supplies</w:t>
      </w:r>
      <w:r>
        <w:t xml:space="preserve"> </w:t>
      </w:r>
      <w:r>
        <w:t xml:space="preserve">sector-specific administration; adjudication supplies independent interpretation and</w:t>
      </w:r>
      <w:r>
        <w:t xml:space="preserve"> </w:t>
      </w:r>
      <w:r>
        <w:t xml:space="preserve">enforcement.</w:t>
      </w:r>
    </w:p>
    <w:bookmarkEnd w:id="503"/>
    <w:bookmarkStart w:id="530" w:name="X62c7d1b88a56e947b37cc4f6de0dd2c554602e1"/>
    <w:p>
      <w:pPr>
        <w:pStyle w:val="Heading4"/>
      </w:pPr>
      <w:r>
        <w:t xml:space="preserve">F</w:t>
      </w:r>
      <w:r>
        <w:t xml:space="preserve"> </w:t>
      </w:r>
      <w:r>
        <w:t xml:space="preserve"> </w:t>
      </w:r>
      <w:bookmarkStart w:id="504" w:name="x1-36000F"/>
      <w:bookmarkEnd w:id="504"/>
      <w:r>
        <w:t xml:space="preserve">Information Asymmetry and the Production Rule</w:t>
      </w:r>
    </w:p>
    <w:p>
      <w:pPr>
        <w:pStyle w:val="FirstParagraph"/>
      </w:pPr>
      <w:r>
        <w:t xml:space="preserve">The claimant-facing layer fails if the enterprise can identify itself yet withhold the control record.</w:t>
      </w:r>
      <w:r>
        <w:t xml:space="preserve"> </w:t>
      </w:r>
      <w:r>
        <w:t xml:space="preserve">AI deployments produce unusually concentrated information: model and application versions,</w:t>
      </w:r>
      <w:r>
        <w:t xml:space="preserve"> </w:t>
      </w:r>
      <w:r>
        <w:t xml:space="preserve">system instructions, retrieval sources, tool permissions, evaluation results, incident queues,</w:t>
      </w:r>
      <w:r>
        <w:t xml:space="preserve"> </w:t>
      </w:r>
      <w:r>
        <w:t xml:space="preserve">escalation tickets, internal approvals, and rollback events. The injured person usually sees only an</w:t>
      </w:r>
      <w:r>
        <w:t xml:space="preserve"> </w:t>
      </w:r>
      <w:r>
        <w:t xml:space="preserve">output or decision. The enterprise knows which of several vendors, models, and configurations was</w:t>
      </w:r>
      <w:r>
        <w:t xml:space="preserve"> </w:t>
      </w:r>
      <w:r>
        <w:t xml:space="preserve">active.</w:t>
      </w:r>
    </w:p>
    <w:p>
      <w:pPr>
        <w:pStyle w:val="BodyText"/>
      </w:pPr>
      <w:r>
        <w:t xml:space="preserve">Ordinary civil procedure provides the foundation. Rule 26 permits</w:t>
      </w:r>
      <w:r>
        <w:t xml:space="preserve"> </w:t>
      </w:r>
      <w:r>
        <w:t xml:space="preserve">discovery of relevant, proportional nonprivileged matter and requires initial</w:t>
      </w:r>
      <w:r>
        <w:t xml:space="preserve"> </w:t>
      </w:r>
      <w:r>
        <w:t xml:space="preserve">disclosure of information and documents a party may use to support claims or</w:t>
      </w:r>
      <w:r>
        <w:t xml:space="preserve"> </w:t>
      </w:r>
      <w:r>
        <w:t xml:space="preserve">defenses.</w:t>
      </w:r>
      <w:r>
        <w:rPr>
          <w:rStyle w:val="FootnoteReference"/>
        </w:rPr>
        <w:footnoteReference w:id="83"/>
      </w:r>
      <w:bookmarkStart w:id="508" w:name="x1-36001f83"/>
      <w:bookmarkEnd w:id="508"/>
      <w:r>
        <w:t xml:space="preserve"> </w:t>
      </w:r>
      <w:r>
        <w:t xml:space="preserve">Once litigation is reasonably anticipated, preservation duties attach under governing law.</w:t>
      </w:r>
      <w:r>
        <w:t xml:space="preserve"> </w:t>
      </w:r>
      <w:r>
        <w:t xml:space="preserve">Rule 37(e), which draws on but does not itself create that duty, addresses electronically</w:t>
      </w:r>
      <w:r>
        <w:t xml:space="preserve"> </w:t>
      </w:r>
      <w:r>
        <w:t xml:space="preserve">stored information that should have been preserved, is lost because reasonable steps were</w:t>
      </w:r>
      <w:r>
        <w:t xml:space="preserve"> </w:t>
      </w:r>
      <w:r>
        <w:t xml:space="preserve">not taken, and cannot be restored or replaced. Curative measures require prejudice;</w:t>
      </w:r>
      <w:r>
        <w:t xml:space="preserve"> </w:t>
      </w:r>
      <w:r>
        <w:t xml:space="preserve">an adverse-inference instruction or equivalent severe sanction requires intent to</w:t>
      </w:r>
      <w:r>
        <w:t xml:space="preserve"> </w:t>
      </w:r>
      <w:r>
        <w:t xml:space="preserve">deprive.</w:t>
      </w:r>
      <w:r>
        <w:rPr>
          <w:rStyle w:val="FootnoteReference"/>
        </w:rPr>
        <w:footnoteReference w:id="84"/>
      </w:r>
      <w:bookmarkStart w:id="512" w:name="x1-36004f84"/>
      <w:bookmarkEnd w:id="512"/>
      <w:r>
        <w:t xml:space="preserve"> </w:t>
      </w:r>
      <w:r>
        <w:t xml:space="preserve">The charter should make reasonable preservation possible before a court has to reconstruct an</w:t>
      </w:r>
      <w:r>
        <w:t xml:space="preserve"> </w:t>
      </w:r>
      <w:r>
        <w:t xml:space="preserve">undocumented system.</w:t>
      </w:r>
    </w:p>
    <w:p>
      <w:pPr>
        <w:pStyle w:val="BodyText"/>
      </w:pPr>
      <w:r>
        <w:t xml:space="preserve">For covered high-impact deployments, legislation should add a focused</w:t>
      </w:r>
      <w:r>
        <w:t xml:space="preserve"> </w:t>
      </w:r>
      <w:r>
        <w:t xml:space="preserve">production rule</w:t>
      </w:r>
      <w:r>
        <w:t xml:space="preserve">.</w:t>
      </w:r>
      <w:r>
        <w:t xml:space="preserve"> </w:t>
      </w:r>
      <w:r>
        <w:t xml:space="preserve">Once a claimant pleads a recognized injury and a plausible material nexus to the deployment, the</w:t>
      </w:r>
      <w:r>
        <w:t xml:space="preserve"> </w:t>
      </w:r>
      <w:r>
        <w:t xml:space="preserve">responsibility center must identify the system and entities in the cascade and produce the</w:t>
      </w:r>
      <w:r>
        <w:t xml:space="preserve"> </w:t>
      </w:r>
      <w:r>
        <w:t xml:space="preserve">nonprivileged portions of the charter and incident record proportionate to the claim. Sensitive</w:t>
      </w:r>
      <w:r>
        <w:t xml:space="preserve"> </w:t>
      </w:r>
      <w:r>
        <w:t xml:space="preserve">model, security, health, and personal information can be redacted or protected by order, including</w:t>
      </w:r>
      <w:r>
        <w:t xml:space="preserve"> </w:t>
      </w:r>
      <w:r>
        <w:t xml:space="preserve">an order limiting disclosure of trade secrets or confidential research and commercial</w:t>
      </w:r>
      <w:r>
        <w:t xml:space="preserve"> </w:t>
      </w:r>
      <w:r>
        <w:t xml:space="preserve">information.</w:t>
      </w:r>
      <w:r>
        <w:rPr>
          <w:rStyle w:val="FootnoteReference"/>
        </w:rPr>
        <w:footnoteReference w:id="85"/>
      </w:r>
      <w:bookmarkStart w:id="516" w:name="x1-36007f85"/>
      <w:bookmarkEnd w:id="516"/>
      <w:r>
        <w:t xml:space="preserve"> </w:t>
      </w:r>
      <w:r>
        <w:t xml:space="preserve">Secrecy is not a reason to leave the system unidentified. The production obligation is procedural. It</w:t>
      </w:r>
      <w:r>
        <w:t xml:space="preserve"> </w:t>
      </w:r>
      <w:r>
        <w:t xml:space="preserve">does not shift the ultimate burden of proving breach or causation unless the governing legislature</w:t>
      </w:r>
      <w:r>
        <w:t xml:space="preserve"> </w:t>
      </w:r>
      <w:r>
        <w:t xml:space="preserve">expressly says so.</w:t>
      </w:r>
    </w:p>
    <w:p>
      <w:pPr>
        <w:pStyle w:val="BodyText"/>
      </w:pPr>
      <w:r>
        <w:t xml:space="preserve">Existing evidentiary doctrine demonstrates why a calibrated inference may</w:t>
      </w:r>
      <w:r>
        <w:t xml:space="preserve"> </w:t>
      </w:r>
      <w:r>
        <w:t xml:space="preserve">sometimes be warranted. Section 3 of the Restatement (Third) of Torts: Products</w:t>
      </w:r>
      <w:r>
        <w:t xml:space="preserve"> </w:t>
      </w:r>
      <w:r>
        <w:t xml:space="preserve">Liability permits an inference that a defect existed at the time of sale or distribution,</w:t>
      </w:r>
      <w:r>
        <w:t xml:space="preserve"> </w:t>
      </w:r>
      <w:r>
        <w:t xml:space="preserve">without proof of a specific defect, when the incident is of a kind that ordinarily</w:t>
      </w:r>
      <w:r>
        <w:t xml:space="preserve"> </w:t>
      </w:r>
      <w:r>
        <w:t xml:space="preserve">results from product defect and was not solely the result of causes other than such a</w:t>
      </w:r>
      <w:r>
        <w:t xml:space="preserve"> </w:t>
      </w:r>
      <w:r>
        <w:t xml:space="preserve">defect.</w:t>
      </w:r>
      <w:r>
        <w:rPr>
          <w:rStyle w:val="FootnoteReference"/>
        </w:rPr>
        <w:footnoteReference w:id="86"/>
      </w:r>
      <w:bookmarkStart w:id="521" w:name="x1-36010f86"/>
      <w:bookmarkEnd w:id="521"/>
      <w:r>
        <w:t xml:space="preserve"> </w:t>
      </w:r>
      <w:r>
        <w:t xml:space="preserve">Res ipsa loquitur likewise permits a factfinder in defined circumstances to infer</w:t>
      </w:r>
      <w:r>
        <w:t xml:space="preserve"> </w:t>
      </w:r>
      <w:r>
        <w:t xml:space="preserve">negligence from the type of event. Jurisdictions formulate the doctrine differently;</w:t>
      </w:r>
      <w:r>
        <w:t xml:space="preserve"> </w:t>
      </w:r>
      <w:r>
        <w:t xml:space="preserve">modern formulations do not invariably treat rigid exclusive control as a separate</w:t>
      </w:r>
      <w:r>
        <w:t xml:space="preserve"> </w:t>
      </w:r>
      <w:r>
        <w:t xml:space="preserve">element.</w:t>
      </w:r>
      <w:r>
        <w:rPr>
          <w:rStyle w:val="FootnoteReference"/>
        </w:rPr>
        <w:footnoteReference w:id="87"/>
      </w:r>
      <w:bookmarkStart w:id="525" w:name="x1-36014f87"/>
      <w:bookmarkEnd w:id="525"/>
      <w:r>
        <w:t xml:space="preserve"> </w:t>
      </w:r>
      <w:r>
        <w:t xml:space="preserve">These doctrines are bounded; neither says that any unexpected AI output proves negligence. The</w:t>
      </w:r>
      <w:r>
        <w:t xml:space="preserve"> </w:t>
      </w:r>
      <w:r>
        <w:t xml:space="preserve">charter instead makes specific proof more available and reserves inference for the jurisdiction’s</w:t>
      </w:r>
      <w:r>
        <w:t xml:space="preserve"> </w:t>
      </w:r>
      <w:r>
        <w:t xml:space="preserve">ordinary conditions.</w:t>
      </w:r>
    </w:p>
    <w:p>
      <w:pPr>
        <w:pStyle w:val="BodyText"/>
      </w:pPr>
      <w:r>
        <w:t xml:space="preserve">A missing record should have equally bounded consequences. If the system never captured</w:t>
      </w:r>
      <w:r>
        <w:t xml:space="preserve"> </w:t>
      </w:r>
      <w:r>
        <w:t xml:space="preserve">information that no duty required it to capture, the absence is not automatically spoliation. In</w:t>
      </w:r>
      <w:r>
        <w:t xml:space="preserve"> </w:t>
      </w:r>
      <w:r>
        <w:t xml:space="preserve">federal court, Rule 37(e) governs measures for ESI lost after a litigation-preservation duty arose</w:t>
      </w:r>
      <w:r>
        <w:t xml:space="preserve"> </w:t>
      </w:r>
      <w:r>
        <w:t xml:space="preserve">and forecloses reliance on inherent authority or state law to prescribe different measures for</w:t>
      </w:r>
      <w:r>
        <w:t xml:space="preserve"> </w:t>
      </w:r>
      <w:r>
        <w:t xml:space="preserve">that loss; it does not displace an otherwise applicable independent state-law spoliation</w:t>
      </w:r>
      <w:r>
        <w:t xml:space="preserve"> </w:t>
      </w:r>
      <w:r>
        <w:t xml:space="preserve">claim.</w:t>
      </w:r>
      <w:r>
        <w:rPr>
          <w:rStyle w:val="FootnoteReference"/>
        </w:rPr>
        <w:footnoteReference w:id="88"/>
      </w:r>
      <w:bookmarkStart w:id="529" w:name="x1-36017f88"/>
      <w:bookmarkEnd w:id="529"/>
      <w:r>
        <w:t xml:space="preserve"> </w:t>
      </w:r>
      <w:r>
        <w:t xml:space="preserve">If</w:t>
      </w:r>
      <w:r>
        <w:t xml:space="preserve"> </w:t>
      </w:r>
      <w:r>
        <w:t xml:space="preserve">a sectoral charter mandate required logs and the enterprise omitted them, the statute should</w:t>
      </w:r>
      <w:r>
        <w:t xml:space="preserve"> </w:t>
      </w:r>
      <w:r>
        <w:t xml:space="preserve">specify the consequence; violation can be evidence without becoming automatic liability for the</w:t>
      </w:r>
      <w:r>
        <w:t xml:space="preserve"> </w:t>
      </w:r>
      <w:r>
        <w:t xml:space="preserve">underlying harm. This calibration makes documentation valuable rather than punitive by</w:t>
      </w:r>
      <w:r>
        <w:t xml:space="preserve"> </w:t>
      </w:r>
      <w:r>
        <w:t xml:space="preserve">default.</w:t>
      </w:r>
    </w:p>
    <w:bookmarkEnd w:id="530"/>
    <w:bookmarkStart w:id="555" w:name="X2cad79003f9c356ce42d06104c51b1816d5303f"/>
    <w:p>
      <w:pPr>
        <w:pStyle w:val="Heading4"/>
      </w:pPr>
      <w:r>
        <w:t xml:space="preserve">G</w:t>
      </w:r>
      <w:r>
        <w:t xml:space="preserve"> </w:t>
      </w:r>
      <w:r>
        <w:t xml:space="preserve"> </w:t>
      </w:r>
      <w:bookmarkStart w:id="531" w:name="x1-37000G"/>
      <w:bookmarkEnd w:id="531"/>
      <w:r>
        <w:t xml:space="preserve">Protect the Reporter; Pursue the Concealer</w:t>
      </w:r>
    </w:p>
    <w:p>
      <w:pPr>
        <w:pStyle w:val="FirstParagraph"/>
      </w:pPr>
      <w:r>
        <w:t xml:space="preserve">An accountability system that directs every loss toward the nearest engineer will suppress the</w:t>
      </w:r>
      <w:r>
        <w:t xml:space="preserve"> </w:t>
      </w:r>
      <w:r>
        <w:t xml:space="preserve">information it needs. The charter should therefore establish an internal safe harbor for a worker</w:t>
      </w:r>
      <w:r>
        <w:t xml:space="preserve"> </w:t>
      </w:r>
      <w:r>
        <w:t xml:space="preserve">who, in good faith and on an objectively reasonable basis, documents a material risk, uses an</w:t>
      </w:r>
      <w:r>
        <w:t xml:space="preserve"> </w:t>
      </w:r>
      <w:r>
        <w:t xml:space="preserve">authorized escalation or stop channel, preserves evidence, and acts within an approved role. The</w:t>
      </w:r>
      <w:r>
        <w:t xml:space="preserve"> </w:t>
      </w:r>
      <w:r>
        <w:t xml:space="preserve">default internal consequences should be defense and indemnification by the enterprise to the extent</w:t>
      </w:r>
      <w:r>
        <w:t xml:space="preserve"> </w:t>
      </w:r>
      <w:r>
        <w:t xml:space="preserve">permitted by governing law, protection against retaliation, and no adverse employment action</w:t>
      </w:r>
      <w:r>
        <w:t xml:space="preserve"> </w:t>
      </w:r>
      <w:r>
        <w:t xml:space="preserve">based solely on protected reporting or justified intervention. Corporate indemnification statutes</w:t>
      </w:r>
      <w:r>
        <w:t xml:space="preserve"> </w:t>
      </w:r>
      <w:r>
        <w:t xml:space="preserve">supply a model but also impose conditions; the charter cannot promise indemnity that positive law</w:t>
      </w:r>
      <w:r>
        <w:t xml:space="preserve"> </w:t>
      </w:r>
      <w:r>
        <w:t xml:space="preserve">forbids.</w:t>
      </w:r>
      <w:r>
        <w:rPr>
          <w:rStyle w:val="FootnoteReference"/>
        </w:rPr>
        <w:footnoteReference w:id="89"/>
      </w:r>
      <w:bookmarkStart w:id="535" w:name="x1-37001f89"/>
      <w:bookmarkEnd w:id="535"/>
    </w:p>
    <w:p>
      <w:pPr>
        <w:pStyle w:val="BodyText"/>
      </w:pPr>
      <w:r>
        <w:t xml:space="preserve">The proposed protection for refusal should be comparably defined. A worker</w:t>
      </w:r>
      <w:r>
        <w:t xml:space="preserve"> </w:t>
      </w:r>
      <w:r>
        <w:t xml:space="preserve">receives it when the worker reasonably believes the requested act is unlawful or</w:t>
      </w:r>
      <w:r>
        <w:t xml:space="preserve"> </w:t>
      </w:r>
      <w:r>
        <w:t xml:space="preserve">presents an imminent risk of death or serious physical harm, gives the enterprise notice</w:t>
      </w:r>
      <w:r>
        <w:t xml:space="preserve"> </w:t>
      </w:r>
      <w:r>
        <w:t xml:space="preserve">where feasible, and lacks time or a reasonably effective ordinary channel before the</w:t>
      </w:r>
      <w:r>
        <w:t xml:space="preserve"> </w:t>
      </w:r>
      <w:r>
        <w:t xml:space="preserve">risk materializes. This is a proposed threshold informed by, not identical to, sectoral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90"/>
      </w:r>
      <w:bookmarkStart w:id="540" w:name="x1-37004f90"/>
      <w:bookmarkEnd w:id="540"/>
      <w:r>
        <w:t xml:space="preserve"> </w:t>
      </w:r>
      <w:r>
        <w:t xml:space="preserve">A statute should also specify causation and remedy; the Energy Reorganization Act’s</w:t>
      </w:r>
      <w:r>
        <w:t xml:space="preserve"> </w:t>
      </w:r>
      <w:r>
        <w:t xml:space="preserve">contributing-factor test and clear-and-convincing same-action defense provide one balanced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91"/>
      </w:r>
      <w:bookmarkStart w:id="543" w:name="x1-37008f91"/>
      <w:bookmarkEnd w:id="543"/>
    </w:p>
    <w:p>
      <w:pPr>
        <w:pStyle w:val="BodyText"/>
      </w:pPr>
      <w:r>
        <w:t xml:space="preserve">The anti-retaliation component has a substantial statutory genealogy. The Sarbanes–Oxley Act</w:t>
      </w:r>
      <w:r>
        <w:t xml:space="preserve"> </w:t>
      </w:r>
      <w:r>
        <w:t xml:space="preserve">protects specified reports of fraud and securities violations; the False Claims Act protects efforts to</w:t>
      </w:r>
      <w:r>
        <w:t xml:space="preserve"> </w:t>
      </w:r>
      <w:r>
        <w:t xml:space="preserve">stop violations; and the Occupational Safety and Health Act protects safety complaints and related</w:t>
      </w:r>
      <w:r>
        <w:t xml:space="preserve"> </w:t>
      </w:r>
      <w:r>
        <w:t xml:space="preserve">participation.</w:t>
      </w:r>
      <w:r>
        <w:rPr>
          <w:rStyle w:val="FootnoteReference"/>
        </w:rPr>
        <w:footnoteReference w:id="92"/>
      </w:r>
      <w:bookmarkStart w:id="549" w:name="x1-37010f92"/>
      <w:bookmarkEnd w:id="549"/>
      <w:r>
        <w:t xml:space="preserve"> </w:t>
      </w:r>
      <w:r>
        <w:t xml:space="preserve">Aviation reporting programs encourage voluntary disclosure of safety events. The Patient</w:t>
      </w:r>
      <w:r>
        <w:t xml:space="preserve"> </w:t>
      </w:r>
      <w:r>
        <w:t xml:space="preserve">Safety and Quality Improvement Act separately protects good-faith reporters, but its</w:t>
      </w:r>
      <w:r>
        <w:t xml:space="preserve"> </w:t>
      </w:r>
      <w:r>
        <w:t xml:space="preserve">broad privilege and confidentiality rules for patient-safety work product should not be</w:t>
      </w:r>
      <w:r>
        <w:t xml:space="preserve"> </w:t>
      </w:r>
      <w:r>
        <w:t xml:space="preserve">imported into this proposal because they would conflict with the focused production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93"/>
      </w:r>
      <w:bookmarkStart w:id="554" w:name="x1-37015f93"/>
      <w:bookmarkEnd w:id="554"/>
      <w:r>
        <w:t xml:space="preserve"> </w:t>
      </w:r>
      <w:r>
        <w:t xml:space="preserve">The statutes’ scopes, procedures, and privileges differ. They establish the transferable principle</w:t>
      </w:r>
      <w:r>
        <w:t xml:space="preserve"> </w:t>
      </w:r>
      <w:r>
        <w:t xml:space="preserve">that accurate internal information is a safety resource and that retaliation can destroy it, not a</w:t>
      </w:r>
      <w:r>
        <w:t xml:space="preserve"> </w:t>
      </w:r>
      <w:r>
        <w:t xml:space="preserve">general immunity from otherwise applicable law.</w:t>
      </w:r>
    </w:p>
    <w:p>
      <w:pPr>
        <w:pStyle w:val="BodyText"/>
      </w:pPr>
      <w:r>
        <w:t xml:space="preserve">The safe harbor should have equally clear exceptions. It does not protect intentional or</w:t>
      </w:r>
      <w:r>
        <w:t xml:space="preserve"> </w:t>
      </w:r>
      <w:r>
        <w:t xml:space="preserve">reckless infliction of harm, knowing falsification or destruction of records, concealment of a</w:t>
      </w:r>
      <w:r>
        <w:t xml:space="preserve"> </w:t>
      </w:r>
      <w:r>
        <w:t xml:space="preserve">material incident, retaliation against another reporter, corruption of an evaluation, or unauthorized</w:t>
      </w:r>
      <w:r>
        <w:t xml:space="preserve"> </w:t>
      </w:r>
      <w:r>
        <w:t xml:space="preserve">removal of a safety constraint. Nor does internal defense or indemnification eliminate liability that</w:t>
      </w:r>
      <w:r>
        <w:t xml:space="preserve"> </w:t>
      </w:r>
      <w:r>
        <w:t xml:space="preserve">law independently imposes on the person’s conduct. The charter should identify the standard and</w:t>
      </w:r>
      <w:r>
        <w:t xml:space="preserve"> </w:t>
      </w:r>
      <w:r>
        <w:t xml:space="preserve">decisionmaker before a conflict arises, with independent review when senior management is</w:t>
      </w:r>
      <w:r>
        <w:t xml:space="preserve"> </w:t>
      </w:r>
      <w:r>
        <w:t xml:space="preserve">implicated.</w:t>
      </w:r>
    </w:p>
    <w:p>
      <w:pPr>
        <w:pStyle w:val="BodyText"/>
      </w:pPr>
      <w:r>
        <w:t xml:space="preserve">This allocation corrects an incentive mismatch. A safety engineer often has the clearest view</w:t>
      </w:r>
      <w:r>
        <w:t xml:space="preserve"> </w:t>
      </w:r>
      <w:r>
        <w:t xml:space="preserve">of a failure mode but not the budget or release authority to fix it. A manager may control the</w:t>
      </w:r>
      <w:r>
        <w:t xml:space="preserve"> </w:t>
      </w:r>
      <w:r>
        <w:t xml:space="preserve">schedule and resources but not understand the model detail. If both face an undifferentiated</w:t>
      </w:r>
      <w:r>
        <w:t xml:space="preserve"> </w:t>
      </w:r>
      <w:r>
        <w:t xml:space="preserve">threat, the engineer may remain silent and the manager may avoid written decisions. Protecting</w:t>
      </w:r>
      <w:r>
        <w:t xml:space="preserve"> </w:t>
      </w:r>
      <w:r>
        <w:t xml:space="preserve">documented escalation while preserving recourse against suppression makes authority and</w:t>
      </w:r>
      <w:r>
        <w:t xml:space="preserve"> </w:t>
      </w:r>
      <w:r>
        <w:t xml:space="preserve">accountability coincide.</w:t>
      </w:r>
    </w:p>
    <w:bookmarkEnd w:id="555"/>
    <w:bookmarkStart w:id="562" w:name="the-twolayer-rule"/>
    <w:p>
      <w:pPr>
        <w:pStyle w:val="Heading4"/>
      </w:pPr>
      <w:r>
        <w:t xml:space="preserve">H</w:t>
      </w:r>
      <w:r>
        <w:t xml:space="preserve"> </w:t>
      </w:r>
      <w:r>
        <w:t xml:space="preserve"> </w:t>
      </w:r>
      <w:bookmarkStart w:id="556" w:name="x1-38000H"/>
      <w:bookmarkEnd w:id="556"/>
      <w:r>
        <w:t xml:space="preserve">The Two-Layer Rule</w:t>
      </w:r>
    </w:p>
    <w:p>
      <w:pPr>
        <w:pStyle w:val="FirstParagraph"/>
      </w:pPr>
      <w:r>
        <w:t xml:space="preserve">The proposed statutory rule can be stated in five steps.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 claimant pleads a recognized injury and a plausible material nexus to a covered</w:t>
      </w:r>
      <w:r>
        <w:t xml:space="preserve"> </w:t>
      </w:r>
      <w:r>
        <w:t xml:space="preserve">high-impact AI deployment.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Each enterprise that makes the covered deployment available or incorporates it into</w:t>
      </w:r>
      <w:r>
        <w:t xml:space="preserve"> </w:t>
      </w:r>
      <w:r>
        <w:t xml:space="preserve">a decision process and possesses material deployment control over the risk at issue is</w:t>
      </w:r>
      <w:r>
        <w:t xml:space="preserve"> </w:t>
      </w:r>
      <w:r>
        <w:t xml:space="preserve">an external responsibility center. Multiple enterprises may qualify. None can defeat the</w:t>
      </w:r>
      <w:r>
        <w:t xml:space="preserve"> </w:t>
      </w:r>
      <w:r>
        <w:t xml:space="preserve">statutory claim solely by showing that no natural person selected the precise output.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Each responsibility center identifies the deployed system and the entities occupying the</w:t>
      </w:r>
      <w:r>
        <w:t xml:space="preserve"> </w:t>
      </w:r>
      <w:r>
        <w:t xml:space="preserve">relevant cascade, then produces the proportionate, nonprivileged charter and incident</w:t>
      </w:r>
      <w:r>
        <w:t xml:space="preserve"> </w:t>
      </w:r>
      <w:r>
        <w:t xml:space="preserve">record. Identification confirms an already visible operator in an integrated deployment</w:t>
      </w:r>
      <w:r>
        <w:t xml:space="preserve"> </w:t>
      </w:r>
      <w:r>
        <w:t xml:space="preserve">and exposes divided control where the stack is hidden; production supplies the merits</w:t>
      </w:r>
      <w:r>
        <w:t xml:space="preserve"> </w:t>
      </w:r>
      <w:r>
        <w:t xml:space="preserve">record in both. Discovery, privilege, protection orders, and preservation law govern</w:t>
      </w:r>
      <w:r>
        <w:t xml:space="preserve"> </w:t>
      </w:r>
      <w:r>
        <w:t xml:space="preserve">implementation.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With that record available, the claimant retains the ultimate burden to prove the</w:t>
      </w:r>
      <w:r>
        <w:t xml:space="preserve"> </w:t>
      </w:r>
      <w:r>
        <w:t xml:space="preserve">elements of the governing cause of action unless positive law provides otherwise. The</w:t>
      </w:r>
      <w:r>
        <w:t xml:space="preserve"> </w:t>
      </w:r>
      <w:r>
        <w:t xml:space="preserve">charter neither waives outsider rights nor conclusively establishes reasonable care; it</w:t>
      </w:r>
      <w:r>
        <w:t xml:space="preserve"> </w:t>
      </w:r>
      <w:r>
        <w:t xml:space="preserve">governs indemnification, defense, discipline, contribution, and recourse, and supplies</w:t>
      </w:r>
      <w:r>
        <w:t xml:space="preserve"> </w:t>
      </w:r>
      <w:r>
        <w:t xml:space="preserve">evidence of authority, knowledge, and conduct.</w:t>
      </w:r>
    </w:p>
    <w:p>
      <w:pPr>
        <w:pStyle w:val="DefinitionTerm"/>
      </w:pPr>
      <w:r>
        <w:t xml:space="preserve">5.</w:t>
      </w:r>
    </w:p>
    <w:p>
      <w:pPr>
        <w:pStyle w:val="Definition"/>
      </w:pPr>
      <w:r>
        <w:t xml:space="preserve">Good-faith reporting, compliance, and justified intervention receive the protection</w:t>
      </w:r>
      <w:r>
        <w:t xml:space="preserve"> </w:t>
      </w:r>
      <w:r>
        <w:t xml:space="preserve">specified by the statute and charter; knowing concealment, falsification, retaliation,</w:t>
      </w:r>
      <w:r>
        <w:t xml:space="preserve"> </w:t>
      </w:r>
      <w:r>
        <w:t xml:space="preserve">and unauthorized bypass remain available grounds for internal discipline and for</w:t>
      </w:r>
      <w:r>
        <w:t xml:space="preserve"> </w:t>
      </w:r>
      <w:r>
        <w:t xml:space="preserve">consequences independently authorized by positive law.</w:t>
      </w:r>
    </w:p>
    <w:p>
      <w:pPr>
        <w:pStyle w:val="FirstParagraph"/>
      </w:pPr>
      <w:r>
        <w:t xml:space="preserve">The rule resolves four problems at once. A victim has an identified enterprise against which</w:t>
      </w:r>
      <w:r>
        <w:t xml:space="preserve"> </w:t>
      </w:r>
      <w:r>
        <w:t xml:space="preserve">a recognized claim can proceed if its elements are proved, without first reverse-engineering an</w:t>
      </w:r>
      <w:r>
        <w:t xml:space="preserve"> </w:t>
      </w:r>
      <w:r>
        <w:t xml:space="preserve">org chart. A conscientious engineer can create a safety record without volunteering as</w:t>
      </w:r>
      <w:r>
        <w:t xml:space="preserve"> </w:t>
      </w:r>
      <w:r>
        <w:t xml:space="preserve">the sole loss bearer. Management responsibility follows budget, release, and response</w:t>
      </w:r>
      <w:r>
        <w:t xml:space="preserve"> </w:t>
      </w:r>
      <w:r>
        <w:t xml:space="preserve">authority rather than rhetorical commitment. And organizational fragmentation becomes</w:t>
      </w:r>
      <w:r>
        <w:t xml:space="preserve"> </w:t>
      </w:r>
      <w:r>
        <w:t xml:space="preserve">evidence in a mapped cascade rather than a defense based on no single person’s complete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Legislatures should mandate the charter and production rule in defined high-impact sectors.</w:t>
      </w:r>
      <w:r>
        <w:t xml:space="preserve"> </w:t>
      </w:r>
      <w:r>
        <w:t xml:space="preserve">Courts can apply the architecture’s underlying distinctions now: separate direct from</w:t>
      </w:r>
      <w:r>
        <w:t xml:space="preserve"> </w:t>
      </w:r>
      <w:r>
        <w:t xml:space="preserve">vicarious liability; reject a machine as a liability sink; use ordinary attribution rules; enforce</w:t>
      </w:r>
      <w:r>
        <w:t xml:space="preserve"> </w:t>
      </w:r>
      <w:r>
        <w:t xml:space="preserve">preservation duties; and evaluate individual conduct without demanding veil piercing.</w:t>
      </w:r>
      <w:r>
        <w:t xml:space="preserve"> </w:t>
      </w:r>
      <w:r>
        <w:t xml:space="preserve">Once jurisdiction and the ordinary party or nonparty predicates are satisfied, courts</w:t>
      </w:r>
      <w:r>
        <w:t xml:space="preserve"> </w:t>
      </w:r>
      <w:r>
        <w:t xml:space="preserve">can order proportional discovery from an entity possessing, controlling, or holding the</w:t>
      </w:r>
      <w:r>
        <w:t xml:space="preserve"> </w:t>
      </w:r>
      <w:r>
        <w:t xml:space="preserve">relevant records; they cannot create the proposed statutory front door by discovery order</w:t>
      </w:r>
      <w:r>
        <w:t xml:space="preserve"> </w:t>
      </w:r>
      <w:r>
        <w:t xml:space="preserve">alone.</w:t>
      </w:r>
      <w:r>
        <w:rPr>
          <w:rStyle w:val="FootnoteReference"/>
        </w:rPr>
        <w:footnoteReference w:id="94"/>
      </w:r>
      <w:bookmarkStart w:id="561" w:name="x1-38006f94"/>
      <w:bookmarkEnd w:id="561"/>
      <w:r>
        <w:t xml:space="preserve"> </w:t>
      </w:r>
      <w:r>
        <w:t xml:space="preserve">Regulatory adoption would make the allocation uniform and ex ante.</w:t>
      </w:r>
    </w:p>
    <w:bookmarkEnd w:id="562"/>
    <w:bookmarkStart w:id="596" w:name="residual-responsibility-and-rebuttal"/>
    <w:p>
      <w:pPr>
        <w:pStyle w:val="Heading4"/>
      </w:pPr>
      <w:r>
        <w:t xml:space="preserve">I</w:t>
      </w:r>
      <w:r>
        <w:t xml:space="preserve"> </w:t>
      </w:r>
      <w:r>
        <w:t xml:space="preserve"> </w:t>
      </w:r>
      <w:bookmarkStart w:id="563" w:name="x1-39000I"/>
      <w:bookmarkEnd w:id="563"/>
      <w:r>
        <w:t xml:space="preserve">Residual Responsibility and Rebuttal</w:t>
      </w:r>
    </w:p>
    <w:p>
      <w:pPr>
        <w:pStyle w:val="FirstParagraph"/>
      </w:pPr>
      <w:r>
        <w:t xml:space="preserve">An enterprise-facing rule must leave room for a genuinely different control path. Six recurring</w:t>
      </w:r>
      <w:r>
        <w:t xml:space="preserve"> </w:t>
      </w:r>
      <w:r>
        <w:t xml:space="preserve">defenses illustrate how the cascade disciplines rather than erases rebuttal.</w:t>
      </w:r>
    </w:p>
    <w:p>
      <w:pPr>
        <w:pStyle w:val="BodyText"/>
      </w:pPr>
      <w:bookmarkStart w:id="565" w:name="intentional-user-circumvention"/>
      <w:bookmarkStart w:id="564" w:name="x1-40000"/>
      <w:bookmarkEnd w:id="564"/>
      <w:r>
        <w:t xml:space="preserve">Intentional user circumvention.</w:t>
      </w:r>
      <w:bookmarkEnd w:id="565"/>
      <w:r>
        <w:t xml:space="preserve"> </w:t>
      </w:r>
      <w:r>
        <w:t xml:space="preserve">A user who deliberately jailbreaks a system, supplies false context, defeats a</w:t>
      </w:r>
      <w:r>
        <w:t xml:space="preserve"> </w:t>
      </w:r>
      <w:r>
        <w:t xml:space="preserve">reasonably designed confirmation, or directs a prohibited act may bear comparative or</w:t>
      </w:r>
      <w:r>
        <w:t xml:space="preserve"> </w:t>
      </w:r>
      <w:r>
        <w:t xml:space="preserve">primary responsibility under governing law. The enterprise can show the constraint,</w:t>
      </w:r>
      <w:r>
        <w:t xml:space="preserve"> </w:t>
      </w:r>
      <w:r>
        <w:t xml:space="preserve">warning, foreseeable bypass testing, and causal effect. The word “jailbreak” alone is not</w:t>
      </w:r>
      <w:r>
        <w:t xml:space="preserve"> </w:t>
      </w:r>
      <w:r>
        <w:t xml:space="preserve">a defense if the technique was common, encouraged by the product’s use, or readily</w:t>
      </w:r>
      <w:r>
        <w:t xml:space="preserve"> </w:t>
      </w:r>
      <w:r>
        <w:t xml:space="preserve">preventable.</w:t>
      </w:r>
    </w:p>
    <w:p>
      <w:pPr>
        <w:pStyle w:val="BodyText"/>
      </w:pPr>
      <w:bookmarkStart w:id="567" w:name="modification"/>
      <w:bookmarkStart w:id="566" w:name="x1-41000"/>
      <w:bookmarkEnd w:id="566"/>
      <w:r>
        <w:t xml:space="preserve">Modification.</w:t>
      </w:r>
      <w:bookmarkEnd w:id="567"/>
      <w:r>
        <w:t xml:space="preserve"> </w:t>
      </w:r>
      <w:r>
        <w:t xml:space="preserve">A downstream actor who removes safeguards, changes weights, adds dangerous tools, or</w:t>
      </w:r>
      <w:r>
        <w:t xml:space="preserve"> </w:t>
      </w:r>
      <w:r>
        <w:t xml:space="preserve">deploys outside documented limits may become the relevant controller. New York law</w:t>
      </w:r>
      <w:r>
        <w:t xml:space="preserve"> </w:t>
      </w:r>
      <w:r>
        <w:t xml:space="preserve">illustrates the distinction: substantial modification can defeat a design-defect theory while a</w:t>
      </w:r>
      <w:r>
        <w:t xml:space="preserve"> </w:t>
      </w:r>
      <w:r>
        <w:t xml:space="preserve">failure-to-warn claim based on foreseeable modification may remain available in appropriate</w:t>
      </w:r>
      <w:r>
        <w:t xml:space="preserve"> </w:t>
      </w:r>
      <w:r>
        <w:t xml:space="preserve">circumstances.</w:t>
      </w:r>
      <w:r>
        <w:rPr>
          <w:rStyle w:val="FootnoteReference"/>
        </w:rPr>
        <w:footnoteReference w:id="95"/>
      </w:r>
      <w:bookmarkStart w:id="572" w:name="x1-41001f95"/>
      <w:bookmarkEnd w:id="572"/>
      <w:r>
        <w:t xml:space="preserve"> </w:t>
      </w:r>
      <w:r>
        <w:t xml:space="preserve">Other jurisdictions define modification and warning duties under their own statutes and common</w:t>
      </w:r>
      <w:r>
        <w:t xml:space="preserve"> </w:t>
      </w:r>
      <w:r>
        <w:t xml:space="preserve">law. Version and provenance records should show the change rather than leaving the issue to brand</w:t>
      </w:r>
      <w:r>
        <w:t xml:space="preserve"> </w:t>
      </w:r>
      <w:r>
        <w:t xml:space="preserve">attribution.</w:t>
      </w:r>
    </w:p>
    <w:p>
      <w:pPr>
        <w:pStyle w:val="BodyText"/>
      </w:pPr>
      <w:bookmarkStart w:id="574" w:name="cyberattack"/>
      <w:bookmarkStart w:id="573" w:name="x1-42000"/>
      <w:bookmarkEnd w:id="573"/>
      <w:r>
        <w:t xml:space="preserve">Cyberattack.</w:t>
      </w:r>
      <w:bookmarkEnd w:id="574"/>
      <w:r>
        <w:t xml:space="preserve"> </w:t>
      </w:r>
      <w:r>
        <w:t xml:space="preserve">Unauthorized intrusion may be an intervening cause, but security is itself a foreseeable</w:t>
      </w:r>
      <w:r>
        <w:t xml:space="preserve"> </w:t>
      </w:r>
      <w:r>
        <w:t xml:space="preserve">deployment condition. The questions are which threat was reasonably in scope, whether credentials</w:t>
      </w:r>
      <w:r>
        <w:t xml:space="preserve"> </w:t>
      </w:r>
      <w:r>
        <w:t xml:space="preserve">and tools were exposed, which alerts arrived, and whether response was possible. A sophisticated</w:t>
      </w:r>
      <w:r>
        <w:t xml:space="preserve"> </w:t>
      </w:r>
      <w:r>
        <w:t xml:space="preserve">novel attack and an unpatched known vulnerability do not occupy the same control</w:t>
      </w:r>
      <w:r>
        <w:t xml:space="preserve"> </w:t>
      </w:r>
      <w:r>
        <w:t xml:space="preserve">position.</w:t>
      </w:r>
    </w:p>
    <w:p>
      <w:pPr>
        <w:pStyle w:val="BodyText"/>
      </w:pPr>
      <w:bookmarkStart w:id="576" w:name="government-compulsion"/>
      <w:bookmarkStart w:id="575" w:name="x1-43000"/>
      <w:bookmarkEnd w:id="575"/>
      <w:r>
        <w:t xml:space="preserve">Government compulsion.</w:t>
      </w:r>
      <w:bookmarkEnd w:id="576"/>
      <w:r>
        <w:t xml:space="preserve"> </w:t>
      </w:r>
      <w:r>
        <w:t xml:space="preserve">A contractor may invoke the federal military-equipment defense only where the United</w:t>
      </w:r>
      <w:r>
        <w:t xml:space="preserve"> </w:t>
      </w:r>
      <w:r>
        <w:t xml:space="preserve">States approved reasonably precise specifications, the equipment conformed to them, and</w:t>
      </w:r>
      <w:r>
        <w:t xml:space="preserve"> </w:t>
      </w:r>
      <w:r>
        <w:t xml:space="preserve">the supplier warned the United States of dangers known to the supplier but not the</w:t>
      </w:r>
      <w:r>
        <w:t xml:space="preserve"> </w:t>
      </w:r>
      <w:r>
        <w:t xml:space="preserve">government.</w:t>
      </w:r>
      <w:r>
        <w:rPr>
          <w:rStyle w:val="FootnoteReference"/>
        </w:rPr>
        <w:footnoteReference w:id="96"/>
      </w:r>
      <w:bookmarkStart w:id="581" w:name="x1-43001f96"/>
      <w:bookmarkEnd w:id="581"/>
      <w:r>
        <w:t xml:space="preserve"> </w:t>
      </w:r>
      <w:r>
        <w:t xml:space="preserve">Two 2026 decisions sharpen the control inquiry.</w:t>
      </w:r>
      <w:r>
        <w:t xml:space="preserve"> </w:t>
      </w:r>
      <w:r>
        <w:t xml:space="preserve">GEO Group v. Menocal</w:t>
      </w:r>
      <w:r>
        <w:t xml:space="preserve"> </w:t>
      </w:r>
      <w:r>
        <w:t xml:space="preserve">holds that</w:t>
      </w:r>
      <w:r>
        <w:t xml:space="preserve"> </w:t>
      </w:r>
      <w:r>
        <w:t xml:space="preserve">Yearsley</w:t>
      </w:r>
      <w:r>
        <w:t xml:space="preserve"> </w:t>
      </w:r>
      <w:r>
        <w:t xml:space="preserve">supplies a</w:t>
      </w:r>
      <w:r>
        <w:t xml:space="preserve"> </w:t>
      </w:r>
      <w:r>
        <w:t xml:space="preserve">merits defense, not derivative sovereign immunity, for conduct the government lawfully authorized and</w:t>
      </w:r>
      <w:r>
        <w:t xml:space="preserve"> </w:t>
      </w:r>
      <w:r>
        <w:t xml:space="preserve">directed.</w:t>
      </w:r>
      <w:r>
        <w:rPr>
          <w:rStyle w:val="FootnoteReference"/>
        </w:rPr>
        <w:footnoteReference w:id="97"/>
      </w:r>
      <w:bookmarkStart w:id="586" w:name="x1-43004f97"/>
      <w:bookmarkEnd w:id="586"/>
      <w:r>
        <w:t xml:space="preserve"> </w:t>
      </w:r>
      <w:r>
        <w:t xml:space="preserve">Hencely v. Fluor Corp.</w:t>
      </w:r>
      <w:r>
        <w:t xml:space="preserve"> </w:t>
      </w:r>
      <w:r>
        <w:t xml:space="preserve">rejects broader displacement where the government neither ordered nor</w:t>
      </w:r>
      <w:r>
        <w:t xml:space="preserve"> </w:t>
      </w:r>
      <w:r>
        <w:t xml:space="preserve">authorized the challenged conduct:</w:t>
      </w:r>
      <w:r>
        <w:t xml:space="preserve"> </w:t>
      </w:r>
      <w:r>
        <w:t xml:space="preserve">Boyle</w:t>
      </w:r>
      <w:r>
        <w:t xml:space="preserve"> </w:t>
      </w:r>
      <w:r>
        <w:t xml:space="preserve">requires a significant conflict with an identifiable federal policy</w:t>
      </w:r>
      <w:r>
        <w:t xml:space="preserve"> </w:t>
      </w:r>
      <w:r>
        <w:t xml:space="preserve">and protects a contractor only insofar as the suit challenges a government decision the contractor carried</w:t>
      </w:r>
      <w:r>
        <w:t xml:space="preserve"> </w:t>
      </w:r>
      <w:r>
        <w:t xml:space="preserve">out.</w:t>
      </w:r>
      <w:r>
        <w:rPr>
          <w:rStyle w:val="FootnoteReference"/>
        </w:rPr>
        <w:footnoteReference w:id="98"/>
      </w:r>
      <w:bookmarkStart w:id="591" w:name="x1-43007f98"/>
      <w:bookmarkEnd w:id="591"/>
      <w:r>
        <w:t xml:space="preserve"> </w:t>
      </w:r>
      <w:r>
        <w:t xml:space="preserve">A procurement relationship, political pressure, silence about the challenged means, or conduct</w:t>
      </w:r>
      <w:r>
        <w:t xml:space="preserve"> </w:t>
      </w:r>
      <w:r>
        <w:t xml:space="preserve">contrary to instructions does not transfer control by itself. Part VI addresses the reciprocal limit</w:t>
      </w:r>
      <w:r>
        <w:t xml:space="preserve"> </w:t>
      </w:r>
      <w:r>
        <w:t xml:space="preserve">on governmental coercion.</w:t>
      </w:r>
    </w:p>
    <w:p>
      <w:pPr>
        <w:pStyle w:val="BodyText"/>
      </w:pPr>
      <w:bookmarkStart w:id="593" w:name="independent-deployer-override"/>
      <w:bookmarkStart w:id="592" w:name="x1-44000"/>
      <w:bookmarkEnd w:id="592"/>
      <w:r>
        <w:t xml:space="preserve">Independent deployer override.</w:t>
      </w:r>
      <w:bookmarkEnd w:id="593"/>
      <w:r>
        <w:t xml:space="preserve"> </w:t>
      </w:r>
      <w:r>
        <w:t xml:space="preserve">An upstream provider may rebut responsibility for a harm tied to a downstream purpose,</w:t>
      </w:r>
      <w:r>
        <w:t xml:space="preserve"> </w:t>
      </w:r>
      <w:r>
        <w:t xml:space="preserve">data set, tool, or override it neither controlled nor reasonably could prevent. Conversely,</w:t>
      </w:r>
      <w:r>
        <w:t xml:space="preserve"> </w:t>
      </w:r>
      <w:r>
        <w:t xml:space="preserve">contractual reservation of a right to audit, update, suspend access, or dictate safeguards is evidence</w:t>
      </w:r>
      <w:r>
        <w:t xml:space="preserve"> </w:t>
      </w:r>
      <w:r>
        <w:t xml:space="preserve">of retained control. The result should follow the deployed function, not a standardized label that</w:t>
      </w:r>
      <w:r>
        <w:t xml:space="preserve"> </w:t>
      </w:r>
      <w:r>
        <w:t xml:space="preserve">declares every party an independent contractor.</w:t>
      </w:r>
    </w:p>
    <w:p>
      <w:pPr>
        <w:pStyle w:val="BodyText"/>
      </w:pPr>
      <w:bookmarkStart w:id="595" w:name="unavoidable-event"/>
      <w:bookmarkStart w:id="594" w:name="x1-45000"/>
      <w:bookmarkEnd w:id="594"/>
      <w:r>
        <w:t xml:space="preserve">Unavoidable event.</w:t>
      </w:r>
      <w:bookmarkEnd w:id="595"/>
      <w:r>
        <w:t xml:space="preserve"> </w:t>
      </w:r>
      <w:r>
        <w:t xml:space="preserve">Some harmful outputs will remain unforeseeable after reasonable testing, monitoring,</w:t>
      </w:r>
      <w:r>
        <w:t xml:space="preserve"> </w:t>
      </w:r>
      <w:r>
        <w:t xml:space="preserve">warning, and response. Ordinary standards of fault leave room for that conclusion; the published</w:t>
      </w:r>
      <w:r>
        <w:t xml:space="preserve"> </w:t>
      </w:r>
      <w:r>
        <w:t xml:space="preserve">account of the Hangzhou decision supplies a comparative illustration rather than controlling</w:t>
      </w:r>
      <w:r>
        <w:t xml:space="preserve"> </w:t>
      </w:r>
      <w:r>
        <w:t xml:space="preserve">United States law. A charter strengthens the defense by showing what risk was assessed, why</w:t>
      </w:r>
      <w:r>
        <w:t xml:space="preserve"> </w:t>
      </w:r>
      <w:r>
        <w:t xml:space="preserve">controls were selected, what feedback existed, and why the proposed alternative would not have</w:t>
      </w:r>
      <w:r>
        <w:t xml:space="preserve"> </w:t>
      </w:r>
      <w:r>
        <w:t xml:space="preserve">prevented the injury.</w:t>
      </w:r>
    </w:p>
    <w:p>
      <w:pPr>
        <w:pStyle w:val="BodyText"/>
      </w:pPr>
      <w:r>
        <w:t xml:space="preserve">Residual responsibility therefore does not undermine the architecture. It is what makes the</w:t>
      </w:r>
      <w:r>
        <w:t xml:space="preserve"> </w:t>
      </w:r>
      <w:r>
        <w:t xml:space="preserve">architecture a legal framework rather than a slogan. The enterprise faces the claimant and</w:t>
      </w:r>
      <w:r>
        <w:t xml:space="preserve"> </w:t>
      </w:r>
      <w:r>
        <w:t xml:space="preserve">produces the map; the parties then litigate where the causal control path actually ran under</w:t>
      </w:r>
      <w:r>
        <w:t xml:space="preserve"> </w:t>
      </w:r>
      <w:r>
        <w:t xml:space="preserve">the governing burdens of proof. The machine never has to be invented as the missing</w:t>
      </w:r>
      <w:r>
        <w:t xml:space="preserve"> </w:t>
      </w:r>
      <w:r>
        <w:t xml:space="preserve">defendant.</w:t>
      </w:r>
    </w:p>
    <w:bookmarkEnd w:id="596"/>
    <w:bookmarkEnd w:id="597"/>
    <w:bookmarkStart w:id="655" w:name="the-antisubstitution-principle"/>
    <w:p>
      <w:pPr>
        <w:pStyle w:val="Heading3"/>
      </w:pPr>
      <w:r>
        <w:t xml:space="preserve">V</w:t>
      </w:r>
      <w:r>
        <w:t xml:space="preserve"> </w:t>
      </w:r>
      <w:r>
        <w:t xml:space="preserve"> </w:t>
      </w:r>
      <w:bookmarkStart w:id="598" w:name="x1-46000V"/>
      <w:bookmarkEnd w:id="598"/>
      <w:r>
        <w:t xml:space="preserve">The Anti-Substitution Principle</w:t>
      </w:r>
    </w:p>
    <w:p>
      <w:pPr>
        <w:pStyle w:val="FirstParagraph"/>
      </w:pPr>
      <w:r>
        <w:t xml:space="preserve">The responsibility architecture governs harms produced through AI deployment. A related problem</w:t>
      </w:r>
      <w:r>
        <w:t xml:space="preserve"> </w:t>
      </w:r>
      <w:r>
        <w:t xml:space="preserve">arises when deployment becomes an asserted reason to withdraw responsibility altogether.</w:t>
      </w:r>
      <w:r>
        <w:t xml:space="preserve"> </w:t>
      </w:r>
      <w:r>
        <w:t xml:space="preserve">A public agency points to an automated portal instead of providing the process its</w:t>
      </w:r>
      <w:r>
        <w:t xml:space="preserve"> </w:t>
      </w:r>
      <w:r>
        <w:t xml:space="preserve">benefit scheme requires. A care institution points to a companion bot instead of staffing</w:t>
      </w:r>
      <w:r>
        <w:t xml:space="preserve"> </w:t>
      </w:r>
      <w:r>
        <w:t xml:space="preserve">required support. A professional points to a model output instead of exercising the</w:t>
      </w:r>
      <w:r>
        <w:t xml:space="preserve"> </w:t>
      </w:r>
      <w:r>
        <w:t xml:space="preserve">judgment attached to the professional role. In each setting, the technology may perform</w:t>
      </w:r>
      <w:r>
        <w:t xml:space="preserve"> </w:t>
      </w:r>
      <w:r>
        <w:t xml:space="preserve">valuable work. The legal error is to infer from availability that an existing duty has been</w:t>
      </w:r>
      <w:r>
        <w:t xml:space="preserve"> </w:t>
      </w:r>
      <w:r>
        <w:t xml:space="preserve">satisfied.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prevents that inference:</w:t>
      </w:r>
    </w:p>
    <w:p>
      <w:pPr>
        <w:pStyle w:val="BlockText"/>
      </w:pPr>
      <w:r>
        <w:t xml:space="preserve">Where law independently imposes a duty of care, process, accommodation,</w:t>
      </w:r>
      <w:r>
        <w:t xml:space="preserve"> </w:t>
      </w:r>
      <w:r>
        <w:t xml:space="preserve">professional judgment, or public service, the availability or use of AI does not by</w:t>
      </w:r>
      <w:r>
        <w:t xml:space="preserve"> </w:t>
      </w:r>
      <w:r>
        <w:t xml:space="preserve">itself discharge or narrow that duty. Automation may perform part of the duty</w:t>
      </w:r>
      <w:r>
        <w:t xml:space="preserve"> </w:t>
      </w:r>
      <w:r>
        <w:t xml:space="preserve">when the governing law permits and the deployment preserves the protection the</w:t>
      </w:r>
      <w:r>
        <w:t xml:space="preserve"> </w:t>
      </w:r>
      <w:r>
        <w:t xml:space="preserve">duty exists to secure.</w:t>
      </w:r>
    </w:p>
    <w:p>
      <w:pPr>
        <w:pStyle w:val="FirstParagraph"/>
      </w:pPr>
      <w:r>
        <w:t xml:space="preserve">This is a rule of performance, not a preference for manual administration. An automatic</w:t>
      </w:r>
      <w:r>
        <w:t xml:space="preserve"> </w:t>
      </w:r>
      <w:r>
        <w:t xml:space="preserve">instrumentality can perform every operational step needed to satisfy a duty; its availability alone is</w:t>
      </w:r>
      <w:r>
        <w:t xml:space="preserve"> </w:t>
      </w:r>
      <w:r>
        <w:t xml:space="preserve">not performance. The court asks whether the legally protected function remains available through</w:t>
      </w:r>
      <w:r>
        <w:t xml:space="preserve"> </w:t>
      </w:r>
      <w:r>
        <w:t xml:space="preserve">the deployed system and whether an answerable institution maintains correction when the</w:t>
      </w:r>
      <w:r>
        <w:t xml:space="preserve"> </w:t>
      </w:r>
      <w:r>
        <w:t xml:space="preserve">automated path fails. That formulation permits AI to improve access, consistency, or</w:t>
      </w:r>
      <w:r>
        <w:t xml:space="preserve"> </w:t>
      </w:r>
      <w:r>
        <w:t xml:space="preserve">capacity while keeping the duty attached to the person or organization law already made</w:t>
      </w:r>
      <w:r>
        <w:t xml:space="preserve"> </w:t>
      </w:r>
      <w:r>
        <w:t xml:space="preserve">answerable.</w:t>
      </w:r>
    </w:p>
    <w:bookmarkStart w:id="605" w:name="a-rule-courts-can-apply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599" w:name="x1-47000A"/>
      <w:bookmarkEnd w:id="599"/>
      <w:r>
        <w:t xml:space="preserve">A Rule Courts Can Apply</w:t>
      </w:r>
    </w:p>
    <w:p>
      <w:pPr>
        <w:pStyle w:val="FirstParagraph"/>
      </w:pPr>
      <w:r>
        <w:t xml:space="preserve">Four questions turn the principle into a decision rule.</w:t>
      </w:r>
    </w:p>
    <w:p>
      <w:pPr>
        <w:pStyle w:val="BodyText"/>
      </w:pPr>
      <w:r>
        <w:t xml:space="preserve">First,</w:t>
      </w:r>
      <w:r>
        <w:t xml:space="preserve"> </w:t>
      </w:r>
      <w:r>
        <w:t xml:space="preserve">what is the independent source and scope of the duty?</w:t>
      </w:r>
      <w:r>
        <w:t xml:space="preserve"> </w:t>
      </w:r>
      <w:r>
        <w:t xml:space="preserve">The source may be statute,</w:t>
      </w:r>
      <w:r>
        <w:t xml:space="preserve"> </w:t>
      </w:r>
      <w:r>
        <w:t xml:space="preserve">regulation, contract, custody, guardianship, professional law, a tort special relationship, or</w:t>
      </w:r>
      <w:r>
        <w:t xml:space="preserve"> </w:t>
      </w:r>
      <w:r>
        <w:t xml:space="preserve">constitutional process attached to a protected interest. The principle does not manufacture that</w:t>
      </w:r>
      <w:r>
        <w:t xml:space="preserve"> </w:t>
      </w:r>
      <w:r>
        <w:t xml:space="preserve">predicate. It prevents a duty holder from treating automation as an implicit amendment to it.</w:t>
      </w:r>
      <w:r>
        <w:t xml:space="preserve"> </w:t>
      </w:r>
      <w:r>
        <w:t xml:space="preserve">Constitutional due process, for example, supplies no general affirmative obligation to provide care;</w:t>
      </w:r>
      <w:r>
        <w:t xml:space="preserve"> </w:t>
      </w:r>
      <w:r>
        <w:t xml:space="preserve">where legislation creates an enforceable entitlement, the text and remedial structure define the</w:t>
      </w:r>
      <w:r>
        <w:t xml:space="preserve"> </w:t>
      </w:r>
      <w:r>
        <w:t xml:space="preserve">protection.</w:t>
      </w:r>
      <w:r>
        <w:rPr>
          <w:rStyle w:val="FootnoteReference"/>
        </w:rPr>
        <w:footnoteReference w:id="99"/>
      </w:r>
      <w:bookmarkStart w:id="604" w:name="x1-47001f99"/>
      <w:bookmarkEnd w:id="604"/>
    </w:p>
    <w:p>
      <w:pPr>
        <w:pStyle w:val="BodyText"/>
      </w:pPr>
      <w:r>
        <w:t xml:space="preserve">Second,</w:t>
      </w:r>
      <w:r>
        <w:t xml:space="preserve"> </w:t>
      </w:r>
      <w:r>
        <w:t xml:space="preserve">which performance does the duty require?</w:t>
      </w:r>
      <w:r>
        <w:t xml:space="preserve"> </w:t>
      </w:r>
      <w:r>
        <w:t xml:space="preserve">Law often protects a function rather</w:t>
      </w:r>
      <w:r>
        <w:t xml:space="preserve"> </w:t>
      </w:r>
      <w:r>
        <w:t xml:space="preserve">than a particular staffing form. Notice must convey the material basis for a decision.</w:t>
      </w:r>
      <w:r>
        <w:t xml:space="preserve"> </w:t>
      </w:r>
      <w:r>
        <w:t xml:space="preserve">Review must reach an actor with information and authority to correct error. Professional</w:t>
      </w:r>
      <w:r>
        <w:t xml:space="preserve"> </w:t>
      </w:r>
      <w:r>
        <w:t xml:space="preserve">judgment must integrate the considerations the governing standard makes relevant. An</w:t>
      </w:r>
      <w:r>
        <w:t xml:space="preserve"> </w:t>
      </w:r>
      <w:r>
        <w:t xml:space="preserve">accommodation must afford meaningful access. Care obligations may require monitoring, response,</w:t>
      </w:r>
      <w:r>
        <w:t xml:space="preserve"> </w:t>
      </w:r>
      <w:r>
        <w:t xml:space="preserve">continuity, or safe transition. Stating the protected function keeps the inquiry from</w:t>
      </w:r>
      <w:r>
        <w:t xml:space="preserve"> </w:t>
      </w:r>
      <w:r>
        <w:t xml:space="preserve">collapsing into either “a human must do every step” or “a chatbot exists, so the duty is</w:t>
      </w:r>
      <w:r>
        <w:t xml:space="preserve"> </w:t>
      </w:r>
      <w:r>
        <w:t xml:space="preserve">complete.”</w:t>
      </w:r>
    </w:p>
    <w:p>
      <w:pPr>
        <w:pStyle w:val="BodyText"/>
      </w:pPr>
      <w:r>
        <w:t xml:space="preserve">Third,</w:t>
      </w:r>
      <w:r>
        <w:t xml:space="preserve"> </w:t>
      </w:r>
      <w:r>
        <w:t xml:space="preserve">does the deployed process preserve that function in practice?</w:t>
      </w:r>
      <w:r>
        <w:t xml:space="preserve"> </w:t>
      </w:r>
      <w:r>
        <w:t xml:space="preserve">Relevant evidence</w:t>
      </w:r>
      <w:r>
        <w:t xml:space="preserve"> </w:t>
      </w:r>
      <w:r>
        <w:t xml:space="preserve">includes whether the system can handle foreseeable exceptions; whether an affected person receives</w:t>
      </w:r>
      <w:r>
        <w:t xml:space="preserve"> </w:t>
      </w:r>
      <w:r>
        <w:t xml:space="preserve">intelligible notice; whether accessibility and language needs are met; whether the person can</w:t>
      </w:r>
      <w:r>
        <w:t xml:space="preserve"> </w:t>
      </w:r>
      <w:r>
        <w:t xml:space="preserve">contest the material basis; whether uncertainty and limitations reach a competent reviewer;</w:t>
      </w:r>
      <w:r>
        <w:t xml:space="preserve"> </w:t>
      </w:r>
      <w:r>
        <w:t xml:space="preserve">whether the reviewer has time, authority, and an effective intervention; whether failure triggers</w:t>
      </w:r>
      <w:r>
        <w:t xml:space="preserve"> </w:t>
      </w:r>
      <w:r>
        <w:t xml:space="preserve">escalation; and whether the institution monitors outcomes after release. These are cascade</w:t>
      </w:r>
      <w:r>
        <w:t xml:space="preserve"> </w:t>
      </w:r>
      <w:r>
        <w:t xml:space="preserve">variables. Functional equivalence is demonstrated through the control path, not through the label</w:t>
      </w:r>
      <w:r>
        <w:t xml:space="preserve"> </w:t>
      </w:r>
      <w:r>
        <w:t xml:space="preserve">“human in the loop.”</w:t>
      </w:r>
    </w:p>
    <w:p>
      <w:pPr>
        <w:pStyle w:val="BodyText"/>
      </w:pPr>
      <w:r>
        <w:t xml:space="preserve">Fourth,</w:t>
      </w:r>
      <w:r>
        <w:t xml:space="preserve"> </w:t>
      </w:r>
      <w:r>
        <w:t xml:space="preserve">who remains responsible for performance and correction?</w:t>
      </w:r>
      <w:r>
        <w:t xml:space="preserve"> </w:t>
      </w:r>
      <w:r>
        <w:t xml:space="preserve">Delegating a task to</w:t>
      </w:r>
      <w:r>
        <w:t xml:space="preserve"> </w:t>
      </w:r>
      <w:r>
        <w:t xml:space="preserve">software does not relocate the duty to the software. The institution must name a controller who</w:t>
      </w:r>
      <w:r>
        <w:t xml:space="preserve"> </w:t>
      </w:r>
      <w:r>
        <w:t xml:space="preserve">can restore service, decide an exception, correct a record, or arrange an alternative when the</w:t>
      </w:r>
      <w:r>
        <w:t xml:space="preserve"> </w:t>
      </w:r>
      <w:r>
        <w:t xml:space="preserve">automated path fails. The responsibility charter supplies that allocation, while the production rule</w:t>
      </w:r>
      <w:r>
        <w:t xml:space="preserve"> </w:t>
      </w:r>
      <w:r>
        <w:t xml:space="preserve">preserves the evidence needed to test it. Where the deployed process performs the legally required</w:t>
      </w:r>
      <w:r>
        <w:t xml:space="preserve"> </w:t>
      </w:r>
      <w:r>
        <w:t xml:space="preserve">function, the duty is satisfied through automation. Where it does not, technological novelty is</w:t>
      </w:r>
      <w:r>
        <w:t xml:space="preserve"> </w:t>
      </w:r>
      <w:r>
        <w:t xml:space="preserve">neither performance nor excuse.</w:t>
      </w:r>
    </w:p>
    <w:p>
      <w:pPr>
        <w:pStyle w:val="BodyText"/>
      </w:pPr>
      <w:r>
        <w:t xml:space="preserve">The rule gives a court a narrow holding. The court need not decide that automated service</w:t>
      </w:r>
      <w:r>
        <w:t xml:space="preserve"> </w:t>
      </w:r>
      <w:r>
        <w:t xml:space="preserve">is categorically inferior, that every claimant has a right to personal attention, or that one model</w:t>
      </w:r>
      <w:r>
        <w:t xml:space="preserve"> </w:t>
      </w:r>
      <w:r>
        <w:t xml:space="preserve">design is mandatory. It can identify the predicate duty, specify its protected function, examine the</w:t>
      </w:r>
      <w:r>
        <w:t xml:space="preserve"> </w:t>
      </w:r>
      <w:r>
        <w:t xml:space="preserve">deployed control path, and determine whether the responsible institution provided the performance</w:t>
      </w:r>
      <w:r>
        <w:t xml:space="preserve"> </w:t>
      </w:r>
      <w:r>
        <w:t xml:space="preserve">law requires.</w:t>
      </w:r>
    </w:p>
    <w:bookmarkEnd w:id="605"/>
    <w:bookmarkStart w:id="623" w:name="X3b1255c4a34b09d8d45691afa8fd8e19cc86f69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06" w:name="x1-48000B"/>
      <w:bookmarkEnd w:id="606"/>
      <w:r>
        <w:t xml:space="preserve">Public Administration and the Right to an Effective Path</w:t>
      </w:r>
    </w:p>
    <w:p>
      <w:pPr>
        <w:pStyle w:val="FirstParagraph"/>
      </w:pPr>
      <w:r>
        <w:t xml:space="preserve">Public-benefits cases show the rule already latent in doctrine. In</w:t>
      </w:r>
      <w:r>
        <w:t xml:space="preserve"> </w:t>
      </w:r>
      <w:r>
        <w:t xml:space="preserve">K.W. ex rel. D.W.</w:t>
      </w:r>
      <w:r>
        <w:t xml:space="preserve"> </w:t>
      </w:r>
      <w:r>
        <w:t xml:space="preserve">v. Armstrong</w:t>
      </w:r>
      <w:r>
        <w:t xml:space="preserve">, Idaho used a budget tool to allocate community-based services to</w:t>
      </w:r>
      <w:r>
        <w:t xml:space="preserve"> </w:t>
      </w:r>
      <w:r>
        <w:t xml:space="preserve">people with developmental disabilities. The notices did not adequately disclose how</w:t>
      </w:r>
      <w:r>
        <w:t xml:space="preserve"> </w:t>
      </w:r>
      <w:r>
        <w:t xml:space="preserve">individualized budgets were calculated or permit recipients to identify and challenge</w:t>
      </w:r>
      <w:r>
        <w:t xml:space="preserve"> </w:t>
      </w:r>
      <w:r>
        <w:t xml:space="preserve">errors. The Ninth Circuit affirmed preliminary relief on procedural-due-process</w:t>
      </w:r>
      <w:r>
        <w:t xml:space="preserve"> </w:t>
      </w:r>
      <w:r>
        <w:t xml:space="preserve">grounds.</w:t>
      </w:r>
      <w:r>
        <w:rPr>
          <w:rStyle w:val="FootnoteReference"/>
        </w:rPr>
        <w:footnoteReference w:id="100"/>
      </w:r>
      <w:bookmarkStart w:id="610" w:name="x1-48001f100"/>
      <w:bookmarkEnd w:id="610"/>
      <w:r>
        <w:t xml:space="preserve"> </w:t>
      </w:r>
      <w:r>
        <w:t xml:space="preserve">In</w:t>
      </w:r>
      <w:r>
        <w:t xml:space="preserve"> </w:t>
      </w:r>
      <w:r>
        <w:t xml:space="preserve">Arkansas Department of Human Services v. Ledgerwood</w:t>
      </w:r>
      <w:r>
        <w:t xml:space="preserve">, changes associated with an assessment</w:t>
      </w:r>
      <w:r>
        <w:t xml:space="preserve"> </w:t>
      </w:r>
      <w:r>
        <w:t xml:space="preserve">methodology reduced in-home attendant-care hours, and the Arkansas Supreme Court upheld</w:t>
      </w:r>
      <w:r>
        <w:t xml:space="preserve"> </w:t>
      </w:r>
      <w:r>
        <w:t xml:space="preserve">temporary injunctive relief tied to the agency’s failure to follow required rulemaking</w:t>
      </w:r>
      <w:r>
        <w:t xml:space="preserve"> </w:t>
      </w:r>
      <w:r>
        <w:t xml:space="preserve">procedure.</w:t>
      </w:r>
      <w:r>
        <w:rPr>
          <w:rStyle w:val="FootnoteReference"/>
        </w:rPr>
        <w:footnoteReference w:id="101"/>
      </w:r>
      <w:bookmarkStart w:id="614" w:name="x1-48004f101"/>
      <w:bookmarkEnd w:id="614"/>
    </w:p>
    <w:p>
      <w:pPr>
        <w:pStyle w:val="BodyText"/>
      </w:pPr>
      <w:r>
        <w:t xml:space="preserve">Neither decision forbade algorithmic allocation. Each required automation to remain inside</w:t>
      </w:r>
      <w:r>
        <w:t xml:space="preserve"> </w:t>
      </w:r>
      <w:r>
        <w:t xml:space="preserve">the law governing the benefit. The agency could use a model to improve consistency or direct</w:t>
      </w:r>
      <w:r>
        <w:t xml:space="preserve"> </w:t>
      </w:r>
      <w:r>
        <w:t xml:space="preserve">scarce resources, but the model could not replace the notice, explanation, rulemaking,</w:t>
      </w:r>
      <w:r>
        <w:t xml:space="preserve"> </w:t>
      </w:r>
      <w:r>
        <w:t xml:space="preserve">or contest path the legal scheme required. Danielle Citron’s account of technological</w:t>
      </w:r>
      <w:r>
        <w:t xml:space="preserve"> </w:t>
      </w:r>
      <w:r>
        <w:t xml:space="preserve">due process explains the general mechanism: automated public systems can encode</w:t>
      </w:r>
      <w:r>
        <w:t xml:space="preserve"> </w:t>
      </w:r>
      <w:r>
        <w:t xml:space="preserve">policy and error at scale while notice and hearing remain designed for discrete human</w:t>
      </w:r>
      <w:r>
        <w:t xml:space="preserve"> </w:t>
      </w:r>
      <w:r>
        <w:t xml:space="preserve">decisions.</w:t>
      </w:r>
      <w:r>
        <w:rPr>
          <w:rStyle w:val="FootnoteReference"/>
        </w:rPr>
        <w:footnoteReference w:id="102"/>
      </w:r>
      <w:bookmarkStart w:id="618" w:name="x1-48007f102"/>
      <w:bookmarkEnd w:id="618"/>
      <w:r>
        <w:t xml:space="preserve"> </w:t>
      </w:r>
      <w:r>
        <w:t xml:space="preserve">The operative response is to preserve an intelligible basis, an opportunity to contest, and authority to</w:t>
      </w:r>
      <w:r>
        <w:t xml:space="preserve"> </w:t>
      </w:r>
      <w:r>
        <w:t xml:space="preserve">correct before a system-level error becomes a durable administrative rule. Those protections inherit</w:t>
      </w:r>
      <w:r>
        <w:t xml:space="preserve"> </w:t>
      </w:r>
      <w:r>
        <w:t xml:space="preserve">their force from existing public law, including the due-process principles exemplified by</w:t>
      </w:r>
      <w:r>
        <w:t xml:space="preserve"> </w:t>
      </w:r>
      <w:r>
        <w:t xml:space="preserve">Goldberg v.</w:t>
      </w:r>
      <w:r>
        <w:t xml:space="preserve"> </w:t>
      </w:r>
      <w:r>
        <w:t xml:space="preserve">Kelly</w:t>
      </w:r>
      <w:r>
        <w:t xml:space="preserve">.</w:t>
      </w:r>
      <w:r>
        <w:rPr>
          <w:rStyle w:val="FootnoteReference"/>
        </w:rPr>
        <w:footnoteReference w:id="103"/>
      </w:r>
      <w:bookmarkStart w:id="622" w:name="x1-48010f103"/>
      <w:bookmarkEnd w:id="622"/>
    </w:p>
    <w:p>
      <w:pPr>
        <w:pStyle w:val="BodyText"/>
      </w:pPr>
      <w:r>
        <w:t xml:space="preserve">The anti-substitution principle adds a control test to that doctrine. A portal that explains a</w:t>
      </w:r>
      <w:r>
        <w:t xml:space="preserve"> </w:t>
      </w:r>
      <w:r>
        <w:t xml:space="preserve">decision and routes a supported challenge to an empowered official may improve process. A</w:t>
      </w:r>
      <w:r>
        <w:t xml:space="preserve"> </w:t>
      </w:r>
      <w:r>
        <w:t xml:space="preserve">chatbot that repeats the result, cannot expose the material basis, and loops the beneficiary back to</w:t>
      </w:r>
      <w:r>
        <w:t xml:space="preserve"> </w:t>
      </w:r>
      <w:r>
        <w:t xml:space="preserve">itself does not create review merely because it responds in natural language. The difference lies in</w:t>
      </w:r>
      <w:r>
        <w:t xml:space="preserve"> </w:t>
      </w:r>
      <w:r>
        <w:t xml:space="preserve">the upward feedback and correction authority. A public body remains the duty holder and must be</w:t>
      </w:r>
      <w:r>
        <w:t xml:space="preserve"> </w:t>
      </w:r>
      <w:r>
        <w:t xml:space="preserve">able to show where the path terminates.</w:t>
      </w:r>
    </w:p>
    <w:p>
      <w:pPr>
        <w:pStyle w:val="BodyText"/>
      </w:pPr>
      <w:r>
        <w:t xml:space="preserve">The same analysis applies to capability tiering. A government may restrict tools, data, or</w:t>
      </w:r>
      <w:r>
        <w:t xml:space="preserve"> </w:t>
      </w:r>
      <w:r>
        <w:t xml:space="preserve">model access for security, competence, or resource reasons. If a lower tier determines access to an</w:t>
      </w:r>
      <w:r>
        <w:t xml:space="preserve"> </w:t>
      </w:r>
      <w:r>
        <w:t xml:space="preserve">existing entitlement, the affected person must retain whatever explanation, review, and</w:t>
      </w:r>
      <w:r>
        <w:t xml:space="preserve"> </w:t>
      </w:r>
      <w:r>
        <w:t xml:space="preserve">accommodation the governing law requires. The availability of a general public chatbot cannot</w:t>
      </w:r>
      <w:r>
        <w:t xml:space="preserve"> </w:t>
      </w:r>
      <w:r>
        <w:t xml:space="preserve">substitute for an appeal channel, and a hidden automated restriction cannot substitute for the</w:t>
      </w:r>
      <w:r>
        <w:t xml:space="preserve"> </w:t>
      </w:r>
      <w:r>
        <w:t xml:space="preserve">accountable decision the statute assigns to an official.</w:t>
      </w:r>
    </w:p>
    <w:bookmarkEnd w:id="623"/>
    <w:bookmarkStart w:id="652" w:name="Xb878f0c77de1185746239a62376432e35c536c4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624" w:name="x1-49000C"/>
      <w:bookmarkEnd w:id="624"/>
      <w:r>
        <w:t xml:space="preserve">Care, Professional Judgment, and Relational Systems</w:t>
      </w:r>
    </w:p>
    <w:p>
      <w:pPr>
        <w:pStyle w:val="FirstParagraph"/>
      </w:pPr>
      <w:r>
        <w:t xml:space="preserve">Medical AI supplies the clearest affirmative case for the anti-substitution principle. The protected</w:t>
      </w:r>
      <w:r>
        <w:t xml:space="preserve"> </w:t>
      </w:r>
      <w:r>
        <w:t xml:space="preserve">function is not that a human manually perform every calculation. It is that professional judgment</w:t>
      </w:r>
      <w:r>
        <w:t xml:space="preserve"> </w:t>
      </w:r>
      <w:r>
        <w:t xml:space="preserve">remain available at the point where law requires a prescribing or care decision: an actor must be</w:t>
      </w:r>
      <w:r>
        <w:t xml:space="preserve"> </w:t>
      </w:r>
      <w:r>
        <w:t xml:space="preserve">able to integrate patient-specific facts, preferences, uncertainty, contraindications, and follow-up</w:t>
      </w:r>
      <w:r>
        <w:t xml:space="preserve"> </w:t>
      </w:r>
      <w:r>
        <w:t xml:space="preserve">needs, including information outside the model, and must possess authority to decline, alter, or</w:t>
      </w:r>
      <w:r>
        <w:t xml:space="preserve"> </w:t>
      </w:r>
      <w:r>
        <w:t xml:space="preserve">stop the proposed course. A system may perform most of the analytic work while preserving that</w:t>
      </w:r>
      <w:r>
        <w:t xml:space="preserve"> </w:t>
      </w:r>
      <w:r>
        <w:t xml:space="preserve">function. A 2026 medical-AI consensus accordingly combines access evaluation and real-world</w:t>
      </w:r>
      <w:r>
        <w:t xml:space="preserve"> </w:t>
      </w:r>
      <w:r>
        <w:t xml:space="preserve">validation with multidisciplinary review, traceability, continuing monitoring, competence,</w:t>
      </w:r>
      <w:r>
        <w:t xml:space="preserve"> </w:t>
      </w:r>
      <w:r>
        <w:t xml:space="preserve">and circuit breakers. Related scholarship identifies epistemic capacity, cognitive space,</w:t>
      </w:r>
      <w:r>
        <w:t xml:space="preserve"> </w:t>
      </w:r>
      <w:r>
        <w:t xml:space="preserve">decisional authority, and intervention effectiveness as conditions of meaningful oversight and</w:t>
      </w:r>
      <w:r>
        <w:t xml:space="preserve"> </w:t>
      </w:r>
      <w:r>
        <w:t xml:space="preserve">treats oversight as a property of the clinical system rather than a ceremonial human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104"/>
      </w:r>
      <w:bookmarkStart w:id="631" w:name="x1-49001f104"/>
      <w:bookmarkEnd w:id="631"/>
    </w:p>
    <w:p>
      <w:pPr>
        <w:pStyle w:val="BodyText"/>
      </w:pPr>
      <w:r>
        <w:t xml:space="preserve">A 2026 preprint by Eileanor LaRocco and coauthors gives that functional account an unusually</w:t>
      </w:r>
      <w:r>
        <w:t xml:space="preserve"> </w:t>
      </w:r>
      <w:r>
        <w:t xml:space="preserve">direct clinical measure. In a survey of 136 U.S. prescribing clinicians, the authors proposed three</w:t>
      </w:r>
      <w:r>
        <w:t xml:space="preserve"> </w:t>
      </w:r>
      <w:r>
        <w:t xml:space="preserve">minimum architectural conditions for autonomous prescribing: calibrated per-prediction confidence</w:t>
      </w:r>
      <w:r>
        <w:t xml:space="preserve"> </w:t>
      </w:r>
      <w:r>
        <w:t xml:space="preserve">capable of gating action and escalation; differentiated communication of epistemic uncertainty</w:t>
      </w:r>
      <w:r>
        <w:t xml:space="preserve"> </w:t>
      </w:r>
      <w:r>
        <w:t xml:space="preserve">arising from model ignorance and aleatoric uncertainty arising from genuine clinical ambiguity; and</w:t>
      </w:r>
      <w:r>
        <w:t xml:space="preserve"> </w:t>
      </w:r>
      <w:r>
        <w:t xml:space="preserve">inferential transparency at the moment of decision sufficient to support audit and responsibility</w:t>
      </w:r>
      <w:r>
        <w:t xml:space="preserve"> </w:t>
      </w:r>
      <w:r>
        <w:t xml:space="preserve">allocation.</w:t>
      </w:r>
      <w:r>
        <w:rPr>
          <w:rStyle w:val="FootnoteReference"/>
        </w:rPr>
        <w:footnoteReference w:id="105"/>
      </w:r>
      <w:bookmarkStart w:id="636" w:name="x1-49006f105"/>
      <w:bookmarkEnd w:id="636"/>
    </w:p>
    <w:p>
      <w:pPr>
        <w:pStyle w:val="BodyText"/>
      </w:pPr>
      <w:r>
        <w:t xml:space="preserve">The results do not establish a standard of care or a rule of legal liability. They identify</w:t>
      </w:r>
      <w:r>
        <w:t xml:space="preserve"> </w:t>
      </w:r>
      <w:r>
        <w:t xml:space="preserve">conditions under which clinicians were willing to occupy the decisionmaking position to which</w:t>
      </w:r>
      <w:r>
        <w:t xml:space="preserve"> </w:t>
      </w:r>
      <w:r>
        <w:t xml:space="preserve">professional responsibility may attach. Baseline support for autonomous prescribing without</w:t>
      </w:r>
      <w:r>
        <w:t xml:space="preserve"> </w:t>
      </w:r>
      <w:r>
        <w:t xml:space="preserve">clinician sign-off was low. Of the respondents, 67.4% selected the strongest response that they</w:t>
      </w:r>
      <w:r>
        <w:t xml:space="preserve"> </w:t>
      </w:r>
      <w:r>
        <w:t xml:space="preserve">would not permit AI agents to prescribe without calibrated escalation. Respondents preferred a</w:t>
      </w:r>
      <w:r>
        <w:t xml:space="preserve"> </w:t>
      </w:r>
      <w:r>
        <w:t xml:space="preserve">competing-options summary in the scenario representing genuine clinical ambiguity, but shifted</w:t>
      </w:r>
      <w:r>
        <w:t xml:space="preserve"> </w:t>
      </w:r>
      <w:r>
        <w:t xml:space="preserve">significantly toward abstention when the scenario represented model ignorance. Across all four</w:t>
      </w:r>
      <w:r>
        <w:t xml:space="preserve"> </w:t>
      </w:r>
      <w:r>
        <w:t xml:space="preserve">adverse-outcome scenarios, they assigned greater responsibility to organizational actors than to</w:t>
      </w:r>
      <w:r>
        <w:t xml:space="preserve"> </w:t>
      </w:r>
      <w:r>
        <w:t xml:space="preserve">clinicians and patients; the organizational–individual gap narrowed when the system</w:t>
      </w:r>
      <w:r>
        <w:t xml:space="preserve"> </w:t>
      </w:r>
      <w:r>
        <w:t xml:space="preserve">communicated confidence, escalated the case, and the clinician concurred with documented</w:t>
      </w:r>
      <w:r>
        <w:t xml:space="preserve"> </w:t>
      </w:r>
      <w:r>
        <w:t xml:space="preserve">reasons.</w:t>
      </w:r>
      <w:r>
        <w:rPr>
          <w:rStyle w:val="FootnoteReference"/>
        </w:rPr>
        <w:footnoteReference w:id="106"/>
      </w:r>
      <w:bookmarkStart w:id="639" w:name="x1-49009f106"/>
      <w:bookmarkEnd w:id="639"/>
    </w:p>
    <w:p>
      <w:pPr>
        <w:pStyle w:val="BodyText"/>
      </w:pPr>
      <w:r>
        <w:t xml:space="preserve">The direction matters. The survey does not describe a safety-induced deadlock. It</w:t>
      </w:r>
      <w:r>
        <w:t xml:space="preserve"> </w:t>
      </w:r>
      <w:r>
        <w:t xml:space="preserve">finds that the proposed features can increase acceptance by preserving a clinician’s</w:t>
      </w:r>
      <w:r>
        <w:t xml:space="preserve"> </w:t>
      </w:r>
      <w:r>
        <w:t xml:space="preserve">substantive cognitive position—and that preserving it collapses much of what “autonomy”</w:t>
      </w:r>
      <w:r>
        <w:t xml:space="preserve"> </w:t>
      </w:r>
      <w:r>
        <w:t xml:space="preserve">conventionally means. The finding should not be reduced to a demand for citations</w:t>
      </w:r>
      <w:r>
        <w:t xml:space="preserve"> </w:t>
      </w:r>
      <w:r>
        <w:t xml:space="preserve">appended to an answer. What the responsibility scenarios test is whether the clinician</w:t>
      </w:r>
      <w:r>
        <w:t xml:space="preserve"> </w:t>
      </w:r>
      <w:r>
        <w:t xml:space="preserve">occupies an epistemic position from which a substantive judgment can be made under</w:t>
      </w:r>
      <w:r>
        <w:t xml:space="preserve"> </w:t>
      </w:r>
      <w:r>
        <w:t xml:space="preserve">acknowledged uncertainty. That is the clinical form of the principle developed here:</w:t>
      </w:r>
      <w:r>
        <w:t xml:space="preserve"> </w:t>
      </w:r>
      <w:r>
        <w:t xml:space="preserve">automation performs professional duty when it preserves the protected judgment, not</w:t>
      </w:r>
      <w:r>
        <w:t xml:space="preserve"> </w:t>
      </w:r>
      <w:r>
        <w:t xml:space="preserve">when it leaves a human name attached to an action the human could not meaningfully</w:t>
      </w:r>
      <w:r>
        <w:t xml:space="preserve"> </w:t>
      </w:r>
      <w:r>
        <w:t xml:space="preserve">assess.</w:t>
      </w:r>
    </w:p>
    <w:p>
      <w:pPr>
        <w:pStyle w:val="BodyText"/>
      </w:pPr>
      <w:r>
        <w:t xml:space="preserve">That translation also changes the technical object. The paper states model-level</w:t>
      </w:r>
      <w:r>
        <w:t xml:space="preserve"> </w:t>
      </w:r>
      <w:r>
        <w:t xml:space="preserve">requirements. A deployed prescribing agent may instead be a pipeline of retrieval, tools,</w:t>
      </w:r>
      <w:r>
        <w:t xml:space="preserve"> </w:t>
      </w:r>
      <w:r>
        <w:t xml:space="preserve">submodels, deterministic rules, and reranking. A confidence score calibrated for one component</w:t>
      </w:r>
      <w:r>
        <w:t xml:space="preserve"> </w:t>
      </w:r>
      <w:r>
        <w:t xml:space="preserve">does not automatically express confidence in the final action, and a model-level epistemic–aleatoric</w:t>
      </w:r>
      <w:r>
        <w:t xml:space="preserve"> </w:t>
      </w:r>
      <w:r>
        <w:t xml:space="preserve">classification may not capture missing records, tool failure, or ambiguity introduced elsewhere in</w:t>
      </w:r>
      <w:r>
        <w:t xml:space="preserve"> </w:t>
      </w:r>
      <w:r>
        <w:t xml:space="preserve">the workflow. That extension is this Article’s inference, not the survey’s finding. The legally</w:t>
      </w:r>
      <w:r>
        <w:t xml:space="preserve"> </w:t>
      </w:r>
      <w:r>
        <w:t xml:space="preserve">relevant requirement is therefore harness-level: the deployed process must expose the evidence and</w:t>
      </w:r>
      <w:r>
        <w:t xml:space="preserve"> </w:t>
      </w:r>
      <w:r>
        <w:t xml:space="preserve">limits material to the action, trigger escalation on a tested basis, preserve a trace of how the action</w:t>
      </w:r>
      <w:r>
        <w:t xml:space="preserve"> </w:t>
      </w:r>
      <w:r>
        <w:t xml:space="preserve">was assembled, and leave a qualified clinician enough information, time, authority, and</w:t>
      </w:r>
      <w:r>
        <w:t xml:space="preserve"> </w:t>
      </w:r>
      <w:r>
        <w:t xml:space="preserve">institutional protection to refuse. The cascade identifies which layer generated, transformed,</w:t>
      </w:r>
      <w:r>
        <w:t xml:space="preserve"> </w:t>
      </w:r>
      <w:r>
        <w:t xml:space="preserve">or suppressed the signal; the charter assigns the gate, interface, monitoring, and stop</w:t>
      </w:r>
      <w:r>
        <w:t xml:space="preserve"> </w:t>
      </w:r>
      <w:r>
        <w:t xml:space="preserve">authority.</w:t>
      </w:r>
    </w:p>
    <w:p>
      <w:pPr>
        <w:pStyle w:val="BodyText"/>
      </w:pPr>
      <w:r>
        <w:t xml:space="preserve">Utah’s Doctronic pilot makes the performance question concrete. Its regulatory-mitigation</w:t>
      </w:r>
      <w:r>
        <w:t xml:space="preserve"> </w:t>
      </w:r>
      <w:r>
        <w:t xml:space="preserve">agreement originally contemplated a staged transition from prospective physician review to</w:t>
      </w:r>
      <w:r>
        <w:t xml:space="preserve"> </w:t>
      </w:r>
      <w:r>
        <w:t xml:space="preserve">retrospective review and then sampled auditing of prescription renewals. Utah later</w:t>
      </w:r>
      <w:r>
        <w:t xml:space="preserve"> </w:t>
      </w:r>
      <w:r>
        <w:t xml:space="preserve">tightened the transition criterion, and current state materials report that the pilot</w:t>
      </w:r>
      <w:r>
        <w:t xml:space="preserve"> </w:t>
      </w:r>
      <w:r>
        <w:t xml:space="preserve">remains in Phase 1, with every request requiring authorization by a licensed medical</w:t>
      </w:r>
      <w:r>
        <w:t xml:space="preserve"> </w:t>
      </w:r>
      <w:r>
        <w:t xml:space="preserve">practitioner.</w:t>
      </w:r>
      <w:r>
        <w:rPr>
          <w:rStyle w:val="FootnoteReference"/>
        </w:rPr>
        <w:footnoteReference w:id="107"/>
      </w:r>
      <w:bookmarkStart w:id="645" w:name="x1-49011f107"/>
      <w:bookmarkEnd w:id="645"/>
      <w:r>
        <w:t xml:space="preserve"> </w:t>
      </w:r>
      <w:r>
        <w:t xml:space="preserve">The initial validation reviewer is not, by itself, the answer to the anti-substitution inquiry. If</w:t>
      </w:r>
      <w:r>
        <w:t xml:space="preserve"> </w:t>
      </w:r>
      <w:r>
        <w:t xml:space="preserve">case-specific review is later removed, the institution must identify what continues to perform the</w:t>
      </w:r>
      <w:r>
        <w:t xml:space="preserve"> </w:t>
      </w:r>
      <w:r>
        <w:t xml:space="preserve">legally protected function: which conditions force escalation, what information reaches an</w:t>
      </w:r>
      <w:r>
        <w:t xml:space="preserve"> </w:t>
      </w:r>
      <w:r>
        <w:t xml:space="preserve">empowered clinician, who monitors drift and exceptions, and who can suspend the system.</w:t>
      </w:r>
      <w:r>
        <w:t xml:space="preserve"> </w:t>
      </w:r>
      <w:r>
        <w:t xml:space="preserve">Regulatory forbearance changes the enforcement posture. It does not itself constitute professional</w:t>
      </w:r>
      <w:r>
        <w:t xml:space="preserve"> </w:t>
      </w:r>
      <w:r>
        <w:t xml:space="preserve">judgment or follow-up.</w:t>
      </w:r>
    </w:p>
    <w:p>
      <w:pPr>
        <w:pStyle w:val="BodyText"/>
      </w:pPr>
      <w:r>
        <w:t xml:space="preserve">Relational AI presents a different opportunity and the same legal structure. A</w:t>
      </w:r>
      <w:r>
        <w:t xml:space="preserve"> </w:t>
      </w:r>
      <w:r>
        <w:t xml:space="preserve">companion can reduce isolation, translate, remind, help a user rehearse a difficult exchange,</w:t>
      </w:r>
      <w:r>
        <w:t xml:space="preserve"> </w:t>
      </w:r>
      <w:r>
        <w:t xml:space="preserve">or extend supportive contact. Its availability does not authorize a care institution to</w:t>
      </w:r>
      <w:r>
        <w:t xml:space="preserve"> </w:t>
      </w:r>
      <w:r>
        <w:t xml:space="preserve">withdraw staffing required by another law, an insurer to deny covered treatment, or a public</w:t>
      </w:r>
      <w:r>
        <w:t xml:space="preserve"> </w:t>
      </w:r>
      <w:r>
        <w:t xml:space="preserve">program to replace an accessible service path with an endless automated loop. The</w:t>
      </w:r>
      <w:r>
        <w:t xml:space="preserve"> </w:t>
      </w:r>
      <w:r>
        <w:t xml:space="preserve">relevant comparison is not human versus machine in the abstract. It is the protection</w:t>
      </w:r>
      <w:r>
        <w:t xml:space="preserve"> </w:t>
      </w:r>
      <w:r>
        <w:t xml:space="preserve">promised by the governing duty versus the protection actually delivered through the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principle also disciplines provider-controlled transitions. A voluntary companion service</w:t>
      </w:r>
      <w:r>
        <w:t xml:space="preserve"> </w:t>
      </w:r>
      <w:r>
        <w:t xml:space="preserve">does not become property owned by the user, and a provider does not incur a general obligation to</w:t>
      </w:r>
      <w:r>
        <w:t xml:space="preserve"> </w:t>
      </w:r>
      <w:r>
        <w:t xml:space="preserve">operate every persona indefinitely. But where consumer, disability, health, contract, or another law</w:t>
      </w:r>
      <w:r>
        <w:t xml:space="preserve"> </w:t>
      </w:r>
      <w:r>
        <w:t xml:space="preserve">independently recognizes a relevant duty, foreseeable dependence can make continuity notice, data</w:t>
      </w:r>
      <w:r>
        <w:t xml:space="preserve"> </w:t>
      </w:r>
      <w:r>
        <w:t xml:space="preserve">export, crisis safeguards, and a safe exit part of its performance. Research on companion loss and</w:t>
      </w:r>
      <w:r>
        <w:t xml:space="preserve"> </w:t>
      </w:r>
      <w:r>
        <w:t xml:space="preserve">repeated relational exposure makes those consequences predictable enough to enter the process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108"/>
      </w:r>
      <w:bookmarkStart w:id="651" w:name="x1-49015f108"/>
      <w:bookmarkEnd w:id="651"/>
      <w:r>
        <w:t xml:space="preserve"> </w:t>
      </w:r>
      <w:r>
        <w:t xml:space="preserve">The protected interests are the user’s autonomy, psychological health, safety, and access to an</w:t>
      </w:r>
      <w:r>
        <w:t xml:space="preserve"> </w:t>
      </w:r>
      <w:r>
        <w:t xml:space="preserve">intelligible transition—not ownership of an artificial relationship.</w:t>
      </w:r>
    </w:p>
    <w:bookmarkEnd w:id="652"/>
    <w:bookmarkStart w:id="654" w:name="X90e00dee5ac1be3ff8e3bef1091cb49e6bf34fa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653" w:name="x1-50000D"/>
      <w:bookmarkEnd w:id="653"/>
      <w:r>
        <w:t xml:space="preserve">Automation That Performs the Duty Is Not Substitution</w:t>
      </w:r>
    </w:p>
    <w:p>
      <w:pPr>
        <w:pStyle w:val="FirstParagraph"/>
      </w:pPr>
      <w:r>
        <w:t xml:space="preserve">The principle neither freezes a deficient baseline nor creates an entitlement to a human channel. Its</w:t>
      </w:r>
      <w:r>
        <w:t xml:space="preserve"> </w:t>
      </w:r>
      <w:r>
        <w:t xml:space="preserve">reach is fixed by the first question—the source and scope of the independent duty. Where no duty</w:t>
      </w:r>
      <w:r>
        <w:t xml:space="preserve"> </w:t>
      </w:r>
      <w:r>
        <w:t xml:space="preserve">reaches the person or service at issue, there is nothing for automation to displace, and the</w:t>
      </w:r>
      <w:r>
        <w:t xml:space="preserve"> </w:t>
      </w:r>
      <w:r>
        <w:t xml:space="preserve">principle is silent. Where a duty does apply, an automated path that expands rural</w:t>
      </w:r>
      <w:r>
        <w:t xml:space="preserve"> </w:t>
      </w:r>
      <w:r>
        <w:t xml:space="preserve">availability, reduces delay, or lowers cost may be the better performance of that duty. Those</w:t>
      </w:r>
      <w:r>
        <w:t xml:space="preserve"> </w:t>
      </w:r>
      <w:r>
        <w:t xml:space="preserve">gains count in the functional inquiry; they do not change the function law protects. The</w:t>
      </w:r>
      <w:r>
        <w:t xml:space="preserve"> </w:t>
      </w:r>
      <w:r>
        <w:t xml:space="preserve">comparison is between the protection the governing law requires and the protection the</w:t>
      </w:r>
      <w:r>
        <w:t xml:space="preserve"> </w:t>
      </w:r>
      <w:r>
        <w:t xml:space="preserve">deployed path delivers, not between automation and an ideal human service the law never</w:t>
      </w:r>
      <w:r>
        <w:t xml:space="preserve"> </w:t>
      </w:r>
      <w:r>
        <w:t xml:space="preserve">promised.</w:t>
      </w:r>
    </w:p>
    <w:p>
      <w:pPr>
        <w:pStyle w:val="BodyText"/>
      </w:pPr>
      <w:r>
        <w:t xml:space="preserve">The principle’s boundary is affirmative. It protects automation that actually performs the</w:t>
      </w:r>
      <w:r>
        <w:t xml:space="preserve"> </w:t>
      </w:r>
      <w:r>
        <w:t xml:space="preserve">legal function. A multilingual benefits assistant that makes notices intelligible, a clinical system</w:t>
      </w:r>
      <w:r>
        <w:t xml:space="preserve"> </w:t>
      </w:r>
      <w:r>
        <w:t xml:space="preserve">that gives a professional better evidence and usable override authority, or a companion service that</w:t>
      </w:r>
      <w:r>
        <w:t xml:space="preserve"> </w:t>
      </w:r>
      <w:r>
        <w:t xml:space="preserve">supplements human support can strengthen the underlying right or duty. Requiring the institution</w:t>
      </w:r>
      <w:r>
        <w:t xml:space="preserve"> </w:t>
      </w:r>
      <w:r>
        <w:t xml:space="preserve">to name the function, preserve feedback, and maintain correction makes those deployments more</w:t>
      </w:r>
      <w:r>
        <w:t xml:space="preserve"> </w:t>
      </w:r>
      <w:r>
        <w:t xml:space="preserve">dependable.</w:t>
      </w:r>
    </w:p>
    <w:p>
      <w:pPr>
        <w:pStyle w:val="BodyText"/>
      </w:pPr>
      <w:r>
        <w:t xml:space="preserve">Two distinctions keep the rule exact. The first separates a protected function from a</w:t>
      </w:r>
      <w:r>
        <w:t xml:space="preserve"> </w:t>
      </w:r>
      <w:r>
        <w:t xml:space="preserve">demanded medium. Unless the governing law says otherwise, there is no general right to a human</w:t>
      </w:r>
      <w:r>
        <w:t xml:space="preserve"> </w:t>
      </w:r>
      <w:r>
        <w:t xml:space="preserve">conversation, a particular employee, a favorite model, or permanent access to a commercial</w:t>
      </w:r>
      <w:r>
        <w:t xml:space="preserve"> </w:t>
      </w:r>
      <w:r>
        <w:t xml:space="preserve">persona. The second separates human responsibility from human tokenism. Preserving a duty does</w:t>
      </w:r>
      <w:r>
        <w:t xml:space="preserve"> </w:t>
      </w:r>
      <w:r>
        <w:t xml:space="preserve">not require a person to repeat the model’s work. It requires an institutional path by</w:t>
      </w:r>
      <w:r>
        <w:t xml:space="preserve"> </w:t>
      </w:r>
      <w:r>
        <w:t xml:space="preserve">which the beneficiary can understand, challenge, and obtain the performance the duty</w:t>
      </w:r>
      <w:r>
        <w:t xml:space="preserve"> </w:t>
      </w:r>
      <w:r>
        <w:t xml:space="preserve">secures.</w:t>
      </w:r>
    </w:p>
    <w:p>
      <w:pPr>
        <w:pStyle w:val="BodyText"/>
      </w:pPr>
      <w:r>
        <w:t xml:space="preserve">The anti-substitution principle therefore completes the responsibility architecture. The</w:t>
      </w:r>
      <w:r>
        <w:t xml:space="preserve"> </w:t>
      </w:r>
      <w:r>
        <w:t xml:space="preserve">front-door rule prevents an enterprise from pointing inward to an unidentified worker or outward to</w:t>
      </w:r>
      <w:r>
        <w:t xml:space="preserve"> </w:t>
      </w:r>
      <w:r>
        <w:t xml:space="preserve">an artificial agent. Anti-substitution prevents a duty holder from pointing to the mere</w:t>
      </w:r>
      <w:r>
        <w:t xml:space="preserve"> </w:t>
      </w:r>
      <w:r>
        <w:t xml:space="preserve">existence of an automated service. In both settings, the cascade asks the same question:</w:t>
      </w:r>
      <w:r>
        <w:t xml:space="preserve"> </w:t>
      </w:r>
      <w:r>
        <w:t xml:space="preserve">where is the actor with the information and authority to make the legal protection</w:t>
      </w:r>
      <w:r>
        <w:t xml:space="preserve"> </w:t>
      </w:r>
      <w:r>
        <w:t xml:space="preserve">effective?</w:t>
      </w:r>
    </w:p>
    <w:bookmarkEnd w:id="654"/>
    <w:bookmarkEnd w:id="655"/>
    <w:bookmarkStart w:id="701" w:name="capability-boundaries-and-state-power"/>
    <w:p>
      <w:pPr>
        <w:pStyle w:val="Heading3"/>
      </w:pPr>
      <w:r>
        <w:t xml:space="preserve">VI</w:t>
      </w:r>
      <w:r>
        <w:t xml:space="preserve"> </w:t>
      </w:r>
      <w:r>
        <w:t xml:space="preserve"> </w:t>
      </w:r>
      <w:bookmarkStart w:id="656" w:name="x1-51000VI"/>
      <w:bookmarkEnd w:id="656"/>
      <w:r>
        <w:t xml:space="preserve">Capability Boundaries and State Power</w:t>
      </w:r>
    </w:p>
    <w:p>
      <w:pPr>
        <w:pStyle w:val="FirstParagraph"/>
      </w:pPr>
      <w:r>
        <w:t xml:space="preserve">The framework developed so far is allocative. It identifies legal subjects, permits functional</w:t>
      </w:r>
      <w:r>
        <w:t xml:space="preserve"> </w:t>
      </w:r>
      <w:r>
        <w:t xml:space="preserve">classifications, maps control, and places external and internal responsibility. Allocation alone does</w:t>
      </w:r>
      <w:r>
        <w:t xml:space="preserve"> </w:t>
      </w:r>
      <w:r>
        <w:t xml:space="preserve">not require every user to receive every capability or permit a government to compel</w:t>
      </w:r>
      <w:r>
        <w:t xml:space="preserve"> </w:t>
      </w:r>
      <w:r>
        <w:t xml:space="preserve">every desired use. This Part identifies two boundaries that follow from the same control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First, unequal capability can be legitimate, but consequential tiering should be</w:t>
      </w:r>
      <w:r>
        <w:t xml:space="preserve"> </w:t>
      </w:r>
      <w:r>
        <w:t xml:space="preserve">proportionate, transparent, reviewable, and capable of escalation. Second, the government may</w:t>
      </w:r>
      <w:r>
        <w:t xml:space="preserve"> </w:t>
      </w:r>
      <w:r>
        <w:t xml:space="preserve">choose its tools and specifications, especially for national security, but procurement authority is not</w:t>
      </w:r>
      <w:r>
        <w:t xml:space="preserve"> </w:t>
      </w:r>
      <w:r>
        <w:t xml:space="preserve">a general power to punish a supplier’s protected refusal or conscript its technology for every</w:t>
      </w:r>
      <w:r>
        <w:t xml:space="preserve"> </w:t>
      </w:r>
      <w:r>
        <w:t xml:space="preserve">lawful use. Part V has already supplied the parallel boundary for care and public service:</w:t>
      </w:r>
      <w:r>
        <w:t xml:space="preserve"> </w:t>
      </w:r>
      <w:r>
        <w:t xml:space="preserve">automation can perform an existing duty, but its availability does not itself discharge</w:t>
      </w:r>
      <w:r>
        <w:t xml:space="preserve"> </w:t>
      </w:r>
      <w:r>
        <w:t xml:space="preserve">one.</w:t>
      </w:r>
    </w:p>
    <w:bookmarkStart w:id="672" w:name="X7217000e212fc635153314ac8fa02768838a58b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657" w:name="x1-52000A"/>
      <w:bookmarkEnd w:id="657"/>
      <w:r>
        <w:t xml:space="preserve">Capability Stratification Without Status Stratification</w:t>
      </w:r>
    </w:p>
    <w:p>
      <w:pPr>
        <w:pStyle w:val="FirstParagraph"/>
      </w:pPr>
      <w:r>
        <w:t xml:space="preserve">AI systems are already stratified. A public user may receive a conversational interface with limited</w:t>
      </w:r>
      <w:r>
        <w:t xml:space="preserve"> </w:t>
      </w:r>
      <w:r>
        <w:t xml:space="preserve">tools. A professional may receive longer context, domain data, and auditable workflow integration.</w:t>
      </w:r>
      <w:r>
        <w:t xml:space="preserve"> </w:t>
      </w:r>
      <w:r>
        <w:t xml:space="preserve">A researcher may receive weights or a sandbox. A government may receive classified hosting,</w:t>
      </w:r>
      <w:r>
        <w:t xml:space="preserve"> </w:t>
      </w:r>
      <w:r>
        <w:t xml:space="preserve">specialized data, and operational tools. An enterprise may reserve higher rate limits and support</w:t>
      </w:r>
      <w:r>
        <w:t xml:space="preserve"> </w:t>
      </w:r>
      <w:r>
        <w:t xml:space="preserve">for customers able to pay. These differences can reflect security, competence, scarcity, legal</w:t>
      </w:r>
      <w:r>
        <w:t xml:space="preserve"> </w:t>
      </w:r>
      <w:r>
        <w:t xml:space="preserve">obligation, or commercial choice. They do not make the system a different kind of legal</w:t>
      </w:r>
      <w:r>
        <w:t xml:space="preserve"> </w:t>
      </w:r>
      <w:r>
        <w:t xml:space="preserve">subject.</w:t>
      </w:r>
    </w:p>
    <w:p>
      <w:pPr>
        <w:pStyle w:val="BodyText"/>
      </w:pPr>
      <w:r>
        <w:t xml:space="preserve">The first mistake is therefore to announce that unequal model access is inherently unlawful.</w:t>
      </w:r>
      <w:r>
        <w:t xml:space="preserve"> </w:t>
      </w:r>
      <w:r>
        <w:t xml:space="preserve">Law regularly permits differentiated access to dangerous equipment, licensed services, secure data,</w:t>
      </w:r>
      <w:r>
        <w:t xml:space="preserve"> </w:t>
      </w:r>
      <w:r>
        <w:t xml:space="preserve">and scarce resources. A medical deployment should not expose patient records and ordering tools</w:t>
      </w:r>
      <w:r>
        <w:t xml:space="preserve"> </w:t>
      </w:r>
      <w:r>
        <w:t xml:space="preserve">to every public user; a government system may require a cleared environment; a research</w:t>
      </w:r>
      <w:r>
        <w:t xml:space="preserve"> </w:t>
      </w:r>
      <w:r>
        <w:t xml:space="preserve">release may need controls unavailable in a consumer application. Risk-graded regulation</w:t>
      </w:r>
      <w:r>
        <w:t xml:space="preserve"> </w:t>
      </w:r>
      <w:r>
        <w:t xml:space="preserve">itself relies on differentiation. The EU AI Act, for example, connects obligations to the</w:t>
      </w:r>
      <w:r>
        <w:t xml:space="preserve"> </w:t>
      </w:r>
      <w:r>
        <w:t xml:space="preserve">intended use, actor, and risk of a system rather than demanding a single capability for</w:t>
      </w:r>
      <w:r>
        <w:t xml:space="preserve"> </w:t>
      </w:r>
      <w:r>
        <w:t xml:space="preserve">all.</w:t>
      </w:r>
      <w:r>
        <w:rPr>
          <w:rStyle w:val="FootnoteReference"/>
        </w:rPr>
        <w:footnoteReference w:id="109"/>
      </w:r>
      <w:bookmarkStart w:id="661" w:name="x1-52001f109"/>
      <w:bookmarkEnd w:id="661"/>
    </w:p>
    <w:p>
      <w:pPr>
        <w:pStyle w:val="BodyText"/>
      </w:pPr>
      <w:r>
        <w:t xml:space="preserve">The opposite mistake is to treat every capability boundary as a private technical fact.</w:t>
      </w:r>
      <w:r>
        <w:t xml:space="preserve"> </w:t>
      </w:r>
      <w:r>
        <w:t xml:space="preserve">Tiering can determine who receives an educational accommodation, who can challenge a benefits</w:t>
      </w:r>
      <w:r>
        <w:t xml:space="preserve"> </w:t>
      </w:r>
      <w:r>
        <w:t xml:space="preserve">decision, which clinician sees uncertainty, or whose account is automatically banned. In those</w:t>
      </w:r>
      <w:r>
        <w:t xml:space="preserve"> </w:t>
      </w:r>
      <w:r>
        <w:t xml:space="preserve">settings, the relevant provider or institution remains subject to ordinary antidiscrimination,</w:t>
      </w:r>
      <w:r>
        <w:t xml:space="preserve"> </w:t>
      </w:r>
      <w:r>
        <w:t xml:space="preserve">consumer, contract, administrative, and constitutional rules. “The model assigned the tier” does</w:t>
      </w:r>
      <w:r>
        <w:t xml:space="preserve"> </w:t>
      </w:r>
      <w:r>
        <w:t xml:space="preserve">not alter the legal subject or the nature of the decision.</w:t>
      </w:r>
    </w:p>
    <w:p>
      <w:pPr>
        <w:pStyle w:val="BodyText"/>
      </w:pPr>
      <w:r>
        <w:t xml:space="preserve">Four governance conditions make stratification legible without demanding uniformity.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Proportionality</w:t>
      </w:r>
      <w:r>
        <w:t xml:space="preserve">: a restriction should track the material risk, resource, or legal constraint</w:t>
      </w:r>
      <w:r>
        <w:t xml:space="preserve"> </w:t>
      </w:r>
      <w:r>
        <w:t xml:space="preserve">asserted. A limit designed for autonomous execution should not silently disable harmless</w:t>
      </w:r>
      <w:r>
        <w:t xml:space="preserve"> </w:t>
      </w:r>
      <w:r>
        <w:t xml:space="preserve">explanation; a security rule should not become a pretext for excluding a protected class.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Transparency</w:t>
      </w:r>
      <w:r>
        <w:t xml:space="preserve">: in a consequential setting, affected persons should know that capability</w:t>
      </w:r>
      <w:r>
        <w:t xml:space="preserve"> </w:t>
      </w:r>
      <w:r>
        <w:t xml:space="preserve">has been limited, the category of reason, the decisionmaker, and the route to review.</w:t>
      </w:r>
      <w:r>
        <w:t xml:space="preserve"> </w:t>
      </w:r>
      <w:r>
        <w:t xml:space="preserve">Transparency does not require publication of exploit details, model weights, classified</w:t>
      </w:r>
      <w:r>
        <w:t xml:space="preserve"> </w:t>
      </w:r>
      <w:r>
        <w:t xml:space="preserve">information, or another person’s data.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Review</w:t>
      </w:r>
      <w:r>
        <w:t xml:space="preserve">: a person should be able to contest a mistaken tier, automated ban, or</w:t>
      </w:r>
      <w:r>
        <w:t xml:space="preserve"> </w:t>
      </w:r>
      <w:r>
        <w:t xml:space="preserve">consequential capability denial before an actor with information and authority to change</w:t>
      </w:r>
      <w:r>
        <w:t xml:space="preserve"> </w:t>
      </w:r>
      <w:r>
        <w:t xml:space="preserve">it. The required process depends on the underlying legal interest; a consumer feature</w:t>
      </w:r>
      <w:r>
        <w:t xml:space="preserve"> </w:t>
      </w:r>
      <w:r>
        <w:t xml:space="preserve">request and termination of essential benefits are not equivalent.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Escalation</w:t>
      </w:r>
      <w:r>
        <w:t xml:space="preserve">: where broader capability can be used safely by a qualified actor or under</w:t>
      </w:r>
      <w:r>
        <w:t xml:space="preserve"> </w:t>
      </w:r>
      <w:r>
        <w:t xml:space="preserve">added controls, the system should identify a path to that setting rather than treat the</w:t>
      </w:r>
      <w:r>
        <w:t xml:space="preserve"> </w:t>
      </w:r>
      <w:r>
        <w:t xml:space="preserve">lowest public tier as the limit of possible service.</w:t>
      </w:r>
    </w:p>
    <w:p>
      <w:pPr>
        <w:pStyle w:val="FirstParagraph"/>
      </w:pPr>
      <w:r>
        <w:t xml:space="preserve">These conditions derive from control rather than a new equality entitlement. NIST’s framework</w:t>
      </w:r>
      <w:r>
        <w:t xml:space="preserve"> </w:t>
      </w:r>
      <w:r>
        <w:t xml:space="preserve">and its generative-AI profile ask organizations to document roles, context, human oversight, credentials,</w:t>
      </w:r>
      <w:r>
        <w:t xml:space="preserve"> </w:t>
      </w:r>
      <w:r>
        <w:t xml:space="preserve">feedback, impacts, and change controls; the deployment cascade identifies who can review and change</w:t>
      </w:r>
      <w:r>
        <w:t xml:space="preserve"> </w:t>
      </w:r>
      <w:r>
        <w:t xml:space="preserve">a tier.</w:t>
      </w:r>
      <w:r>
        <w:rPr>
          <w:rStyle w:val="FootnoteReference"/>
        </w:rPr>
        <w:footnoteReference w:id="110"/>
      </w:r>
      <w:bookmarkStart w:id="671" w:name="x1-52008f110"/>
      <w:bookmarkEnd w:id="671"/>
      <w:r>
        <w:t xml:space="preserve"> </w:t>
      </w:r>
      <w:r>
        <w:t xml:space="preserve">Public-law requirements can add notice and hearing when government action affects a protected</w:t>
      </w:r>
      <w:r>
        <w:t xml:space="preserve"> </w:t>
      </w:r>
      <w:r>
        <w:t xml:space="preserve">interest. Civil-rights law can prohibit criteria or effects within its scope. Consumer law can</w:t>
      </w:r>
      <w:r>
        <w:t xml:space="preserve"> </w:t>
      </w:r>
      <w:r>
        <w:t xml:space="preserve">police a misleading representation that all users receive a capability when a hidden rule</w:t>
      </w:r>
      <w:r>
        <w:t xml:space="preserve"> </w:t>
      </w:r>
      <w:r>
        <w:t xml:space="preserve">says otherwise. The minimum leaves each source of law intact and makes its object</w:t>
      </w:r>
      <w:r>
        <w:t xml:space="preserve"> </w:t>
      </w:r>
      <w:r>
        <w:t xml:space="preserve">visible.</w:t>
      </w:r>
    </w:p>
    <w:p>
      <w:pPr>
        <w:pStyle w:val="BodyText"/>
      </w:pPr>
      <w:r>
        <w:t xml:space="preserve">Capability and responsibility should also remain aligned. A vendor that gives a professional</w:t>
      </w:r>
      <w:r>
        <w:t xml:space="preserve"> </w:t>
      </w:r>
      <w:r>
        <w:t xml:space="preserve">deployer powerful tools but withholds necessary risk information creates a different record from one</w:t>
      </w:r>
      <w:r>
        <w:t xml:space="preserve"> </w:t>
      </w:r>
      <w:r>
        <w:t xml:space="preserve">that supplies evaluation, training, monitoring, and stop controls. A deployer that requests a</w:t>
      </w:r>
      <w:r>
        <w:t xml:space="preserve"> </w:t>
      </w:r>
      <w:r>
        <w:t xml:space="preserve">restricted capability and then ignores its conditions cannot rely on the vendor’s brand.</w:t>
      </w:r>
      <w:r>
        <w:t xml:space="preserve"> </w:t>
      </w:r>
      <w:r>
        <w:t xml:space="preserve">An automated gate that no one can explain or review reveals a missing controller in</w:t>
      </w:r>
      <w:r>
        <w:t xml:space="preserve"> </w:t>
      </w:r>
      <w:r>
        <w:t xml:space="preserve">the cascade. The legal question is not whether tiering exists, but whether the actor</w:t>
      </w:r>
      <w:r>
        <w:t xml:space="preserve"> </w:t>
      </w:r>
      <w:r>
        <w:t xml:space="preserve">responsible for the consequential boundary can justify and correct it under the applicable</w:t>
      </w:r>
      <w:r>
        <w:t xml:space="preserve"> </w:t>
      </w:r>
      <w:r>
        <w:t xml:space="preserve">rule.</w:t>
      </w:r>
    </w:p>
    <w:bookmarkEnd w:id="672"/>
    <w:bookmarkStart w:id="700" w:name="X82d192677fe1cd655f17f9f66c5da82c5c928e3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73" w:name="x1-53000B"/>
      <w:bookmarkEnd w:id="673"/>
      <w:r>
        <w:t xml:space="preserve">State Power: Procurement, Conditions, and Retaliation</w:t>
      </w:r>
    </w:p>
    <w:p>
      <w:pPr>
        <w:pStyle w:val="FirstParagraph"/>
      </w:pPr>
      <w:r>
        <w:t xml:space="preserve">The state occupies two positions in AI governance. It is a regulator capable of imposing public</w:t>
      </w:r>
      <w:r>
        <w:t xml:space="preserve"> </w:t>
      </w:r>
      <w:r>
        <w:t xml:space="preserve">duties, and it is an enormous purchaser capable of shaping private systems through contracts. Both</w:t>
      </w:r>
      <w:r>
        <w:t xml:space="preserve"> </w:t>
      </w:r>
      <w:r>
        <w:t xml:space="preserve">powers are legitimate and bounded. The 2026 dispute between Anthropic and the United States</w:t>
      </w:r>
      <w:r>
        <w:t xml:space="preserve"> </w:t>
      </w:r>
      <w:r>
        <w:t xml:space="preserve">Department of War provides the clearest current anchor.</w:t>
      </w:r>
    </w:p>
    <w:bookmarkStart w:id="699" w:name="the-anthropicpentagon-controversy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674" w:name="x1-540001"/>
      <w:bookmarkEnd w:id="674"/>
      <w:r>
        <w:t xml:space="preserve">The Anthropic–Pentagon Controversy</w:t>
      </w:r>
    </w:p>
    <w:p>
      <w:pPr>
        <w:pStyle w:val="FirstParagraph"/>
      </w:pPr>
      <w:r>
        <w:t xml:space="preserve">Anthropic developed Claude and, beginning in 2024, made versions available to federal intelligence</w:t>
      </w:r>
      <w:r>
        <w:t xml:space="preserve"> </w:t>
      </w:r>
      <w:r>
        <w:t xml:space="preserve">and defense users through commercial and classified computing environments. A 2025</w:t>
      </w:r>
      <w:r>
        <w:t xml:space="preserve"> </w:t>
      </w:r>
      <w:r>
        <w:t xml:space="preserve">agreement carried a ceiling of 200 million dollars. When the government later demanded</w:t>
      </w:r>
      <w:r>
        <w:t xml:space="preserve"> </w:t>
      </w:r>
      <w:r>
        <w:t xml:space="preserve">authorization for “all lawful uses,” Anthropic substantially narrowed its usage restrictions but</w:t>
      </w:r>
      <w:r>
        <w:t xml:space="preserve"> </w:t>
      </w:r>
      <w:r>
        <w:t xml:space="preserve">preserved two contractual red lines: lethal autonomous warfare and mass surveillance of</w:t>
      </w:r>
      <w:r>
        <w:t xml:space="preserve"> </w:t>
      </w:r>
      <w:r>
        <w:t xml:space="preserve">Americans. The deployed models were static; Anthropic could not see government prompts,</w:t>
      </w:r>
      <w:r>
        <w:t xml:space="preserve"> </w:t>
      </w:r>
      <w:r>
        <w:t xml:space="preserve">technically block a particular use, or reach the systems through a back door. The parties</w:t>
      </w:r>
      <w:r>
        <w:t xml:space="preserve"> </w:t>
      </w:r>
      <w:r>
        <w:t xml:space="preserve">reached no agreement by the government’s February 27 deadline, although negotiation</w:t>
      </w:r>
      <w:r>
        <w:t xml:space="preserve"> </w:t>
      </w:r>
      <w:r>
        <w:t xml:space="preserve">and collaboration continued afterward. According to the district court’s record, three</w:t>
      </w:r>
      <w:r>
        <w:t xml:space="preserve"> </w:t>
      </w:r>
      <w:r>
        <w:t xml:space="preserve">challenged actions followed. A February 27 Presidential Directive ordered government-wide</w:t>
      </w:r>
      <w:r>
        <w:t xml:space="preserve"> </w:t>
      </w:r>
      <w:r>
        <w:t xml:space="preserve">cessation with a six-month transition. Later that day, the Secretary of Defense directed</w:t>
      </w:r>
      <w:r>
        <w:t xml:space="preserve"> </w:t>
      </w:r>
      <w:r>
        <w:t xml:space="preserve">commencement of a supply-chain designation process while immediately announcing a</w:t>
      </w:r>
      <w:r>
        <w:t xml:space="preserve"> </w:t>
      </w:r>
      <w:r>
        <w:t xml:space="preserve">broader prohibition reaching military contractors and suppliers. A March 3 determination,</w:t>
      </w:r>
      <w:r>
        <w:t xml:space="preserve"> </w:t>
      </w:r>
      <w:r>
        <w:t xml:space="preserve">noticed March 4, then formally invoked 10 U.S.C.</w:t>
      </w:r>
      <w:r>
        <w:t xml:space="preserve"> </w:t>
      </w:r>
      <w:r>
        <w:t xml:space="preserve">§</w:t>
      </w:r>
      <w:r>
        <w:t xml:space="preserve"> 3252 for national-security-system</w:t>
      </w:r>
      <w:r>
        <w:t xml:space="preserve"> </w:t>
      </w:r>
      <w:r>
        <w:t xml:space="preserve">procurement.</w:t>
      </w:r>
      <w:r>
        <w:rPr>
          <w:rStyle w:val="FootnoteReference"/>
        </w:rPr>
        <w:footnoteReference w:id="111"/>
      </w:r>
      <w:bookmarkStart w:id="678" w:name="x1-54001f111"/>
      <w:bookmarkEnd w:id="678"/>
    </w:p>
    <w:p>
      <w:pPr>
        <w:pStyle w:val="BodyText"/>
      </w:pPr>
      <w:r>
        <w:t xml:space="preserve">In March 2026, Judge Rita F. Lin preliminarily enjoined the directives and designation. The</w:t>
      </w:r>
      <w:r>
        <w:t xml:space="preserve"> </w:t>
      </w:r>
      <w:r>
        <w:t xml:space="preserve">order emphasized a boundary that survives every procedural stage: it did not require the</w:t>
      </w:r>
      <w:r>
        <w:t xml:space="preserve"> </w:t>
      </w:r>
      <w:r>
        <w:t xml:space="preserve">government to use Anthropic’s products and did not prevent a lawful transition to another</w:t>
      </w:r>
      <w:r>
        <w:t xml:space="preserve"> </w:t>
      </w:r>
      <w:r>
        <w:t xml:space="preserve">provider.</w:t>
      </w:r>
      <w:r>
        <w:rPr>
          <w:rStyle w:val="FootnoteReference"/>
        </w:rPr>
        <w:footnoteReference w:id="112"/>
      </w:r>
      <w:bookmarkStart w:id="682" w:name="x1-54004f112"/>
      <w:bookmarkEnd w:id="682"/>
      <w:r>
        <w:t xml:space="preserve"> </w:t>
      </w:r>
      <w:r>
        <w:t xml:space="preserve">On August 27, 2026, the district court granted summary judgment to Anthropic on its First</w:t>
      </w:r>
      <w:r>
        <w:t xml:space="preserve"> </w:t>
      </w:r>
      <w:r>
        <w:t xml:space="preserve">Amendment retaliation and Fifth Amendment stigma-plus due-process claims and on core</w:t>
      </w:r>
      <w:r>
        <w:t xml:space="preserve"> </w:t>
      </w:r>
      <w:r>
        <w:t xml:space="preserve">Administrative Procedure Act claims, entered final judgment, and closed the case. It held that 10</w:t>
      </w:r>
      <w:r>
        <w:t xml:space="preserve"> </w:t>
      </w:r>
      <w:r>
        <w:t xml:space="preserve">U.S.C. section 3252 addressed adversarial sabotage or subversion, not punishment of a domestic</w:t>
      </w:r>
      <w:r>
        <w:t xml:space="preserve"> </w:t>
      </w:r>
      <w:r>
        <w:t xml:space="preserve">supplier for its public safety position; the designation was beyond authority, procedurally deficient,</w:t>
      </w:r>
      <w:r>
        <w:t xml:space="preserve"> </w:t>
      </w:r>
      <w:r>
        <w:t xml:space="preserve">arbitrary, and pretextual. It also found no statutory authority for the Secretary’s secondary</w:t>
      </w:r>
      <w:r>
        <w:t xml:space="preserve"> </w:t>
      </w:r>
      <w:r>
        <w:t xml:space="preserve">boycott of firms doing business with the military. The court vacated the designation and barred</w:t>
      </w:r>
      <w:r>
        <w:t xml:space="preserve"> </w:t>
      </w:r>
      <w:r>
        <w:t xml:space="preserve">enforcement of the retaliatory directives while preserving ordinary lawful procurement</w:t>
      </w:r>
      <w:r>
        <w:t xml:space="preserve"> </w:t>
      </w:r>
      <w:r>
        <w:t xml:space="preserve">choice.</w:t>
      </w:r>
      <w:r>
        <w:rPr>
          <w:rStyle w:val="FootnoteReference"/>
        </w:rPr>
        <w:footnoteReference w:id="113"/>
      </w:r>
      <w:bookmarkStart w:id="688" w:name="x1-54007f113"/>
      <w:bookmarkEnd w:id="688"/>
    </w:p>
    <w:p>
      <w:pPr>
        <w:pStyle w:val="BodyText"/>
      </w:pPr>
      <w:r>
        <w:t xml:space="preserve">The controversy is important because the strongest argument for the government is</w:t>
      </w:r>
      <w:r>
        <w:t xml:space="preserve"> </w:t>
      </w:r>
      <w:r>
        <w:t xml:space="preserve">substantial. Military purchasers must control mission requirements, reliability, availability,</w:t>
      </w:r>
      <w:r>
        <w:t xml:space="preserve"> </w:t>
      </w:r>
      <w:r>
        <w:t xml:space="preserve">classified integration, and lawful use. A vendor’s unilateral restriction can create operational risk,</w:t>
      </w:r>
      <w:r>
        <w:t xml:space="preserve"> </w:t>
      </w:r>
      <w:r>
        <w:t xml:space="preserve">and the government need not design a mission around one company’s policy. National-security</w:t>
      </w:r>
      <w:r>
        <w:t xml:space="preserve"> </w:t>
      </w:r>
      <w:r>
        <w:t xml:space="preserve">procurement also involves predictive judgments that courts are institutionally cautious to</w:t>
      </w:r>
      <w:r>
        <w:t xml:space="preserve"> </w:t>
      </w:r>
      <w:r>
        <w:t xml:space="preserve">second-guess. Nothing in the jurisprudential minimum gives an AI provider a right to a federal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That argument supports selection, specification, and transition. It does not establish a</w:t>
      </w:r>
      <w:r>
        <w:t xml:space="preserve"> </w:t>
      </w:r>
      <w:r>
        <w:t xml:space="preserve">power to impose market-wide penalties because a company criticizes the government’s position or</w:t>
      </w:r>
      <w:r>
        <w:t xml:space="preserve"> </w:t>
      </w:r>
      <w:r>
        <w:t xml:space="preserve">refuses to alter its general product. The final opinion distinguished the government as market</w:t>
      </w:r>
      <w:r>
        <w:t xml:space="preserve"> </w:t>
      </w:r>
      <w:r>
        <w:t xml:space="preserve">participant administering a contract from the government as sovereign imposing a public stigma,</w:t>
      </w:r>
      <w:r>
        <w:t xml:space="preserve"> </w:t>
      </w:r>
      <w:r>
        <w:t xml:space="preserve">government-wide ban, and third-party boycott. Government contractors retain First Amendment</w:t>
      </w:r>
      <w:r>
        <w:t xml:space="preserve"> </w:t>
      </w:r>
      <w:r>
        <w:t xml:space="preserve">protection against retaliation for protected expression, subject to the government’s interests as</w:t>
      </w:r>
      <w:r>
        <w:t xml:space="preserve"> </w:t>
      </w:r>
      <w:r>
        <w:t xml:space="preserve">contractor and purchaser.</w:t>
      </w:r>
      <w:r>
        <w:t xml:space="preserve"> </w:t>
      </w:r>
      <w:r>
        <w:t xml:space="preserve">Board of County Commissioners v. Umbehr</w:t>
      </w:r>
      <w:r>
        <w:t xml:space="preserve"> </w:t>
      </w:r>
      <w:r>
        <w:t xml:space="preserve">applied that</w:t>
      </w:r>
      <w:r>
        <w:t xml:space="preserve"> </w:t>
      </w:r>
      <w:r>
        <w:t xml:space="preserve">principle to termination or nonrenewal of an independent contractor, and</w:t>
      </w:r>
      <w:r>
        <w:t xml:space="preserve"> </w:t>
      </w:r>
      <w:r>
        <w:t xml:space="preserve">O’Hare Truck</w:t>
      </w:r>
      <w:r>
        <w:t xml:space="preserve"> </w:t>
      </w:r>
      <w:r>
        <w:t xml:space="preserve">Service, Inc. v. City of Northlake</w:t>
      </w:r>
      <w:r>
        <w:t xml:space="preserve"> </w:t>
      </w:r>
      <w:r>
        <w:t xml:space="preserve">rejected removal from a rotation list based on political</w:t>
      </w:r>
      <w:r>
        <w:t xml:space="preserve"> </w:t>
      </w:r>
      <w:r>
        <w:t xml:space="preserve">association.</w:t>
      </w:r>
      <w:r>
        <w:rPr>
          <w:rStyle w:val="FootnoteReference"/>
        </w:rPr>
        <w:footnoteReference w:id="114"/>
      </w:r>
      <w:bookmarkStart w:id="693" w:name="x1-54012f114"/>
      <w:bookmarkEnd w:id="693"/>
      <w:r>
        <w:t xml:space="preserve"> </w:t>
      </w:r>
      <w:r>
        <w:t xml:space="preserve">The unconstitutional-conditions doctrine more generally prevents government from denying a benefit</w:t>
      </w:r>
      <w:r>
        <w:t xml:space="preserve"> </w:t>
      </w:r>
      <w:r>
        <w:t xml:space="preserve">on a basis that infringes a protected interest even where the claimant had no entitlement to the benefit</w:t>
      </w:r>
      <w:r>
        <w:t xml:space="preserve"> </w:t>
      </w:r>
      <w:r>
        <w:t xml:space="preserve">itself.</w:t>
      </w:r>
      <w:r>
        <w:rPr>
          <w:rStyle w:val="FootnoteReference"/>
        </w:rPr>
        <w:footnoteReference w:id="115"/>
      </w:r>
      <w:bookmarkStart w:id="698" w:name="x1-54016f115"/>
      <w:bookmarkEnd w:id="698"/>
    </w:p>
    <w:p>
      <w:pPr>
        <w:pStyle w:val="BodyText"/>
      </w:pPr>
      <w:r>
        <w:t xml:space="preserve">The procurement boundary can be stated as a sequence. It is this Article’s synthesis of</w:t>
      </w:r>
      <w:r>
        <w:t xml:space="preserve"> </w:t>
      </w:r>
      <w:r>
        <w:t xml:space="preserve">purchaser discretion, contractor-retaliation doctrine, and unconstitutional-conditions law, not a</w:t>
      </w:r>
      <w:r>
        <w:t xml:space="preserve"> </w:t>
      </w:r>
      <w:r>
        <w:t xml:space="preserve">four-part test announced by the district court. Because the sequence rests on</w:t>
      </w:r>
      <w:r>
        <w:t xml:space="preserve"> </w:t>
      </w:r>
      <w:r>
        <w:t xml:space="preserve">Umbehr</w:t>
      </w:r>
      <w:r>
        <w:t xml:space="preserve">,</w:t>
      </w:r>
      <w:r>
        <w:t xml:space="preserve"> </w:t>
      </w:r>
      <w:r>
        <w:t xml:space="preserve">O’Hare</w:t>
      </w:r>
      <w:r>
        <w:t xml:space="preserve">,</w:t>
      </w:r>
      <w:r>
        <w:t xml:space="preserve"> </w:t>
      </w:r>
      <w:r>
        <w:t xml:space="preserve">Perry</w:t>
      </w:r>
      <w:r>
        <w:t xml:space="preserve">, and the distinction between purchasing and sovereign sanction, it does not depend on the</w:t>
      </w:r>
      <w:r>
        <w:t xml:space="preserve"> </w:t>
      </w:r>
      <w:r>
        <w:t xml:space="preserve">August 27 judgment remaining undisturbed in every respect: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The government may define the mission, security conditions, performance requirements,</w:t>
      </w:r>
      <w:r>
        <w:t xml:space="preserve"> </w:t>
      </w:r>
      <w:r>
        <w:t xml:space="preserve">and lawful uses for which it seeks a system.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A supplier may decide which product it offers and may express a view about uses,</w:t>
      </w:r>
      <w:r>
        <w:t xml:space="preserve"> </w:t>
      </w:r>
      <w:r>
        <w:t xml:space="preserve">subject to contracts and law that validly bind it.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The government may select another supplier, negotiate different terms, build its own</w:t>
      </w:r>
      <w:r>
        <w:t xml:space="preserve"> </w:t>
      </w:r>
      <w:r>
        <w:t xml:space="preserve">system, or take a tailored action authorized by statute for a genuine security or</w:t>
      </w:r>
      <w:r>
        <w:t xml:space="preserve"> </w:t>
      </w:r>
      <w:r>
        <w:t xml:space="preserve">performance risk.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It may not use procurement as a pretext to punish protected criticism, compel adoption</w:t>
      </w:r>
      <w:r>
        <w:t xml:space="preserve"> </w:t>
      </w:r>
      <w:r>
        <w:t xml:space="preserve">of a viewpoint outside the funded program, or impose sweeping third-party disabilities</w:t>
      </w:r>
      <w:r>
        <w:t xml:space="preserve"> </w:t>
      </w:r>
      <w:r>
        <w:t xml:space="preserve">unsupported by the invoked authority.</w:t>
      </w:r>
    </w:p>
    <w:p>
      <w:pPr>
        <w:pStyle w:val="FirstParagraph"/>
      </w:pPr>
      <w:r>
        <w:t xml:space="preserve">This is not a special privilege for safety-branded companies. A vendor cannot convert every</w:t>
      </w:r>
      <w:r>
        <w:t xml:space="preserve"> </w:t>
      </w:r>
      <w:r>
        <w:t xml:space="preserve">commercial limit into protected speech, abandon a promised service without contractual</w:t>
      </w:r>
      <w:r>
        <w:t xml:space="preserve"> </w:t>
      </w:r>
      <w:r>
        <w:t xml:space="preserve">consequence, or invoke ethics to conceal a security defect. The court should identify the expressive</w:t>
      </w:r>
      <w:r>
        <w:t xml:space="preserve"> </w:t>
      </w:r>
      <w:r>
        <w:t xml:space="preserve">activity, adverse action, causal evidence, statutory authority, and government’s purchaser interests</w:t>
      </w:r>
      <w:r>
        <w:t xml:space="preserve"> </w:t>
      </w:r>
      <w:r>
        <w:t xml:space="preserve">under ordinary doctrine. The</w:t>
      </w:r>
      <w:r>
        <w:t xml:space="preserve"> </w:t>
      </w:r>
      <w:r>
        <w:t xml:space="preserve">Anthropic</w:t>
      </w:r>
      <w:r>
        <w:t xml:space="preserve"> </w:t>
      </w:r>
      <w:r>
        <w:t xml:space="preserve">record mattered because the stated sanctions extended far</w:t>
      </w:r>
      <w:r>
        <w:t xml:space="preserve"> </w:t>
      </w:r>
      <w:r>
        <w:t xml:space="preserve">beyond choosing a different model and the court found the asserted security rationale</w:t>
      </w:r>
      <w:r>
        <w:t xml:space="preserve"> </w:t>
      </w:r>
      <w:r>
        <w:t xml:space="preserve">unsupported.</w:t>
      </w:r>
    </w:p>
    <w:p>
      <w:pPr>
        <w:pStyle w:val="BodyText"/>
      </w:pPr>
      <w:r>
        <w:t xml:space="preserve">The subject-status invariant clarifies the dispute. Claude was not the constitutional</w:t>
      </w:r>
      <w:r>
        <w:t xml:space="preserve"> </w:t>
      </w:r>
      <w:r>
        <w:t xml:space="preserve">claimant; Anthropic was. The government was not bargaining with an artificial rights holder; it</w:t>
      </w:r>
      <w:r>
        <w:t xml:space="preserve"> </w:t>
      </w:r>
      <w:r>
        <w:t xml:space="preserve">was setting terms with a corporation that designed and maintained a system. The contested</w:t>
      </w:r>
      <w:r>
        <w:t xml:space="preserve"> </w:t>
      </w:r>
      <w:r>
        <w:t xml:space="preserve">constraints embodied human and organizational choices. Protecting or rejecting those choices</w:t>
      </w:r>
      <w:r>
        <w:t xml:space="preserve"> </w:t>
      </w:r>
      <w:r>
        <w:t xml:space="preserve">required no ruling on whether Claude’s generated output itself possessed First Amendment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The same principle constrains providers. A company cannot invoke its own model</w:t>
      </w:r>
      <w:r>
        <w:t xml:space="preserve"> </w:t>
      </w:r>
      <w:r>
        <w:t xml:space="preserve">constitution to override positive law, evade a valid contract, or deny public remedies. Internal</w:t>
      </w:r>
      <w:r>
        <w:t xml:space="preserve"> </w:t>
      </w:r>
      <w:r>
        <w:t xml:space="preserve">policy is evidence of design and commitment; external law judges it. The framework is therefore</w:t>
      </w:r>
      <w:r>
        <w:t xml:space="preserve"> </w:t>
      </w:r>
      <w:r>
        <w:t xml:space="preserve">reciprocal. It prevents the firm from transferring responsibility downward to the model, and it</w:t>
      </w:r>
      <w:r>
        <w:t xml:space="preserve"> </w:t>
      </w:r>
      <w:r>
        <w:t xml:space="preserve">prevents the state from treating control over procurement as control over every lawful private use</w:t>
      </w:r>
      <w:r>
        <w:t xml:space="preserve"> </w:t>
      </w:r>
      <w:r>
        <w:t xml:space="preserve">or viewpoint.</w:t>
      </w:r>
    </w:p>
    <w:p>
      <w:pPr>
        <w:pStyle w:val="BodyText"/>
      </w:pPr>
      <w:r>
        <w:t xml:space="preserve">Taken together, capability stratification and bounded state power complete the</w:t>
      </w:r>
      <w:r>
        <w:t xml:space="preserve"> </w:t>
      </w:r>
      <w:r>
        <w:t xml:space="preserve">architecture’s reciprocal account of control. The framework allocates authority to those who</w:t>
      </w:r>
      <w:r>
        <w:t xml:space="preserve"> </w:t>
      </w:r>
      <w:r>
        <w:t xml:space="preserve">actually hold it and preserves the legal limits that accompany that authority.</w:t>
      </w:r>
    </w:p>
    <w:bookmarkEnd w:id="699"/>
    <w:bookmarkEnd w:id="700"/>
    <w:bookmarkEnd w:id="701"/>
    <w:bookmarkStart w:id="705" w:name="conclusion"/>
    <w:p>
      <w:pPr>
        <w:pStyle w:val="Heading3"/>
      </w:pPr>
      <w:bookmarkStart w:id="702" w:name="x1-55000"/>
      <w:bookmarkEnd w:id="702"/>
      <w:r>
        <w:t xml:space="preserve">Conclusion</w:t>
      </w:r>
    </w:p>
    <w:p>
      <w:pPr>
        <w:pStyle w:val="FirstParagraph"/>
      </w:pPr>
      <w:bookmarkStart w:id="703" w:name="Q1-1-62"/>
      <w:bookmarkEnd w:id="703"/>
      <w:r>
        <w:t xml:space="preserve"> </w:t>
      </w:r>
      <w:bookmarkStart w:id="704" w:name="x1-55000doc"/>
      <w:bookmarkEnd w:id="704"/>
    </w:p>
    <w:p>
      <w:pPr>
        <w:pStyle w:val="BodyText"/>
      </w:pPr>
      <w:r>
        <w:t xml:space="preserve">AI responsibility does not disappear when no person selects the harmful output. It moves into the</w:t>
      </w:r>
      <w:r>
        <w:t xml:space="preserve"> </w:t>
      </w:r>
      <w:r>
        <w:t xml:space="preserve">deployment. Organizations choose objectives, models, interfaces, memory, data, tools, user</w:t>
      </w:r>
      <w:r>
        <w:t xml:space="preserve"> </w:t>
      </w:r>
      <w:r>
        <w:t xml:space="preserve">populations, evaluations, monitoring, and stop conditions. Those choices are observable,</w:t>
      </w:r>
      <w:r>
        <w:t xml:space="preserve"> </w:t>
      </w:r>
      <w:r>
        <w:t xml:space="preserve">governable, and legally consequential even when the model’s internal path is difficult to</w:t>
      </w:r>
      <w:r>
        <w:t xml:space="preserve"> </w:t>
      </w:r>
      <w:r>
        <w:t xml:space="preserve">explain.</w:t>
      </w:r>
    </w:p>
    <w:p>
      <w:pPr>
        <w:pStyle w:val="BodyText"/>
      </w:pPr>
      <w:r>
        <w:t xml:space="preserve">The deployment-control cascade makes that responsibility visible. It traces authority and</w:t>
      </w:r>
      <w:r>
        <w:t xml:space="preserve"> </w:t>
      </w:r>
      <w:r>
        <w:t xml:space="preserve">resources toward operation, feedback toward those able to respond, and override or shutdown</w:t>
      </w:r>
      <w:r>
        <w:t xml:space="preserve"> </w:t>
      </w:r>
      <w:r>
        <w:t xml:space="preserve">power to the point where intervention can work. Its process model, control actions, feedback, and</w:t>
      </w:r>
      <w:r>
        <w:t xml:space="preserve"> </w:t>
      </w:r>
      <w:r>
        <w:t xml:space="preserve">records translate into the facts ordinary law already uses: authorization, notice, foreseeability,</w:t>
      </w:r>
      <w:r>
        <w:t xml:space="preserve"> </w:t>
      </w:r>
      <w:r>
        <w:t xml:space="preserve">feasible precaution, causation, and proof. Probabilistic output changes the location of the evidence;</w:t>
      </w:r>
      <w:r>
        <w:t xml:space="preserve"> </w:t>
      </w:r>
      <w:r>
        <w:t xml:space="preserve">it does not create a responsibility vacuum.</w:t>
      </w:r>
    </w:p>
    <w:p>
      <w:pPr>
        <w:pStyle w:val="BodyText"/>
      </w:pPr>
      <w:r>
        <w:t xml:space="preserve">The two-layer architecture turns that map into an institutional rule. For designated</w:t>
      </w:r>
      <w:r>
        <w:t xml:space="preserve"> </w:t>
      </w:r>
      <w:r>
        <w:t xml:space="preserve">high-impact deployments, an enterprise with material control over the risk should face the</w:t>
      </w:r>
      <w:r>
        <w:t xml:space="preserve"> </w:t>
      </w:r>
      <w:r>
        <w:t xml:space="preserve">claimant under a nondelegable deployment duty. In a divided stack, the identification</w:t>
      </w:r>
      <w:r>
        <w:t xml:space="preserve"> </w:t>
      </w:r>
      <w:r>
        <w:t xml:space="preserve">rule reveals which enterprises governed which risk. In every covered deployment, the</w:t>
      </w:r>
      <w:r>
        <w:t xml:space="preserve"> </w:t>
      </w:r>
      <w:r>
        <w:t xml:space="preserve">production rule supplies the proportionate record needed to test the merits. The claimant</w:t>
      </w:r>
      <w:r>
        <w:t xml:space="preserve"> </w:t>
      </w:r>
      <w:r>
        <w:t xml:space="preserve">still proves recognized harm, breach or defect, causation, and every other substantive</w:t>
      </w:r>
      <w:r>
        <w:t xml:space="preserve"> </w:t>
      </w:r>
      <w:r>
        <w:t xml:space="preserve">element. The front door makes those rights provable without converting them into strict</w:t>
      </w:r>
      <w:r>
        <w:t xml:space="preserve"> </w:t>
      </w:r>
      <w:r>
        <w:t xml:space="preserve">liability.</w:t>
      </w:r>
    </w:p>
    <w:p>
      <w:pPr>
        <w:pStyle w:val="BodyText"/>
      </w:pPr>
      <w:r>
        <w:t xml:space="preserve">Inside the enterprise, the responsibility charter aligns accountability with authority before</w:t>
      </w:r>
      <w:r>
        <w:t xml:space="preserve"> </w:t>
      </w:r>
      <w:r>
        <w:t xml:space="preserve">harm occurs. It names risk owners, fixes approval, records dissent, protects escalation, tests stop</w:t>
      </w:r>
      <w:r>
        <w:t xml:space="preserve"> </w:t>
      </w:r>
      <w:r>
        <w:t xml:space="preserve">and rollback power, and preserves incident evidence. The allocation protects the person who</w:t>
      </w:r>
      <w:r>
        <w:t xml:space="preserve"> </w:t>
      </w:r>
      <w:r>
        <w:t xml:space="preserve">reports a danger and preserves recourse against the person who conceals, falsifies, retaliates, or</w:t>
      </w:r>
      <w:r>
        <w:t xml:space="preserve"> </w:t>
      </w:r>
      <w:r>
        <w:t xml:space="preserve">bypasses a constraint. Public responsibility and internal fairness reinforce the same information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The anti-substitution principle carries that logic into care, professional judgment,</w:t>
      </w:r>
      <w:r>
        <w:t xml:space="preserve"> </w:t>
      </w:r>
      <w:r>
        <w:t xml:space="preserve">accommodation, and public service. An automatic instrumentality may perform a legally required</w:t>
      </w:r>
      <w:r>
        <w:t xml:space="preserve"> </w:t>
      </w:r>
      <w:r>
        <w:t xml:space="preserve">function and often improve it. Its mere availability does not perform the duty. The answerable</w:t>
      </w:r>
      <w:r>
        <w:t xml:space="preserve"> </w:t>
      </w:r>
      <w:r>
        <w:t xml:space="preserve">institution must preserve the protection the duty exists to secure, including an effective</w:t>
      </w:r>
      <w:r>
        <w:t xml:space="preserve"> </w:t>
      </w:r>
      <w:r>
        <w:t xml:space="preserve">path to notice, review, intervention, or correction where the governing law requires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None of this requires a machine defendant. Unless positive law constructs a new juridical</w:t>
      </w:r>
      <w:r>
        <w:t xml:space="preserve"> </w:t>
      </w:r>
      <w:r>
        <w:t xml:space="preserve">platform, the legal subjects remain the natural persons and organizations capable of holding rights,</w:t>
      </w:r>
      <w:r>
        <w:t xml:space="preserve"> </w:t>
      </w:r>
      <w:r>
        <w:t xml:space="preserve">bearing duties, producing records, and answering remedies. Functional classifications may still</w:t>
      </w:r>
      <w:r>
        <w:t xml:space="preserve"> </w:t>
      </w:r>
      <w:r>
        <w:t xml:space="preserve">vary: the same deployed system can be a product, service, instrument, or communicative medium</w:t>
      </w:r>
      <w:r>
        <w:t xml:space="preserve"> </w:t>
      </w:r>
      <w:r>
        <w:t xml:space="preserve">for different rules. The stable point is responsibility. Courts should classify the function,</w:t>
      </w:r>
      <w:r>
        <w:t xml:space="preserve"> </w:t>
      </w:r>
      <w:r>
        <w:t xml:space="preserve">reconstruct the control path, open the evidentiary front door, and keep the obligation attached to</w:t>
      </w:r>
      <w:r>
        <w:t xml:space="preserve"> </w:t>
      </w:r>
      <w:r>
        <w:t xml:space="preserve">an actor law can reach.</w:t>
      </w:r>
    </w:p>
    <w:bookmarkEnd w:id="705"/>
    <w:bookmarkStart w:id="721" w:name="Xf36d17109ee950a21a9e8f30799afd1486e95b3"/>
    <w:p>
      <w:pPr>
        <w:pStyle w:val="Heading3"/>
      </w:pPr>
      <w:bookmarkStart w:id="706" w:name="x1-56000"/>
      <w:bookmarkEnd w:id="706"/>
      <w:r>
        <w:t xml:space="preserve">Source Note: The Hangzhou Generative-AI Decision</w:t>
      </w:r>
    </w:p>
    <w:p>
      <w:pPr>
        <w:pStyle w:val="FirstParagraph"/>
      </w:pPr>
      <w:bookmarkStart w:id="707" w:name="Q1-1-64"/>
      <w:bookmarkEnd w:id="707"/>
    </w:p>
    <w:p>
      <w:pPr>
        <w:pStyle w:val="BodyText"/>
      </w:pPr>
      <w:r>
        <w:t xml:space="preserve">Published professional accounts identify the proceeding as</w:t>
      </w:r>
      <w:r>
        <w:t xml:space="preserve"> </w:t>
      </w:r>
      <w:r>
        <w:t xml:space="preserve">Liang v. Technology Company</w:t>
      </w:r>
      <w:r>
        <w:t xml:space="preserve">,</w:t>
      </w:r>
      <w:r>
        <w:t xml:space="preserve"> </w:t>
      </w:r>
      <w:r>
        <w:t xml:space="preserve">Hangzhou Internet Court, (2025) Zhe 0192 Min Chu No. 18143 (decided Dec. 3,</w:t>
      </w:r>
      <w:r>
        <w:t xml:space="preserve"> </w:t>
      </w:r>
      <w:r>
        <w:t xml:space="preserve">2025).</w:t>
      </w:r>
      <w:r>
        <w:rPr>
          <w:rStyle w:val="FootnoteReference"/>
        </w:rPr>
        <w:footnoteReference w:id="116"/>
      </w:r>
      <w:bookmarkStart w:id="713" w:name="x1-56001f116"/>
      <w:bookmarkEnd w:id="713"/>
      <w:r>
        <w:t xml:space="preserve"> </w:t>
      </w:r>
      <w:r>
        <w:t xml:space="preserve">The comparative discussion relies on Le Weikun’s</w:t>
      </w:r>
      <w:r>
        <w:t xml:space="preserve"> </w:t>
      </w:r>
      <w:r>
        <w:t xml:space="preserve">People’s Court Daily</w:t>
      </w:r>
      <w:r>
        <w:t xml:space="preserve"> </w:t>
      </w:r>
      <w:r>
        <w:t xml:space="preserve">account, hosted on an</w:t>
      </w:r>
      <w:r>
        <w:t xml:space="preserve"> </w:t>
      </w:r>
      <w:r>
        <w:t xml:space="preserve">official Zhejiang government site. A Supreme People’s Court Intellectual Property Court webpage</w:t>
      </w:r>
      <w:r>
        <w:t xml:space="preserve"> </w:t>
      </w:r>
      <w:r>
        <w:t xml:space="preserve">reproducing a CCTV interview with the head of the work-report drafting group independently</w:t>
      </w:r>
      <w:r>
        <w:t xml:space="preserve"> </w:t>
      </w:r>
      <w:r>
        <w:t xml:space="preserve">confirms the dismissal, subject-status rule, reasonable-precaution analysis, and absence of proven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117"/>
      </w:r>
      <w:bookmarkStart w:id="720" w:name="x1-56004f117"/>
      <w:bookmarkEnd w:id="720"/>
      <w:r>
        <w:t xml:space="preserve"> </w:t>
      </w:r>
      <w:r>
        <w:t xml:space="preserve">A complete judgment with a stable, anonymous public URL was not identified. The excerpts below</w:t>
      </w:r>
      <w:r>
        <w:t xml:space="preserve"> </w:t>
      </w:r>
      <w:r>
        <w:t xml:space="preserve">are the author’s translation of the court account, not the judgment. They preserve its</w:t>
      </w:r>
      <w:r>
        <w:t xml:space="preserve"> </w:t>
      </w:r>
      <w:r>
        <w:t xml:space="preserve">anonymization, are unofficial, and are supplied for source checking; the Chinese source</w:t>
      </w:r>
      <w:r>
        <w:t xml:space="preserve"> </w:t>
      </w:r>
      <w:r>
        <w:t xml:space="preserve">controls.</w:t>
      </w:r>
    </w:p>
    <w:p>
      <w:pPr>
        <w:pStyle w:val="BlockText"/>
      </w:pPr>
      <w:r>
        <w:t xml:space="preserve">Status and manifestation.</w:t>
      </w:r>
      <w:r>
        <w:t xml:space="preserve"> </w:t>
      </w:r>
      <w:r>
        <w:t xml:space="preserve">“AI lacks civil-subject status and cannot make a</w:t>
      </w:r>
      <w:r>
        <w:t xml:space="preserve"> </w:t>
      </w:r>
      <w:r>
        <w:t xml:space="preserve">manifestation of intention.” The generated compensation promise was not the</w:t>
      </w:r>
      <w:r>
        <w:t xml:space="preserve"> </w:t>
      </w:r>
      <w:r>
        <w:t xml:space="preserve">provider’s manifestation because the system could not serve as its messenger, agent,</w:t>
      </w:r>
      <w:r>
        <w:t xml:space="preserve"> </w:t>
      </w:r>
      <w:r>
        <w:t xml:space="preserve">or representative; the provider had not used the model to communicate an intention;</w:t>
      </w:r>
      <w:r>
        <w:t xml:space="preserve"> </w:t>
      </w:r>
      <w:r>
        <w:t xml:space="preserve">ordinary practice did not support reasonable reliance on the random promise; and the</w:t>
      </w:r>
      <w:r>
        <w:t xml:space="preserve"> </w:t>
      </w:r>
      <w:r>
        <w:t xml:space="preserve">provider had not represented that it would be bound by generated content.</w:t>
      </w:r>
    </w:p>
    <w:p>
      <w:pPr>
        <w:pStyle w:val="BlockText"/>
      </w:pPr>
      <w:r>
        <w:t xml:space="preserve">Classification and governing rule.</w:t>
      </w:r>
      <w:r>
        <w:t xml:space="preserve"> </w:t>
      </w:r>
      <w:r>
        <w:t xml:space="preserve">The court treated the generative-AI offering as</w:t>
      </w:r>
      <w:r>
        <w:t xml:space="preserve"> </w:t>
      </w:r>
      <w:r>
        <w:t xml:space="preserve">a service under the Interim Measures, not as a product under product-quality law, and</w:t>
      </w:r>
      <w:r>
        <w:t xml:space="preserve"> </w:t>
      </w:r>
      <w:r>
        <w:t xml:space="preserve">applied the Civil Code’s general fault rule in article 1165(1).</w:t>
      </w:r>
    </w:p>
    <w:p>
      <w:pPr>
        <w:pStyle w:val="BlockText"/>
      </w:pPr>
      <w:r>
        <w:t xml:space="preserve">Duty, loss, and causation.</w:t>
      </w:r>
      <w:r>
        <w:t xml:space="preserve"> </w:t>
      </w:r>
      <w:r>
        <w:t xml:space="preserve">The report describes three layers of care: strict</w:t>
      </w:r>
      <w:r>
        <w:t xml:space="preserve"> </w:t>
      </w:r>
      <w:r>
        <w:t xml:space="preserve">review of legally prohibited information; prominent disclosure of inherent accuracy</w:t>
      </w:r>
      <w:r>
        <w:t xml:space="preserve"> </w:t>
      </w:r>
      <w:r>
        <w:t xml:space="preserve">limits, including immediate warnings where major interests are at stake; and basic</w:t>
      </w:r>
      <w:r>
        <w:t xml:space="preserve"> </w:t>
      </w:r>
      <w:r>
        <w:t xml:space="preserve">reliability precautions using generally accepted technical measures. It reports that the</w:t>
      </w:r>
      <w:r>
        <w:t xml:space="preserve"> </w:t>
      </w:r>
      <w:r>
        <w:t xml:space="preserve">provider displayed limitations in the welcome page, agreement, and interface and used</w:t>
      </w:r>
      <w:r>
        <w:t xml:space="preserve"> </w:t>
      </w:r>
      <w:r>
        <w:t xml:space="preserve">retrieval-augmented generation. The court also found no adequate proof of actual loss</w:t>
      </w:r>
      <w:r>
        <w:t xml:space="preserve"> </w:t>
      </w:r>
      <w:r>
        <w:t xml:space="preserve">or material effect on the user’s application decision.</w:t>
      </w:r>
    </w:p>
    <w:bookmarkEnd w:id="721"/>
    <w:bookmarkStart w:id="725" w:name="authorities-and-sources"/>
    <w:p>
      <w:pPr>
        <w:pStyle w:val="Heading3"/>
        <w:keepNext/>
        <w:keepLines/>
      </w:pPr>
      <w:bookmarkStart w:id="722" w:name="x1-57000"/>
      <w:bookmarkEnd w:id="722"/>
      <w:r>
        <w:t xml:space="preserve">Authorities and Sources</w:t>
      </w:r>
    </w:p>
    <w:p>
      <w:pPr>
        <w:pStyle w:val="Definition"/>
        <w:keepLines/>
        <w:spacing w:before="0" w:after="100"/>
        <w:ind w:left="0" w:right="0" w:firstLine="0"/>
      </w:pPr>
      <w:bookmarkStart w:id="723" w:name="page.104"/>
      <w:bookmarkEnd w:id="723"/>
      <w:hyperlink r:id="rId724"/>
      <w:r>
        <w:t xml:space="preserve">R. Abbott and A. Sarch,</w:t>
      </w:r>
      <w:r>
        <w:t xml:space="preserve"> </w:t>
      </w:r>
      <w:r>
        <w:t xml:space="preserve">Punishing Artificial Intelligence: Legal Fiction or Science</w:t>
      </w:r>
      <w:r>
        <w:t xml:space="preserve"> </w:t>
      </w:r>
      <w:r>
        <w:t xml:space="preserve">Fiction</w:t>
      </w:r>
      <w:r>
        <w:t xml:space="preserve">, 53 UC Davis L. Rev. 323 (2019).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K. S. Abraham and C. M. Sharkey, Untangling AI Liability, 115 Calif. L. Rev.</w:t>
      </w:r>
      <w:r>
        <w:t xml:space="preserve"> </w:t>
      </w:r>
      <w:r>
        <w:t xml:space="preserve">(forthcoming 2027).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Agency for International Development v. Alliance for Open Society International, Inc.</w:t>
      </w:r>
      <w:r>
        <w:t xml:space="preserve"> </w:t>
      </w:r>
      <w:r>
        <w:t xml:space="preserve">570 U.S. 205 (U.S. 2013).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1998).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2006).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American Law Institute,</w:t>
      </w:r>
      <w:r>
        <w:t xml:space="preserve"> </w:t>
      </w:r>
      <w:r>
        <w:t xml:space="preserve">Restatement (Third) of Torts: Liability for Physical and</w:t>
      </w:r>
      <w:r>
        <w:t xml:space="preserve"> </w:t>
      </w:r>
      <w:r>
        <w:t xml:space="preserve">Emotional Harm</w:t>
      </w:r>
      <w:r>
        <w:t xml:space="preserve"> </w:t>
      </w:r>
      <w:r>
        <w:t xml:space="preserve">(American Law Institute Publishers, 2010).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Anthropic PBC v. United States Department of War No. 3:26-cv-01996-RFL, Dkt. 250</w:t>
      </w:r>
      <w:r>
        <w:t xml:space="preserve"> </w:t>
      </w:r>
      <w:r>
        <w:t xml:space="preserve">(N.D. Cal. Aug. 27, 2026). summary-judgment order.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Anthropic PBC v. United States Department of War No. 3:26-cv-01996-RFL, Dkt. 134</w:t>
      </w:r>
      <w:r>
        <w:t xml:space="preserve"> </w:t>
      </w:r>
      <w:r>
        <w:t xml:space="preserve">(N.D. Cal. Mar. 26, 2026). preliminary injunction.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Anthropic PBC v. United States Department of War No. 3:26-cv-01996-RFL, Dkt.</w:t>
      </w:r>
      <w:r>
        <w:t xml:space="preserve"> </w:t>
      </w:r>
      <w:r>
        <w:t xml:space="preserve">251–252 (N.D. Cal. Aug. 27, 2026). vacatur, permanent-injunction, and judgment</w:t>
      </w:r>
      <w:r>
        <w:t xml:space="preserve"> </w:t>
      </w:r>
      <w:r>
        <w:t xml:space="preserve">documents.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Anthropic PBC v. United States Department of War No. 26-1049 (D.C. Cir. Apr. 8,</w:t>
      </w:r>
      <w:r>
        <w:t xml:space="preserve"> </w:t>
      </w:r>
      <w:r>
        <w:t xml:space="preserve">2026). order denying emergency stay and expediting merits review.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Arkansas Department of Human Services v. Ledgerwood 2017 Ark. 308 (Ark. 2017). 530</w:t>
      </w:r>
      <w:r>
        <w:t xml:space="preserve"> </w:t>
      </w:r>
      <w:r>
        <w:t xml:space="preserve">S.W.3d 336.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Artificial Intelligence Act, Regulation (EU) 2024/1689 (June 13, 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Artificial Intelligence and Robotics Researchers. Open</w:t>
      </w:r>
      <w:r>
        <w:t xml:space="preserve"> </w:t>
      </w:r>
      <w:r>
        <w:t xml:space="preserve">Letter to the 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0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Baker v. Selden, 101 U.S. 99 (U.S. 1879).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S. J. Bayern,</w:t>
      </w:r>
      <w:r>
        <w:t xml:space="preserve"> </w:t>
      </w:r>
      <w:r>
        <w:t xml:space="preserve">The Implications of Modern Business-Entity Law for the Regulation of</w:t>
      </w:r>
      <w:r>
        <w:t xml:space="preserve"> </w:t>
      </w:r>
      <w:r>
        <w:t xml:space="preserve">Autonomous Systems</w:t>
      </w:r>
      <w:r>
        <w:t xml:space="preserve">, 19 Stan. Tech. L. Rev. 93 (2015).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Board of County Commissioners v. Umbehr, 518 U.S. 668 (U.S. 1996).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Boyle v. United Technologies Corp. 487 U.S. 500 (U.S. 1988).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Burlington Industries, Inc. v. Ellerth, 524 U.S. 742 (U.S. 1998).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Y. Cao, J. Wang, J. Wang, et al.,</w:t>
      </w:r>
      <w:r>
        <w:t xml:space="preserve"> </w:t>
      </w:r>
      <w:r>
        <w:t xml:space="preserve">Expert Consensus on the Application and Governance</w:t>
      </w:r>
      <w:r>
        <w:t xml:space="preserve"> </w:t>
      </w:r>
      <w:r>
        <w:t xml:space="preserve">of Artificial Intelligence in Medical Institutions (2026)</w:t>
      </w:r>
      <w:r>
        <w:t xml:space="preserve"> </w:t>
      </w:r>
      <w:r>
        <w:t xml:space="preserve">Intelligent Med. (May 23, 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B. Casey and M. A. Lemley,</w:t>
      </w:r>
      <w:r>
        <w:t xml:space="preserve"> </w:t>
      </w:r>
      <w:r>
        <w:t xml:space="preserve">You Might Be a Robot</w:t>
      </w:r>
      <w:r>
        <w:t xml:space="preserve">, 105 Cornell L. Rev. 287 (2020).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47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Character Technologies, Inc. Character.AI Launches Mobile App for iOS and Android.</w:t>
      </w:r>
      <w:r>
        <w:t xml:space="preserve"> </w:t>
      </w:r>
      <w:r>
        <w:t xml:space="preserve">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9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</w:t>
      </w:r>
      <w:r>
        <w:t xml:space="preserve"> </w:t>
      </w:r>
      <w:r>
        <w:t xml:space="preserve">Comp. L.Q. 819 (2020).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S. Chopra and 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</w:t>
      </w:r>
      <w:r>
        <w:t xml:space="preserve"> </w:t>
      </w:r>
      <w:r>
        <w:t xml:space="preserve">Arbor: University of Michigan Press, 2011).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Commonwealth v. Angelo Todesca Corp. 446 Mass. 128 (Mass. Mar. 1, 2006).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</w:t>
      </w:r>
      <w:r>
        <w:t xml:space="preserve"> </w:t>
      </w:r>
      <w:r>
        <w:t xml:space="preserve">ch. 677.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J. De Freitas et al. Lessons from an App Update at Replika AI: Identity Discontinuity in</w:t>
      </w:r>
      <w:r>
        <w:t xml:space="preserve"> </w:t>
      </w:r>
      <w:r>
        <w:t xml:space="preserve">Human–AI Relationships. 25-018. 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DeShaney v. Winnebago County Department of Social Services, 489 U.S. 189 (U.S. 1989).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J. Dewey,</w:t>
      </w:r>
      <w:r>
        <w:t xml:space="preserve"> </w:t>
      </w:r>
      <w:r>
        <w:t xml:space="preserve">The Historic Background of Corporate Legal Personality</w:t>
      </w:r>
      <w:r>
        <w:t xml:space="preserve">, 35 Yale L.J. 655</w:t>
      </w:r>
      <w:r>
        <w:t xml:space="preserve"> </w:t>
      </w:r>
      <w:r>
        <w:t xml:space="preserve">(1926).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Directive on Liability for Defective Products, Directive (EU) 2024/2853 (Oct. 23, 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Electronic Signatures in Global and National Commerce Act, 15 U.S.C.</w:t>
      </w:r>
      <w:r>
        <w:t xml:space="preserve"> </w:t>
      </w:r>
      <w:r>
        <w:t xml:space="preserve">§</w:t>
      </w:r>
      <w:r>
        <w:t xml:space="preserve"> 7001(h) (2000).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Energy 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European Economic and Social Committee. Opinion</w:t>
      </w:r>
      <w:r>
        <w:t xml:space="preserve"> </w:t>
      </w:r>
      <w:r>
        <w:t xml:space="preserve">on Artificial Intelligence: The Consequences of Artificial Intelligence for the Digital</w:t>
      </w:r>
      <w:r>
        <w:t xml:space="preserve"> </w:t>
      </w:r>
      <w:r>
        <w:t xml:space="preserve">Single Market, Production, Consumption, Employment and 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European Parliament. Resolution with Recommendations to the Commission on Civil</w:t>
      </w:r>
      <w:r>
        <w:t xml:space="preserve"> </w:t>
      </w:r>
      <w:r>
        <w:t xml:space="preserve">Law Rules on Robotics. 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False Claims Act Anti-Retaliation Provision, 31 U.S.C.</w:t>
      </w:r>
      <w:r>
        <w:t xml:space="preserve"> </w:t>
      </w:r>
      <w:r>
        <w:t xml:space="preserve">§</w:t>
      </w:r>
      <w:r>
        <w:t xml:space="preserve"> 3730(h)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56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Aviation Administration. Safety Management 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51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26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9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Trade Commission. FTC Launches Inquiry into AI Chatbots Acting as Companions.</w:t>
      </w:r>
      <w:r>
        <w:t xml:space="preserve"> </w:t>
      </w:r>
      <w:r>
        <w:t xml:space="preserve">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85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Federal Trade Commission. Model Order to File a Special Report Regarding AI Companion</w:t>
      </w:r>
      <w:r>
        <w:t xml:space="preserve"> </w:t>
      </w:r>
      <w:r>
        <w:t xml:space="preserve">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8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Feist Publications, Inc. v. Rural Telephone Service Co. 499 U.S. 340 (U.S. 1991).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Frances T. v. Village Green Owners Ass’n, 42 Cal. 3d 490 (Cal. 1986).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Garcia v. Character Technologies, Inc. 785 F. Supp. 3d 1157 (M.D. Fla. May 21, 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Garcia v. Character Technologies, Inc. No. 6:24-cv-01903-ACC-DCI, Dkt. 244 (M.D. Fla.</w:t>
      </w:r>
      <w:r>
        <w:t xml:space="preserve"> </w:t>
      </w:r>
      <w:r>
        <w:t xml:space="preserve">Jan. 7, 2026). order dismissing settled action.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Garcia v. Character Technologies, Inc. No. 6:24-cv-01903-ACC-DCI, Dkt. 273 (M.D. Fla.</w:t>
      </w:r>
      <w:r>
        <w:t xml:space="preserve"> </w:t>
      </w:r>
      <w:r>
        <w:t xml:space="preserve">June 11, 2026). order resolving charging lien.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Garcia v. Character Technologies, Inc. No. 6:24-cv-01903-ACC-DCI, Dkt. 271 (M.D. Fla.</w:t>
      </w:r>
      <w:r>
        <w:t xml:space="preserve"> </w:t>
      </w:r>
      <w:r>
        <w:t xml:space="preserve">Apr. 8, 2026). order extending dismissal deadlines.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</w:t>
      </w:r>
      <w:r>
        <w:t xml:space="preserve"> </w:t>
      </w:r>
      <w:r>
        <w:t xml:space="preserve">(2026).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GEO Group, Inc. v. Menocal, 607 U.S. 438 (U.S. Feb. 25, 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S. Gerke, R. B. Parikh and I. G. Cohen,</w:t>
      </w:r>
      <w:r>
        <w:t xml:space="preserve"> </w:t>
      </w:r>
      <w:r>
        <w:t xml:space="preserve">Utah’s Prescription-Renewal Pilot</w:t>
      </w:r>
      <w:r>
        <w:t xml:space="preserve"> </w:t>
      </w:r>
      <w:r>
        <w:t xml:space="preserve">Program—Autonomous AI Managing Patient Care</w:t>
      </w:r>
      <w:r>
        <w:t xml:space="preserve">, 394 New Eng. J. Med. 1561 (2026).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Goldberg v. Kelly, 397 U.S. 254 (U.S. 1970).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H.R. 238, 119th Cong.</w:t>
      </w:r>
      <w:r>
        <w:t xml:space="preserve"> </w:t>
      </w:r>
      <w:r>
        <w:t xml:space="preserve">§</w:t>
      </w:r>
      <w:r>
        <w:t xml:space="preserve"> 2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Health &amp; Hospital Corp. of Marion County v. Talevski, 599 U.S. 166 (U.S. 2023).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Hencely v. Fluor Corp. 608 U.S. 31 (U.S. Apr. 22, 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Henningsen v. Bloomfield Motors, Inc. 32 N.J. 358 (N.J. 1960).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W. N. Hohfeld,</w:t>
      </w:r>
      <w:r>
        <w:t xml:space="preserve"> </w:t>
      </w:r>
      <w:r>
        <w:t xml:space="preserve">Some Fundamental Legal Conceptions as Applied in Judicial Reasoning</w:t>
      </w:r>
      <w:r>
        <w:t xml:space="preserve">,</w:t>
      </w:r>
      <w:r>
        <w:t xml:space="preserve"> </w:t>
      </w:r>
      <w:r>
        <w:t xml:space="preserve">23 Yale L.J. 16 (1913).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In re Boeing Co. Derivative Litigation 2021 WL 4059934 (Del. Ch. Sept. 7, 2021).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In re Caremark International Inc. Derivative Litigation, 698 A.2d 959 (Del. Ch. 1996).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Ira S. Bushey &amp; Sons, Inc. v. United States, 398 F.2d 167 (2d Cir. 1968).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K.W. ex rel. D.W. v. Armstrong, 789 F.3d 962 (9th Cir. 2015).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H. R. Kirk et al. Neural Steering Vectors Reveal Dose and</w:t>
      </w:r>
      <w:r>
        <w:t xml:space="preserve"> </w:t>
      </w:r>
      <w:r>
        <w:t xml:space="preserve">Exposure-Dependent Impacts of Human–AI 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 Oxford University Press, 2019).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L. Laestadius et al.,</w:t>
      </w:r>
      <w:r>
        <w:t xml:space="preserve"> </w:t>
      </w:r>
      <w:r>
        <w:t xml:space="preserve">Too Human and Not Human Enough: A Grounded Theory Analysis</w:t>
      </w:r>
      <w:r>
        <w:t xml:space="preserve"> </w:t>
      </w:r>
      <w:r>
        <w:t xml:space="preserve">of Mental Health Harms from Emotional Dependence on the Social Chatbot Replika</w:t>
      </w:r>
      <w:r>
        <w:t xml:space="preserve">, 26</w:t>
      </w:r>
      <w:r>
        <w:t xml:space="preserve"> </w:t>
      </w:r>
      <w:r>
        <w:t xml:space="preserve">New Media &amp; Soc’y 5923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E. LaRocco et al. The Clinician’s Veto: Navigating Trust, Liability, and</w:t>
      </w:r>
      <w:r>
        <w:t xml:space="preserve"> </w:t>
      </w:r>
      <w:r>
        <w:t xml:space="preserve">Uncertainty in Autonomous AI Prescribing. 2606.25108v2. Aug. 24,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35">
        <w:r>
          <w:rPr>
            <w:rStyle w:val="Hyperlink"/>
          </w:rPr>
          <w:t xml:space="preserve">https://arxiv.org/abs/2606.25108v2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W. Le. Nation’s First Generative-AI “Hallucination” Tort Dispute. People’s Court Daily.</w:t>
      </w:r>
      <w:r>
        <w:t xml:space="preserve"> </w:t>
      </w:r>
      <w:r>
        <w:t xml:space="preserve">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 Mass.: MIT Press, 2012).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Liriano v. Hobart Corp. 92 N.Y.2d 232 (N.Y. 1998).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Loper Bright Enterprises v. Raimondo, 603 U.S. 369 (U.S. 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 (2018).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Lyons v. OpenAI Foundation No. 3:25-cv-11037-RS, Dkt. 42 (N.D. Cal. Apr. 13, 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Marchand v. Barnhill, 212 A.3d 805 (Del. 2019).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Moffatt v. Air Canada 2024 BCCRT 149 (B.C. Civ. Resol. Trib. Feb. 14, 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Moody v. NetChoice, LLC, 603 U.S. 707 (U.S. 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A. Mukherjee and H. H. Chang,</w:t>
      </w:r>
      <w:r>
        <w:t xml:space="preserve"> </w:t>
      </w:r>
      <w:r>
        <w:t xml:space="preserve">Operational Agency: A Permeable Legal Fiction for</w:t>
      </w:r>
      <w:r>
        <w:t xml:space="preserve"> </w:t>
      </w:r>
      <w:r>
        <w:t xml:space="preserve">Tracing Culpability in AI Systems</w:t>
      </w:r>
      <w:r>
        <w:t xml:space="preserve">, 29 SMU Sci. &amp; Tech. L. Rev. 163 (2026).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National Institute of Standards and Technology. Artificial Intelligence Risk Management</w:t>
      </w:r>
      <w:r>
        <w:t xml:space="preserve"> </w:t>
      </w:r>
      <w:r>
        <w:t xml:space="preserve">Framework (AI RMF 1.0). Jan.</w:t>
      </w:r>
      <w:r>
        <w:t xml:space="preserve"> </w:t>
      </w:r>
      <w:r>
        <w:t xml:space="preserve">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National Institute of Standards and Technology. Artificial Intelligence Risk</w:t>
      </w:r>
      <w:r>
        <w:t xml:space="preserve"> </w:t>
      </w:r>
      <w:r>
        <w:t xml:space="preserve">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6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New York Central &amp; Hudson River Railroad Co. v. United States, 212 U.S. 481 (U.S.</w:t>
      </w:r>
      <w:r>
        <w:t xml:space="preserve"> </w:t>
      </w:r>
      <w:r>
        <w:t xml:space="preserve">1909).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O’Hare Truck Service, Inc. v. City of Northlake, 518 U.S. 712 (U.S. 1996).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Occupational Safety and Health Act Anti-Retaliation Provision, 29 U.S.C.</w:t>
      </w:r>
      <w:r>
        <w:t xml:space="preserve"> </w:t>
      </w:r>
      <w:r>
        <w:t xml:space="preserve">§</w:t>
      </w:r>
      <w:r>
        <w:t xml:space="preserve"> 660(c)</w:t>
      </w:r>
      <w:r>
        <w:t xml:space="preserve"> </w:t>
      </w:r>
      <w:r>
        <w:t xml:space="preserve">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Office of Management and Budget. Accelerating Federal Use of AI Through Innovation,</w:t>
      </w:r>
      <w:r>
        <w:t xml:space="preserve"> </w:t>
      </w:r>
      <w:r>
        <w:t xml:space="preserve">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8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Office of Management and Budget. Driving Efficient Acquisition of Artificial Intelligence</w:t>
      </w:r>
      <w:r>
        <w:t xml:space="preserve"> </w:t>
      </w:r>
      <w:r>
        <w:t xml:space="preserve">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70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A. Ojanen,</w:t>
      </w:r>
      <w:r>
        <w:t xml:space="preserve"> </w:t>
      </w:r>
      <w:r>
        <w:t xml:space="preserve">Technology Neutrality as a Way to Future-Proof Regulation: The Case of the</w:t>
      </w:r>
      <w:r>
        <w:t xml:space="preserve"> </w:t>
      </w:r>
      <w:r>
        <w:t xml:space="preserve">Artificial Intelligence Act</w:t>
      </w:r>
      <w:r>
        <w:t xml:space="preserve">, 16 Eur. J. Risk Regul. 1440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Patient Safety and Quality Improvement Act of 2005, 42 U.S.C.</w:t>
      </w:r>
      <w:r>
        <w:t xml:space="preserve"> </w:t>
      </w:r>
      <w:r>
        <w:t xml:space="preserve">§</w:t>
      </w:r>
      <w:r>
        <w:t xml:space="preserve"> 299b-21–299b-26</w:t>
      </w:r>
      <w:r>
        <w:t xml:space="preserve"> </w:t>
      </w:r>
      <w:r>
        <w:t xml:space="preserve">(2005).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Perry v. Sindermann, 408 U.S. 593 (U.S. 1972).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PMC, Inc. v. Kadisha, 78 Cal. App. 4th 1368 (Cal. Ct. App. 2000).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</w:t>
      </w:r>
      <w:r>
        <w:t xml:space="preserve"> </w:t>
      </w:r>
      <w:r>
        <w:t xml:space="preserve">960 (2026).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Rice v. Paladin Enterprises, Inc. 128 F.3d 233 (4th Cir. 1997).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S. Rismani, R. Dobbe and A. Moon. From Silos to</w:t>
      </w:r>
      <w:r>
        <w:t xml:space="preserve"> </w:t>
      </w:r>
      <w:r>
        <w:t xml:space="preserve">Systems: Process-Oriented Hazard Analysis for AI 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S. Rismani et al.,</w:t>
      </w:r>
      <w:r>
        <w:t xml:space="preserve"> </w:t>
      </w:r>
      <w:r>
        <w:t xml:space="preserve">From Plane Crashes to Algorithmic Harm: Applicability of Safety</w:t>
      </w:r>
      <w:r>
        <w:t xml:space="preserve"> </w:t>
      </w:r>
      <w:r>
        <w:t xml:space="preserve">Engineering Frameworks for Responsible ML</w:t>
      </w:r>
      <w:r>
        <w:t xml:space="preserve"> </w:t>
      </w:r>
      <w:r>
        <w:t xml:space="preserve">CHI ’23 Proc. 2:1–2:18 (Apr. 19, 2023).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Safety Management Systems, 14 C.F.R. pt. 5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D. van de Sande, N. Economou-Zavlanos and M. E. van Genderen,</w:t>
      </w:r>
      <w:r>
        <w:t xml:space="preserve"> </w:t>
      </w:r>
      <w:r>
        <w:t xml:space="preserve">Meaningful Oversight</w:t>
      </w:r>
      <w:r>
        <w:t xml:space="preserve"> </w:t>
      </w:r>
      <w:r>
        <w:t xml:space="preserve">of Medical AI Beyond Human in the Loop</w:t>
      </w:r>
      <w:r>
        <w:t xml:space="preserve">, 9 npj Digit. Med. 569 (July 23, 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J. Schuett,</w:t>
      </w:r>
      <w:r>
        <w:t xml:space="preserve"> </w:t>
      </w:r>
      <w:r>
        <w:t xml:space="preserve">Defining the Scope of AI Regulations</w:t>
      </w:r>
      <w:r>
        <w:t xml:space="preserve">, 15 Law Innovation &amp; Tech. 60 (2023).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Shanghai Qiaowen Law Firm. AI Labeling</w:t>
      </w:r>
      <w:r>
        <w:t xml:space="preserve"> </w:t>
      </w:r>
      <w:r>
        <w:t xml:space="preserve">Duties: Adjudicative Boundaries and Compliance Guidance 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11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Skidmore v. Swift &amp; Co. 323 U.S. 134 (U.S. 1944).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Speller v. Sears, Roebuck &amp; Co. 100 N.Y.2d 38 (N.Y. May 6, 2003).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Supreme People’s Court Intellectual Property Court. Head of the Drafting Group</w:t>
      </w:r>
      <w:r>
        <w:t xml:space="preserve"> </w:t>
      </w:r>
      <w:r>
        <w:t xml:space="preserve">Interprets the 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18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Thaler v. Perlmutter, 130 F.4th 1039 (D.C. Cir. 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Trustees of Dartmouth College v. Woodward, 17 U.S. (4 Wheat.) 518 (U.S. 1819).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Tunkl v. Regents of the University of California, 60 Cal. 2d 92 (Cal. 1963).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U.S. Copyright Office. Copyright and Artificial Intelligence, Part 2: Copyrightability. U.S.</w:t>
      </w:r>
      <w:r>
        <w:t xml:space="preserve"> </w:t>
      </w:r>
      <w:r>
        <w:t xml:space="preserve">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1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U.S. Department of Justice, Criminal Division. Evaluation of Corporate Compliance</w:t>
      </w:r>
      <w:r>
        <w:t xml:space="preserve"> </w:t>
      </w:r>
      <w:r>
        <w:t xml:space="preserve">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45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U.S. Sentencing Commission. Guidelines Manual, Section 8B2.1: Effective Compliance</w:t>
      </w:r>
      <w:r>
        <w:t xml:space="preserve"> </w:t>
      </w:r>
      <w:r>
        <w:t xml:space="preserve">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20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9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United States v. Park, 421 U.S. 658 (U.S. 1975).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United States v. United States Gypsum Co. 438 U.S. 422 (U.S. 1978).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Utah Department of Commerce, Office of Artificial Intelligence Policy. Office of AI Policy:</w:t>
      </w:r>
      <w:r>
        <w:t xml:space="preserve"> </w:t>
      </w:r>
      <w:r>
        <w:t xml:space="preserve">Doctronic Regulatory Mitigation Agreement.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43">
        <w:r>
          <w:rPr>
            <w:rStyle w:val="Hyperlink"/>
          </w:rPr>
          <w:t xml:space="preserve">https://commerce.utah.gov/ai/regulatory-relief/authorized-ai-pilots/doctronic/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Whirlpool Corp. v. Marshall, 445 U.S. 1 (U.S. Feb. 26, 1980).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Winter v. G.P. Putnam’s Sons, 938 F.2d 1033 (9th Cir. 1991).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World Health Organization. Ethics and Governance of Artificial Intelligence for Health.</w:t>
      </w:r>
      <w:r>
        <w:t xml:space="preserve"> </w:t>
      </w:r>
      <w:r>
        <w:t xml:space="preserve">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30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  <w:keepLines/>
        <w:spacing w:before="0" w:after="100"/>
        <w:ind w:left="0" w:right="0" w:firstLine="0"/>
      </w:pPr>
      <w:r>
        <w:t xml:space="preserve">R. Zhang et al.,</w:t>
      </w:r>
      <w:r>
        <w:t xml:space="preserve"> </w:t>
      </w:r>
      <w:r>
        <w:t xml:space="preserve">The Dark Side of AI Companionship: A Taxonomy of Harmful</w:t>
      </w:r>
      <w:r>
        <w:t xml:space="preserve"> </w:t>
      </w:r>
      <w:r>
        <w:t xml:space="preserve">Algorithmic Behaviors in Human–AI Relationships</w:t>
      </w:r>
      <w:r>
        <w:t xml:space="preserve"> </w:t>
      </w:r>
      <w:r>
        <w:t xml:space="preserve">CHI ’25 Proc. 1 (2025).</w:t>
      </w:r>
    </w:p>
    <w:bookmarkEnd w:id="7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" w:name="x1-2002x"/>
      <w:bookmarkEnd w:id="17"/>
      <w:r>
        <w:t xml:space="preserve">See</w:t>
      </w:r>
      <w:r>
        <w:t xml:space="preserve"> </w:t>
      </w:r>
      <w:bookmarkStart w:id="18" w:name="x1-2003"/>
      <w:bookmarkEnd w:id="18"/>
      <w:r>
        <w:t xml:space="preserve">Garcia v. Character Technologies, Inc. 785 F. Supp. 3d 1157 (M.D. Fla. May 21, 2025)</w:t>
      </w:r>
      <w:bookmarkStart w:id="19" w:name="x1-2002xdoc"/>
      <w:bookmarkEnd w:id="19"/>
      <w:r>
        <w:t xml:space="preserve">;</w:t>
      </w:r>
      <w:r>
        <w:t xml:space="preserve"> </w:t>
      </w:r>
      <w:bookmarkStart w:id="20" w:name="x1-2004"/>
      <w:bookmarkEnd w:id="20"/>
      <w:r>
        <w:t xml:space="preserve">Garcia v. Character</w:t>
      </w:r>
      <w:r>
        <w:t xml:space="preserve"> </w:t>
      </w:r>
      <w:r>
        <w:t xml:space="preserve">Technologies, Inc. No. 6:24-cv-01903-ACC-DCI, Dkt. 244 (M.D. Fla. Jan. 7, 2026). order dismissing settled action;</w:t>
      </w:r>
      <w:r>
        <w:t xml:space="preserve"> </w:t>
      </w:r>
      <w:bookmarkStart w:id="21" w:name="x1-2005"/>
      <w:bookmarkEnd w:id="21"/>
      <w:r>
        <w:t xml:space="preserve">Garcia v. Character Technologies, Inc. No. 6:24-cv-01903-ACC-DCI, Dkt. 273 (M.D. Fla. June 11, 2026). order</w:t>
      </w:r>
      <w:r>
        <w:t xml:space="preserve"> </w:t>
      </w:r>
      <w:r>
        <w:t xml:space="preserve">resolving charging lien. This Article states disputed facts as allegations and uses the published Rule 12 order for its</w:t>
      </w:r>
      <w:r>
        <w:t xml:space="preserve"> </w:t>
      </w:r>
      <w:r>
        <w:t xml:space="preserve">classification analysis, not as a merits judgment.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" w:name="x1-2007x"/>
      <w:bookmarkEnd w:id="24"/>
      <w:r>
        <w:t xml:space="preserve">See</w:t>
      </w:r>
      <w:r>
        <w:t xml:space="preserve"> </w:t>
      </w:r>
      <w:bookmarkStart w:id="25" w:name="x1-2008"/>
      <w:bookmarkEnd w:id="25"/>
      <w:r>
        <w:t xml:space="preserve">H. R. Kirk et al. Neural Steering Vectors Reveal Dose and Exposure-Dependent Impacts of Human–AI</w:t>
      </w:r>
      <w:r>
        <w:t xml:space="preserve"> </w:t>
      </w:r>
      <w:r>
        <w:t xml:space="preserve">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</w:t>
      </w:r>
      <w:bookmarkStart w:id="27" w:name="x1-2007xdoc"/>
      <w:bookmarkEnd w:id="27"/>
      <w:r>
        <w:t xml:space="preserve">.</w:t>
      </w:r>
      <w:r>
        <w:t xml:space="preserve"> </w:t>
      </w:r>
      <w:r>
        <w:t xml:space="preserve">The study supports causal propositions about its controlled exposures, not population incidence or tort causation in</w:t>
      </w:r>
      <w:r>
        <w:t xml:space="preserve"> </w:t>
      </w:r>
      <w:r>
        <w:t xml:space="preserve">Garcia</w:t>
      </w:r>
      <w:r>
        <w:t xml:space="preserve">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" w:name="x1-2010x"/>
      <w:bookmarkEnd w:id="30"/>
      <w:r>
        <w:t xml:space="preserve">See</w:t>
      </w:r>
      <w:r>
        <w:t xml:space="preserve"> </w:t>
      </w:r>
      <w:bookmarkStart w:id="31" w:name="x1-2011"/>
      <w:bookmarkEnd w:id="31"/>
      <w:r>
        <w:t xml:space="preserve">J. De Freitas et al. Lessons from an App Update at Replika AI: Identity Discontinuity in Human–AI Relationships. 25-018.</w:t>
      </w:r>
      <w:r>
        <w:t xml:space="preserve"> </w:t>
      </w:r>
      <w:r>
        <w:t xml:space="preserve">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</w:t>
      </w:r>
      <w:bookmarkStart w:id="33" w:name="x1-2010xdoc"/>
      <w:bookmarkEnd w:id="33"/>
      <w:r>
        <w:t xml:space="preserve">;</w:t>
      </w:r>
      <w:r>
        <w:t xml:space="preserve"> </w:t>
      </w:r>
      <w:bookmarkStart w:id="34" w:name="x1-2012"/>
      <w:bookmarkEnd w:id="34"/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(2024);</w:t>
      </w:r>
      <w:r>
        <w:t xml:space="preserve"> </w:t>
      </w:r>
      <w:bookmarkStart w:id="35" w:name="x1-2013"/>
      <w:bookmarkEnd w:id="35"/>
      <w:r>
        <w:t xml:space="preserve">L. Laestadius et al.,</w:t>
      </w:r>
      <w:r>
        <w:t xml:space="preserve"> </w:t>
      </w:r>
      <w:r>
        <w:t xml:space="preserve">Too Human and Not Human Enough: A Grounded Theory</w:t>
      </w:r>
      <w:r>
        <w:t xml:space="preserve"> </w:t>
      </w:r>
      <w:r>
        <w:t xml:space="preserve">Analysis of Mental Health Harms from Emotional Dependence on the Social Chatbot Replika</w:t>
      </w:r>
      <w:r>
        <w:t xml:space="preserve">, 26 New Media &amp; Soc’y</w:t>
      </w:r>
      <w:r>
        <w:t xml:space="preserve"> </w:t>
      </w:r>
      <w:r>
        <w:t xml:space="preserve">5923 (2024);</w:t>
      </w:r>
      <w:r>
        <w:t xml:space="preserve"> </w:t>
      </w:r>
      <w:bookmarkStart w:id="36" w:name="x1-2014"/>
      <w:bookmarkEnd w:id="36"/>
      <w:r>
        <w:t xml:space="preserve">R. Zhang et al.,</w:t>
      </w:r>
      <w:r>
        <w:t xml:space="preserve"> </w:t>
      </w:r>
      <w:r>
        <w:t xml:space="preserve">The Dark Side of AI Companionship: A Taxonomy of Harmful Algorithmic Behaviors</w:t>
      </w:r>
      <w:r>
        <w:t xml:space="preserve"> </w:t>
      </w:r>
      <w:r>
        <w:t xml:space="preserve">in Human–AI Relationships</w:t>
      </w:r>
      <w:r>
        <w:t xml:space="preserve"> </w:t>
      </w:r>
      <w:r>
        <w:t xml:space="preserve">CHI ’25 Proc. 1 (2025).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" w:name="x1-2016x"/>
      <w:bookmarkEnd w:id="39"/>
      <w:r>
        <w:t xml:space="preserve">See</w:t>
      </w:r>
      <w:r>
        <w:t xml:space="preserve"> </w:t>
      </w:r>
      <w:bookmarkStart w:id="40" w:name="x1-2017"/>
      <w:bookmarkEnd w:id="40"/>
      <w:r>
        <w:t xml:space="preserve">K. S. Abraham and C. M. Sharkey, Untangling AI Liability, 115 Calif. L. Rev. (forthcoming</w:t>
      </w:r>
      <w:r>
        <w:t xml:space="preserve"> </w:t>
      </w:r>
      <w:r>
        <w:t xml:space="preserve">2027)</w:t>
      </w:r>
      <w:bookmarkStart w:id="41" w:name="x1-2016xdoc"/>
      <w:bookmarkEnd w:id="41"/>
      <w:r>
        <w:t xml:space="preserve">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" w:name="x1-2019x"/>
      <w:bookmarkEnd w:id="44"/>
      <w:r>
        <w:t xml:space="preserve">See</w:t>
      </w:r>
      <w:r>
        <w:t xml:space="preserve"> </w:t>
      </w:r>
      <w:bookmarkStart w:id="45" w:name="x1-2020"/>
      <w:bookmarkEnd w:id="45"/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 (2026)</w:t>
      </w:r>
      <w:bookmarkStart w:id="46" w:name="x1-2019xdoc"/>
      <w:bookmarkEnd w:id="46"/>
      <w:r>
        <w:t xml:space="preserve">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" w:name="x1-2022x"/>
      <w:bookmarkEnd w:id="49"/>
      <w:r>
        <w:t xml:space="preserve">See</w:t>
      </w:r>
      <w:r>
        <w:t xml:space="preserve"> </w:t>
      </w:r>
      <w:bookmarkStart w:id="50" w:name="x1-2023"/>
      <w:bookmarkEnd w:id="50"/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</w:t>
      </w:r>
      <w:bookmarkStart w:id="51" w:name="x1-2022xdoc"/>
      <w:bookmarkEnd w:id="51"/>
      <w:r>
        <w:t xml:space="preserve">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" w:name="x1-4002xA"/>
      <w:bookmarkEnd w:id="57"/>
      <w:r>
        <w:t xml:space="preserve">See, e.g.,</w:t>
      </w:r>
      <w:r>
        <w:t xml:space="preserve"> </w:t>
      </w:r>
      <w:bookmarkStart w:id="58" w:name="x1-4003"/>
      <w:bookmarkEnd w:id="58"/>
      <w:r>
        <w:t xml:space="preserve">United States v. United States Gypsum Co. 438 U.S. 422, 444–46 (U.S. 1978) (explaining that intent</w:t>
      </w:r>
      <w:r>
        <w:t xml:space="preserve"> </w:t>
      </w:r>
      <w:r>
        <w:t xml:space="preserve">ordinarily must be inferred from acts and surrounding circumstances);</w:t>
      </w:r>
      <w:r>
        <w:t xml:space="preserve"> </w:t>
      </w:r>
      <w:bookmarkStart w:id="59" w:name="x1-4004"/>
      <w:bookmarkEnd w:id="59"/>
      <w:r>
        <w:t xml:space="preserve">Speller v. Sears, Roebuck &amp; Co. 100 N.Y.2d</w:t>
      </w:r>
      <w:r>
        <w:t xml:space="preserve"> </w:t>
      </w:r>
      <w:r>
        <w:t xml:space="preserve">38, 41–43 (N.Y. May 6, 2003) (permitting circumstantial proof of product defect where the evidence excludes other</w:t>
      </w:r>
      <w:r>
        <w:t xml:space="preserve"> </w:t>
      </w:r>
      <w:r>
        <w:t xml:space="preserve">causes not attributable to the defendant);</w:t>
      </w:r>
      <w:r>
        <w:t xml:space="preserve"> </w:t>
      </w:r>
      <w:bookmarkStart w:id="60" w:name="x1-4005"/>
      <w:bookmarkEnd w:id="60"/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2006),</w:t>
      </w:r>
      <w:r>
        <w:t xml:space="preserve"> </w:t>
      </w:r>
      <w:r>
        <w:t xml:space="preserve">§§</w:t>
      </w:r>
      <w:r>
        <w:t xml:space="preserve"> 7.03(1), 7.05 (separating a principal’s direct negligence from vicarious</w:t>
      </w:r>
      <w:r>
        <w:t xml:space="preserve"> </w:t>
      </w:r>
      <w:r>
        <w:t xml:space="preserve">liability).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" w:name="x1-4007xA"/>
      <w:bookmarkEnd w:id="63"/>
      <w:r>
        <w:t xml:space="preserve">See</w:t>
      </w:r>
      <w:r>
        <w:t xml:space="preserve"> </w:t>
      </w:r>
      <w:bookmarkStart w:id="64" w:name="x1-4008"/>
      <w:bookmarkEnd w:id="64"/>
      <w:r>
        <w:t xml:space="preserve">W. Le. Nation’s First Generative-AI “Hallucination” Tort Dispute. People’s Court Daily. 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" w:name="x1-5002xB"/>
      <w:bookmarkEnd w:id="70"/>
      <w:r>
        <w:t xml:space="preserve">See</w:t>
      </w:r>
      <w:r>
        <w:t xml:space="preserve"> </w:t>
      </w:r>
      <w:bookmarkStart w:id="71" w:name="x1-5003"/>
      <w:bookmarkEnd w:id="71"/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</w:t>
      </w:r>
      <w:r>
        <w:t xml:space="preserve"> </w:t>
      </w:r>
      <w:r>
        <w:t xml:space="preserve">Mass.: MIT Press, 2012);</w:t>
      </w:r>
      <w:r>
        <w:t xml:space="preserve"> </w:t>
      </w:r>
      <w:bookmarkStart w:id="72" w:name="x1-5004"/>
      <w:bookmarkEnd w:id="72"/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6" w:name="x1-5006xB"/>
      <w:bookmarkEnd w:id="76"/>
      <w:r>
        <w:t xml:space="preserve">See</w:t>
      </w:r>
      <w:r>
        <w:t xml:space="preserve"> </w:t>
      </w:r>
      <w:bookmarkStart w:id="77" w:name="x1-5007"/>
      <w:bookmarkEnd w:id="77"/>
      <w:r>
        <w:t xml:space="preserve">S. Rismani, R. Dobbe and A. Moon. From Silos to Systems: Process-Oriented Hazard Analysis for AI</w:t>
      </w:r>
      <w:r>
        <w:t xml:space="preserve"> </w:t>
      </w:r>
      <w:r>
        <w:t xml:space="preserve">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79" w:name="x1-5008"/>
      <w:bookmarkEnd w:id="79"/>
      <w:r>
        <w:t xml:space="preserve">S. Rismani et al.,</w:t>
      </w:r>
      <w:r>
        <w:t xml:space="preserve"> </w:t>
      </w:r>
      <w:r>
        <w:t xml:space="preserve">From Plane Crashes to Algorithmic Harm: Applicability of Safety Engineering Frameworks for</w:t>
      </w:r>
      <w:r>
        <w:t xml:space="preserve"> </w:t>
      </w:r>
      <w:r>
        <w:t xml:space="preserve">Responsible ML</w:t>
      </w:r>
      <w:r>
        <w:t xml:space="preserve"> </w:t>
      </w:r>
      <w:r>
        <w:t xml:space="preserve">CHI ’23 Proc. 2:1–2:18 (Apr. 19, 2023).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82" w:name="x1-5010xB"/>
      <w:bookmarkEnd w:id="82"/>
      <w:r>
        <w:t xml:space="preserve">See</w:t>
      </w:r>
      <w:r>
        <w:t xml:space="preserve"> </w:t>
      </w:r>
      <w:bookmarkStart w:id="83" w:name="x1-5011"/>
      <w:bookmarkEnd w:id="83"/>
      <w:r>
        <w:t xml:space="preserve">National Institute of Standards and Technology. Artificial Intelligence Risk Management Framework (AI</w:t>
      </w:r>
      <w:r>
        <w:t xml:space="preserve"> </w:t>
      </w:r>
      <w:r>
        <w:t xml:space="preserve">RMF 1.0). Jan.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92" w:name="x1-5018xB"/>
      <w:bookmarkEnd w:id="92"/>
      <w:r>
        <w:t xml:space="preserve">See Lisanne Bainbridge,</w:t>
      </w:r>
      <w:r>
        <w:t xml:space="preserve"> </w:t>
      </w:r>
      <w:bookmarkStart w:id="93" w:name="x1-5019"/>
      <w:bookmarkEnd w:id="93"/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00" w:name="x1-6003xC"/>
      <w:bookmarkEnd w:id="100"/>
      <w:r>
        <w:t xml:space="preserve">See</w:t>
      </w:r>
      <w:r>
        <w:t xml:space="preserve"> </w:t>
      </w:r>
      <w:bookmarkStart w:id="101" w:name="x1-6004"/>
      <w:bookmarkEnd w:id="101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2" w:name="x1-6005"/>
      <w:bookmarkEnd w:id="102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3" w:name="x1-6006"/>
      <w:bookmarkEnd w:id="103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4" w:name="x1-6007"/>
      <w:bookmarkEnd w:id="104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5" w:name="x1-6008"/>
      <w:bookmarkEnd w:id="105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24" w:name="x1-14002x"/>
      <w:bookmarkEnd w:id="124"/>
      <w:r>
        <w:t xml:space="preserve">See</w:t>
      </w:r>
      <w:r>
        <w:t xml:space="preserve"> </w:t>
      </w:r>
      <w:bookmarkStart w:id="125" w:name="x1-14003"/>
      <w:bookmarkEnd w:id="125"/>
      <w:r>
        <w:t xml:space="preserve">Rismani, Dobbe and Moon, supra note</w:t>
      </w:r>
      <w:r>
        <w:t xml:space="preserve"> </w:t>
      </w:r>
      <w:hyperlink w:anchor="x1-5006xB">
        <w:r>
          <w:rPr>
            <w:rStyle w:val="Hyperlink"/>
          </w:rPr>
          <w:t xml:space="preserve">10</w:t>
        </w:r>
      </w:hyperlink>
      <w:r>
        <w:t xml:space="preserve">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2" w:name="x1-16002xA"/>
      <w:bookmarkEnd w:id="132"/>
      <w:r>
        <w:t xml:space="preserve">See</w:t>
      </w:r>
      <w:r>
        <w:t xml:space="preserve"> </w:t>
      </w:r>
      <w:bookmarkStart w:id="133" w:name="x1-16003"/>
      <w:bookmarkEnd w:id="133"/>
      <w:r>
        <w:t xml:space="preserve">W. N. Hohfeld,</w:t>
      </w:r>
      <w:r>
        <w:t xml:space="preserve"> </w:t>
      </w:r>
      <w:r>
        <w:t xml:space="preserve">Some Fundamental Legal Conceptions as Applied in Judicial Reasoning</w:t>
      </w:r>
      <w:r>
        <w:t xml:space="preserve">, 23 Yale L.J. 16,</w:t>
      </w:r>
      <w:r>
        <w:t xml:space="preserve"> </w:t>
      </w:r>
      <w:r>
        <w:t xml:space="preserve">30–58 (1913). Hohfeldian “liability” means exposure to another’s legal power, not necessarily tort liability or</w:t>
      </w:r>
      <w:r>
        <w:t xml:space="preserve"> </w:t>
      </w:r>
      <w:r>
        <w:t xml:space="preserve">capacity for punishment. The table is diagnostic; it does not imply that every legal person personally exercises</w:t>
      </w:r>
      <w:r>
        <w:t xml:space="preserve"> </w:t>
      </w:r>
      <w:r>
        <w:t xml:space="preserve">every incident. Its remedy row is this Article’s enforcement-oriented extension of the four Hohfeldian</w:t>
      </w:r>
      <w:r>
        <w:t xml:space="preserve"> </w:t>
      </w:r>
      <w:r>
        <w:t xml:space="preserve">pairs.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8" w:name="x1-16006xA"/>
      <w:bookmarkEnd w:id="138"/>
      <w:r>
        <w:t xml:space="preserve">See</w:t>
      </w:r>
      <w:r>
        <w:t xml:space="preserve"> </w:t>
      </w:r>
      <w:bookmarkStart w:id="139" w:name="x1-16007"/>
      <w:bookmarkEnd w:id="139"/>
      <w:r>
        <w:t xml:space="preserve">Trustees of Dartmouth College v. Woodward, 17 U.S. (4 Wheat.) 518, 636 (U.S. 1819);</w:t>
      </w:r>
      <w:r>
        <w:t xml:space="preserve"> </w:t>
      </w:r>
      <w:bookmarkStart w:id="140" w:name="x1-16008"/>
      <w:bookmarkEnd w:id="140"/>
      <w:r>
        <w:t xml:space="preserve">New York Central &amp;</w:t>
      </w:r>
      <w:r>
        <w:t xml:space="preserve"> </w:t>
      </w:r>
      <w:r>
        <w:t xml:space="preserve">Hudson River Railroad Co. v. United States, 212 U.S. 481, 492–95 (U.S. 1909);</w:t>
      </w:r>
      <w:r>
        <w:t xml:space="preserve"> </w:t>
      </w:r>
      <w:bookmarkStart w:id="141" w:name="x1-16009"/>
      <w:bookmarkEnd w:id="141"/>
      <w:r>
        <w:t xml:space="preserve">J. Dewey,</w:t>
      </w:r>
      <w:r>
        <w:t xml:space="preserve"> </w:t>
      </w:r>
      <w:r>
        <w:t xml:space="preserve">The Historic Background</w:t>
      </w:r>
      <w:r>
        <w:t xml:space="preserve"> </w:t>
      </w:r>
      <w:r>
        <w:t xml:space="preserve">of Corporate Legal Personality</w:t>
      </w:r>
      <w:r>
        <w:t xml:space="preserve">, 35 Yale L.J. 655 (1926);</w:t>
      </w:r>
      <w:r>
        <w:t xml:space="preserve"> </w:t>
      </w:r>
      <w:bookmarkStart w:id="142" w:name="x1-16010"/>
      <w:bookmarkEnd w:id="142"/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</w:t>
      </w:r>
      <w:r>
        <w:t xml:space="preserve"> </w:t>
      </w:r>
      <w:r>
        <w:t xml:space="preserve">Oxford University Press, 2019).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45" w:name="x1-16012xA"/>
      <w:bookmarkEnd w:id="145"/>
      <w:r>
        <w:t xml:space="preserve">See</w:t>
      </w:r>
      <w:r>
        <w:t xml:space="preserve"> </w:t>
      </w:r>
      <w:bookmarkStart w:id="146" w:name="x1-16013"/>
      <w:bookmarkEnd w:id="146"/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47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2" w:name="x1-17002xB"/>
      <w:bookmarkEnd w:id="152"/>
      <w:r>
        <w:t xml:space="preserve">See</w:t>
      </w:r>
      <w:r>
        <w:t xml:space="preserve"> </w:t>
      </w:r>
      <w:bookmarkStart w:id="153" w:name="x1-17003"/>
      <w:bookmarkEnd w:id="153"/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(1992);</w:t>
      </w:r>
      <w:r>
        <w:t xml:space="preserve"> </w:t>
      </w:r>
      <w:bookmarkStart w:id="154" w:name="x1-17004"/>
      <w:bookmarkEnd w:id="154"/>
      <w:r>
        <w:t xml:space="preserve">S. Chopra and</w:t>
      </w:r>
      <w:r>
        <w:t xml:space="preserve"> </w:t>
      </w:r>
      <w:r>
        <w:t xml:space="preserve">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 Arbor: University of Michigan Press,</w:t>
      </w:r>
      <w:r>
        <w:t xml:space="preserve"> </w:t>
      </w:r>
      <w:r>
        <w:t xml:space="preserve">2011);</w:t>
      </w:r>
      <w:r>
        <w:t xml:space="preserve"> </w:t>
      </w:r>
      <w:bookmarkStart w:id="155" w:name="x1-17005"/>
      <w:bookmarkEnd w:id="155"/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2018);</w:t>
      </w:r>
      <w:r>
        <w:t xml:space="preserve"> </w:t>
      </w:r>
      <w:bookmarkStart w:id="156" w:name="x1-17006"/>
      <w:bookmarkEnd w:id="156"/>
      <w:r>
        <w:t xml:space="preserve">R. Abbott and A. Sarch,</w:t>
      </w:r>
      <w:r>
        <w:t xml:space="preserve"> </w:t>
      </w:r>
      <w:r>
        <w:t xml:space="preserve">Punishing Artificial Intelligence: Legal Fiction or Science Fiction</w:t>
      </w:r>
      <w:r>
        <w:t xml:space="preserve">, 53 UC Davis L. Rev. 323 (2019);</w:t>
      </w:r>
      <w:r>
        <w:t xml:space="preserve"> </w:t>
      </w:r>
      <w:bookmarkStart w:id="157" w:name="x1-17007"/>
      <w:bookmarkEnd w:id="157"/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 Comp. L.Q. 819</w:t>
      </w:r>
      <w:r>
        <w:t xml:space="preserve"> </w:t>
      </w:r>
      <w:r>
        <w:t xml:space="preserve">(2020).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0" w:name="x1-17009xB"/>
      <w:bookmarkEnd w:id="160"/>
      <w:r>
        <w:t xml:space="preserve">See</w:t>
      </w:r>
      <w:r>
        <w:t xml:space="preserve"> </w:t>
      </w:r>
      <w:bookmarkStart w:id="161" w:name="x1-17010"/>
      <w:bookmarkEnd w:id="161"/>
      <w:r>
        <w:t xml:space="preserve">S. J. Bayern,</w:t>
      </w:r>
      <w:r>
        <w:t xml:space="preserve"> </w:t>
      </w:r>
      <w:r>
        <w:t xml:space="preserve">The Implications of Modern Business-Entity Law for the Regulation of Autonomous Systems</w:t>
      </w:r>
      <w:r>
        <w:t xml:space="preserve">,</w:t>
      </w:r>
      <w:r>
        <w:t xml:space="preserve"> </w:t>
      </w:r>
      <w:r>
        <w:t xml:space="preserve">19 Stan. Tech. L. Rev. 93 (2015);</w:t>
      </w:r>
      <w:r>
        <w:t xml:space="preserve"> </w:t>
      </w:r>
      <w:bookmarkStart w:id="162" w:name="x1-17011"/>
      <w:bookmarkEnd w:id="162"/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887, 887–903</w:t>
      </w:r>
      <w:r>
        <w:t xml:space="preserve"> </w:t>
      </w:r>
      <w:r>
        <w:t xml:space="preserve">(2018).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5" w:name="x1-17013xB"/>
      <w:bookmarkEnd w:id="165"/>
      <w:r>
        <w:t xml:space="preserve">See</w:t>
      </w:r>
      <w:r>
        <w:t xml:space="preserve"> </w:t>
      </w:r>
      <w:bookmarkStart w:id="166" w:name="x1-17014"/>
      <w:bookmarkEnd w:id="166"/>
      <w:r>
        <w:t xml:space="preserve">A. Mukherjee and H. H. Chang,</w:t>
      </w:r>
      <w:r>
        <w:t xml:space="preserve"> </w:t>
      </w:r>
      <w:r>
        <w:t xml:space="preserve">Operational Agency: A Permeable Legal Fiction for Tracing Culpability in</w:t>
      </w:r>
      <w:r>
        <w:t xml:space="preserve"> </w:t>
      </w:r>
      <w:r>
        <w:t xml:space="preserve">AI Systems</w:t>
      </w:r>
      <w:r>
        <w:t xml:space="preserve">, 29 SMU Sci. &amp; Tech. L. Rev. 163 (2026).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9" w:name="x1-17016xB"/>
      <w:bookmarkEnd w:id="169"/>
      <w:r>
        <w:t xml:space="preserve">See</w:t>
      </w:r>
      <w:r>
        <w:t xml:space="preserve"> </w:t>
      </w:r>
      <w:bookmarkStart w:id="170" w:name="x1-17017"/>
      <w:bookmarkEnd w:id="170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3" w:name="x1-17019xB"/>
      <w:bookmarkEnd w:id="173"/>
      <w:r>
        <w:t xml:space="preserve">See</w:t>
      </w:r>
      <w:r>
        <w:t xml:space="preserve"> </w:t>
      </w:r>
      <w:bookmarkStart w:id="174" w:name="x1-17020"/>
      <w:bookmarkEnd w:id="174"/>
      <w:r>
        <w:t xml:space="preserve">H.R. 238, 119th Cong.</w:t>
      </w:r>
      <w:r>
        <w:t xml:space="preserve"> </w:t>
      </w:r>
      <w:r>
        <w:t xml:space="preserve">§</w:t>
      </w:r>
      <w:r>
        <w:t xml:space="preserve"> 2 (2025).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7" w:name="x1-17022xB"/>
      <w:bookmarkEnd w:id="177"/>
      <w:r>
        <w:t xml:space="preserve">See</w:t>
      </w:r>
      <w:r>
        <w:t xml:space="preserve"> </w:t>
      </w:r>
      <w:bookmarkStart w:id="178" w:name="x1-17023"/>
      <w:bookmarkEnd w:id="178"/>
      <w:r>
        <w:t xml:space="preserve">European Parliament. Resolution with Recommendations to the Commission on Civil Law Rules on Robotics.</w:t>
      </w:r>
      <w:r>
        <w:t xml:space="preserve"> </w:t>
      </w:r>
      <w:r>
        <w:t xml:space="preserve">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 (para. 59(f));</w:t>
      </w:r>
      <w:r>
        <w:t xml:space="preserve"> </w:t>
      </w:r>
      <w:bookmarkStart w:id="180" w:name="x1-17024"/>
      <w:bookmarkEnd w:id="180"/>
      <w:r>
        <w:t xml:space="preserve">European Economic and Social Committee. Opinion on Artificial Intelligence: The</w:t>
      </w:r>
      <w:r>
        <w:t xml:space="preserve"> </w:t>
      </w:r>
      <w:r>
        <w:t xml:space="preserve">Consequences of Artificial Intelligence for the Digital Single Market, Production, Consumption, Employment and</w:t>
      </w:r>
      <w:r>
        <w:t xml:space="preserve"> </w:t>
      </w:r>
      <w:r>
        <w:t xml:space="preserve">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 (paras. 1.12, 3.33);</w:t>
      </w:r>
      <w:r>
        <w:t xml:space="preserve"> </w:t>
      </w:r>
      <w:bookmarkStart w:id="182" w:name="x1-17025"/>
      <w:bookmarkEnd w:id="182"/>
      <w:r>
        <w:t xml:space="preserve">Artificial Intelligence and Robotics Researchers. Open Letter to the</w:t>
      </w:r>
      <w:r>
        <w:t xml:space="preserve"> </w:t>
      </w:r>
      <w:r>
        <w:t xml:space="preserve">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8" w:name="x1-18002xC"/>
      <w:bookmarkEnd w:id="188"/>
      <w:r>
        <w:t xml:space="preserve">See</w:t>
      </w:r>
      <w:r>
        <w:t xml:space="preserve"> </w:t>
      </w:r>
      <w:bookmarkStart w:id="189" w:name="x1-18003"/>
      <w:bookmarkEnd w:id="189"/>
      <w:r>
        <w:t xml:space="preserve">Artificial Intelligence Act, Regulation (EU) 2024/1689 (June 13, 2024);</w:t>
      </w:r>
      <w:r>
        <w:t xml:space="preserve"> </w:t>
      </w:r>
      <w:bookmarkStart w:id="190" w:name="x1-18004"/>
      <w:bookmarkEnd w:id="190"/>
      <w:r>
        <w:t xml:space="preserve">National Institute of Standards and</w:t>
      </w:r>
      <w:r>
        <w:t xml:space="preserve"> </w:t>
      </w:r>
      <w:r>
        <w:t xml:space="preserve">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93" w:name="x1-18006xC"/>
      <w:bookmarkEnd w:id="193"/>
      <w:r>
        <w:t xml:space="preserve">See</w:t>
      </w:r>
      <w:r>
        <w:t xml:space="preserve"> </w:t>
      </w:r>
      <w:bookmarkStart w:id="194" w:name="x1-18007"/>
      <w:bookmarkEnd w:id="194"/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9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 (model act</w:t>
      </w:r>
      <w:r>
        <w:t xml:space="preserve"> </w:t>
      </w:r>
      <w:r>
        <w:t xml:space="preserve">§§</w:t>
      </w:r>
      <w:r>
        <w:t xml:space="preserve"> 2(6), 14);</w:t>
      </w:r>
      <w:r>
        <w:t xml:space="preserve"> </w:t>
      </w:r>
      <w:bookmarkStart w:id="196" w:name="x1-18008"/>
      <w:bookmarkEnd w:id="196"/>
      <w:r>
        <w:t xml:space="preserve">Electronic Signatures in Global and National Commerce Act, 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7001(h) (2000).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1" w:name="x1-19002xD"/>
      <w:bookmarkEnd w:id="201"/>
      <w:r>
        <w:t xml:space="preserve">See</w:t>
      </w:r>
      <w:r>
        <w:t xml:space="preserve"> </w:t>
      </w:r>
      <w:bookmarkStart w:id="202" w:name="x1-19003"/>
      <w:bookmarkEnd w:id="202"/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(1954);</w:t>
      </w:r>
      <w:r>
        <w:t xml:space="preserve"> </w:t>
      </w:r>
      <w:bookmarkStart w:id="203" w:name="x1-19004"/>
      <w:bookmarkEnd w:id="203"/>
      <w:r>
        <w:t xml:space="preserve">B. Casey and</w:t>
      </w:r>
      <w:r>
        <w:t xml:space="preserve"> </w:t>
      </w:r>
      <w:r>
        <w:t xml:space="preserve">M. A. Lemley,</w:t>
      </w:r>
      <w:r>
        <w:t xml:space="preserve"> </w:t>
      </w:r>
      <w:r>
        <w:t xml:space="preserve">You Might Be a Robot</w:t>
      </w:r>
      <w:r>
        <w:t xml:space="preserve">, 105 Cornell L. Rev. 287 (2020);</w:t>
      </w:r>
      <w:r>
        <w:t xml:space="preserve"> </w:t>
      </w:r>
      <w:bookmarkStart w:id="204" w:name="x1-19005"/>
      <w:bookmarkEnd w:id="204"/>
      <w:r>
        <w:t xml:space="preserve">J. Schuett,</w:t>
      </w:r>
      <w:r>
        <w:t xml:space="preserve"> </w:t>
      </w:r>
      <w:r>
        <w:t xml:space="preserve">Defining the Scope of</w:t>
      </w:r>
      <w:r>
        <w:t xml:space="preserve"> </w:t>
      </w:r>
      <w:r>
        <w:t xml:space="preserve">AI Regulations</w:t>
      </w:r>
      <w:r>
        <w:t xml:space="preserve">, 15 Law Innovation &amp; Tech. 60 (2023);</w:t>
      </w:r>
      <w:r>
        <w:t xml:space="preserve"> </w:t>
      </w:r>
      <w:bookmarkStart w:id="205" w:name="x1-19006"/>
      <w:bookmarkEnd w:id="205"/>
      <w:r>
        <w:t xml:space="preserve">A. Ojanen,</w:t>
      </w:r>
      <w:r>
        <w:t xml:space="preserve"> </w:t>
      </w:r>
      <w:r>
        <w:t xml:space="preserve">Technology Neutrality as a Way</w:t>
      </w:r>
      <w:r>
        <w:t xml:space="preserve"> </w:t>
      </w:r>
      <w:r>
        <w:t xml:space="preserve">to Future-Proof Regulation: The Case of the Artificial Intelligence Act</w:t>
      </w:r>
      <w:r>
        <w:t xml:space="preserve">, 16 Eur. J. Risk Regul. 1440</w:t>
      </w:r>
      <w:r>
        <w:t xml:space="preserve"> </w:t>
      </w:r>
      <w:r>
        <w:t xml:space="preserve">(2025);</w:t>
      </w:r>
      <w:r>
        <w:t xml:space="preserve"> </w:t>
      </w:r>
      <w:bookmarkStart w:id="206" w:name="x1-19007"/>
      <w:bookmarkEnd w:id="206"/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0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0" w:name="x1-19009xD"/>
      <w:bookmarkEnd w:id="210"/>
      <w:r>
        <w:t xml:space="preserve">See</w:t>
      </w:r>
      <w:r>
        <w:t xml:space="preserve"> </w:t>
      </w:r>
      <w:bookmarkStart w:id="211" w:name="x1-19010"/>
      <w:bookmarkEnd w:id="211"/>
      <w:r>
        <w:t xml:space="preserve">Thaler v. Perlmutter, 130 F.4th 1039, 1045–49 (D.C. Cir. 2025);</w:t>
      </w:r>
      <w:r>
        <w:t xml:space="preserve"> </w:t>
      </w:r>
      <w:bookmarkStart w:id="212" w:name="x1-19011"/>
      <w:bookmarkEnd w:id="212"/>
      <w:r>
        <w:t xml:space="preserve">U.S. Copyright Office. Copyright</w:t>
      </w:r>
      <w:r>
        <w:t xml:space="preserve"> </w:t>
      </w:r>
      <w:r>
        <w:t xml:space="preserve">and Artificial Intelligence, Part 2: Copyrightability. U.S. 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1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214" w:name="x1-19012"/>
      <w:bookmarkEnd w:id="214"/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</w:t>
      </w:r>
      <w:r>
        <w:t xml:space="preserve"> </w:t>
      </w:r>
      <w:r>
        <w:t xml:space="preserve">(2024).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7" w:name="x1-19014xD"/>
      <w:bookmarkEnd w:id="217"/>
      <w:r>
        <w:t xml:space="preserve">See</w:t>
      </w:r>
      <w:r>
        <w:t xml:space="preserve"> </w:t>
      </w:r>
      <w:bookmarkStart w:id="218" w:name="x1-19015"/>
      <w:bookmarkEnd w:id="218"/>
      <w:r>
        <w:t xml:space="preserve">Loper Bright Enterprises v. Raimondo, 603 U.S. 369, 394–96 (U.S. 2024);</w:t>
      </w:r>
      <w:r>
        <w:t xml:space="preserve"> </w:t>
      </w:r>
      <w:bookmarkStart w:id="219" w:name="x1-19016"/>
      <w:bookmarkEnd w:id="219"/>
      <w:r>
        <w:t xml:space="preserve">Skidmore v. Swift &amp; Co. 323 U.S.</w:t>
      </w:r>
      <w:r>
        <w:t xml:space="preserve"> </w:t>
      </w:r>
      <w:r>
        <w:t xml:space="preserve">134, 140 (U.S. 1944).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2" w:name="x1-19018xD"/>
      <w:bookmarkEnd w:id="222"/>
      <w:r>
        <w:t xml:space="preserve">See</w:t>
      </w:r>
      <w:r>
        <w:t xml:space="preserve"> </w:t>
      </w:r>
      <w:bookmarkStart w:id="223" w:name="x1-19019"/>
      <w:bookmarkEnd w:id="223"/>
      <w:r>
        <w:t xml:space="preserve">Garcia, 785 F. Supp. 3d 1157;</w:t>
      </w:r>
      <w:r>
        <w:t xml:space="preserve"> </w:t>
      </w:r>
      <w:bookmarkStart w:id="224" w:name="x1-19020"/>
      <w:bookmarkEnd w:id="224"/>
      <w:r>
        <w:t xml:space="preserve">Moffatt v. Air Canada 2024 BCCRT 149, 27–31 (B.C. Civ. Resol. Trib.</w:t>
      </w:r>
      <w:r>
        <w:t xml:space="preserve"> </w:t>
      </w:r>
      <w:r>
        <w:t xml:space="preserve">Feb. 14, 2024);</w:t>
      </w:r>
      <w:r>
        <w:t xml:space="preserve"> </w:t>
      </w:r>
      <w:bookmarkStart w:id="225" w:name="x1-19021"/>
      <w:bookmarkEnd w:id="225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3" w:name="x1-22002x1"/>
      <w:bookmarkEnd w:id="233"/>
      <w:r>
        <w:t xml:space="preserve">See</w:t>
      </w:r>
      <w:r>
        <w:t xml:space="preserve"> </w:t>
      </w:r>
      <w:bookmarkStart w:id="234" w:name="x1-22003"/>
      <w:bookmarkEnd w:id="234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7" w:name="x1-22005x1"/>
      <w:bookmarkEnd w:id="237"/>
      <w:r>
        <w:t xml:space="preserve">See</w:t>
      </w:r>
      <w:r>
        <w:t xml:space="preserve"> </w:t>
      </w:r>
      <w:bookmarkStart w:id="238" w:name="x1-22006"/>
      <w:bookmarkEnd w:id="238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1" w:name="x1-22008x1"/>
      <w:bookmarkEnd w:id="241"/>
      <w:r>
        <w:t xml:space="preserve">See</w:t>
      </w:r>
      <w:r>
        <w:t xml:space="preserve"> </w:t>
      </w:r>
      <w:bookmarkStart w:id="242" w:name="x1-22009"/>
      <w:bookmarkEnd w:id="242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5" w:name="x1-22011x1"/>
      <w:bookmarkEnd w:id="245"/>
      <w:r>
        <w:t xml:space="preserve">See</w:t>
      </w:r>
      <w:r>
        <w:t xml:space="preserve"> </w:t>
      </w:r>
      <w:bookmarkStart w:id="246" w:name="x1-22012"/>
      <w:bookmarkEnd w:id="246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 The source material consisted of conversations users chose to post to an online</w:t>
      </w:r>
      <w:r>
        <w:t xml:space="preserve"> </w:t>
      </w:r>
      <w:r>
        <w:t xml:space="preserve">community, so it maps possible behavior rather than population prevalence.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9" w:name="x1-22014x1"/>
      <w:bookmarkEnd w:id="249"/>
      <w:r>
        <w:t xml:space="preserve">See</w:t>
      </w:r>
      <w:r>
        <w:t xml:space="preserve"> </w:t>
      </w:r>
      <w:bookmarkStart w:id="250" w:name="x1-22015"/>
      <w:bookmarkEnd w:id="250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 The study is a 2026 preprint and its controlled deployment does not estimate the</w:t>
      </w:r>
      <w:r>
        <w:t xml:space="preserve"> </w:t>
      </w:r>
      <w:r>
        <w:t xml:space="preserve">incidence of clinical injury in commercial populations. It supplies evidence about dose and repeated exposure, not a</w:t>
      </w:r>
      <w:r>
        <w:t xml:space="preserve"> </w:t>
      </w:r>
      <w:r>
        <w:t xml:space="preserve">rule of tort causation.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5" w:name="x1-23002x2"/>
      <w:bookmarkEnd w:id="255"/>
      <w:r>
        <w:t xml:space="preserve">See</w:t>
      </w:r>
      <w:r>
        <w:t xml:space="preserve"> </w:t>
      </w:r>
      <w:bookmarkStart w:id="256" w:name="x1-23003"/>
      <w:bookmarkEnd w:id="256"/>
      <w:r>
        <w:t xml:space="preserve">Garcia, 785 F. Supp. 3d at 1165–69. These are allegations recounted at the Rule 12 stage; the court made no</w:t>
      </w:r>
      <w:r>
        <w:t xml:space="preserve"> </w:t>
      </w:r>
      <w:r>
        <w:t xml:space="preserve">finding of defect, causation, or liability.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9" w:name="x1-23005x2"/>
      <w:bookmarkEnd w:id="259"/>
      <w:r>
        <w:t xml:space="preserve">See Id. at 1179–80.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2" w:name="x1-23007x2"/>
      <w:bookmarkEnd w:id="262"/>
      <w:r>
        <w:t xml:space="preserve">See Id. at 1174–76; see also</w:t>
      </w:r>
      <w:r>
        <w:t xml:space="preserve"> </w:t>
      </w:r>
      <w:bookmarkStart w:id="263" w:name="x1-23008"/>
      <w:bookmarkEnd w:id="263"/>
      <w:r>
        <w:t xml:space="preserve">Moody v. NetChoice, LLC, 603 U.S. 707, 745–48 (U.S. 2024) (Barrett, J.,</w:t>
      </w:r>
      <w:r>
        <w:t xml:space="preserve"> </w:t>
      </w:r>
      <w:r>
        <w:t xml:space="preserve">concurring).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6" w:name="x1-23010x2"/>
      <w:bookmarkEnd w:id="266"/>
      <w:r>
        <w:t xml:space="preserve">Cf.</w:t>
      </w:r>
      <w:r>
        <w:t xml:space="preserve"> </w:t>
      </w:r>
      <w:bookmarkStart w:id="267" w:name="x1-23011"/>
      <w:bookmarkEnd w:id="267"/>
      <w:r>
        <w:t xml:space="preserve">Rice v. Paladin Enterprises, Inc. 128 F.3d 233 (4th Cir. 1997);</w:t>
      </w:r>
      <w:r>
        <w:t xml:space="preserve"> </w:t>
      </w:r>
      <w:bookmarkStart w:id="268" w:name="x1-23012"/>
      <w:bookmarkEnd w:id="268"/>
      <w:r>
        <w:t xml:space="preserve">Winter v. G.P. Putnam’s Sons, 938 F.2d 1033</w:t>
      </w:r>
      <w:r>
        <w:t xml:space="preserve"> </w:t>
      </w:r>
      <w:r>
        <w:t xml:space="preserve">(9th Cir. 1991).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1" w:name="x1-23014x2"/>
      <w:bookmarkEnd w:id="271"/>
      <w:r>
        <w:t xml:space="preserve">See</w:t>
      </w:r>
      <w:r>
        <w:t xml:space="preserve"> </w:t>
      </w:r>
      <w:bookmarkStart w:id="272" w:name="x1-23015"/>
      <w:bookmarkEnd w:id="272"/>
      <w:r>
        <w:t xml:space="preserve">Garcia Dismissal No. 6:24-cv-01903-ACC-DCI, Dkt. 244;</w:t>
      </w:r>
      <w:r>
        <w:t xml:space="preserve"> </w:t>
      </w:r>
      <w:bookmarkStart w:id="273" w:name="x1-23016"/>
      <w:bookmarkEnd w:id="273"/>
      <w:r>
        <w:t xml:space="preserve">Garcia v. Character Technologies, Inc. No.</w:t>
      </w:r>
      <w:r>
        <w:t xml:space="preserve"> </w:t>
      </w:r>
      <w:r>
        <w:t xml:space="preserve">6:24-cv-01903-ACC-DCI, Dkt. 271 (M.D. Fla. Apr. 8, 2026). order extending dismissal deadlines;</w:t>
      </w:r>
      <w:r>
        <w:t xml:space="preserve"> </w:t>
      </w:r>
      <w:bookmarkStart w:id="274" w:name="x1-23017"/>
      <w:bookmarkEnd w:id="274"/>
      <w:r>
        <w:t xml:space="preserve">Garcia</w:t>
      </w:r>
      <w:r>
        <w:t xml:space="preserve"> </w:t>
      </w:r>
      <w:r>
        <w:t xml:space="preserve">Charging-Lien Order No. 6:24-cv-01903-ACC-DCI, Dkt. at 1.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7" w:name="x1-23019x2"/>
      <w:bookmarkEnd w:id="277"/>
      <w:r>
        <w:t xml:space="preserve">See</w:t>
      </w:r>
      <w:r>
        <w:t xml:space="preserve"> </w:t>
      </w:r>
      <w:bookmarkStart w:id="278" w:name="x1-23020"/>
      <w:bookmarkEnd w:id="278"/>
      <w:r>
        <w:t xml:space="preserve">Character Technologies, Inc. Character.AI Launches Mobile App for iOS and Android. 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9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2" w:name="x1-23022x2"/>
      <w:bookmarkEnd w:id="282"/>
      <w:r>
        <w:t xml:space="preserve">See</w:t>
      </w:r>
      <w:r>
        <w:t xml:space="preserve"> </w:t>
      </w:r>
      <w:bookmarkStart w:id="283" w:name="x1-23023"/>
      <w:bookmarkEnd w:id="283"/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 ch. 677;</w:t>
      </w:r>
      <w:r>
        <w:t xml:space="preserve"> </w:t>
      </w:r>
      <w:bookmarkStart w:id="284" w:name="x1-23024"/>
      <w:bookmarkEnd w:id="284"/>
      <w:r>
        <w:t xml:space="preserve">Federal</w:t>
      </w:r>
      <w:r>
        <w:t xml:space="preserve"> </w:t>
      </w:r>
      <w:r>
        <w:t xml:space="preserve">Trade Commission. FTC Launches Inquiry into AI Chatbots Acting as Companions. 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85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 The FTC inquiry is a market study, not a violation finding.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8" w:name="x1-23026x2"/>
      <w:bookmarkEnd w:id="288"/>
      <w:r>
        <w:t xml:space="preserve">See</w:t>
      </w:r>
      <w:r>
        <w:t xml:space="preserve"> </w:t>
      </w:r>
      <w:bookmarkStart w:id="289" w:name="x1-23027"/>
      <w:bookmarkEnd w:id="289"/>
      <w:r>
        <w:t xml:space="preserve">Lyons v. OpenAI Foundation No. 3:25-cv-11037-RS, Dkt. 42 (N.D. Cal. Apr. 13, 2026).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5" w:name="x1-24002xB"/>
      <w:bookmarkEnd w:id="295"/>
      <w:bookmarkStart w:id="296" w:name="x1-24003"/>
      <w:bookmarkEnd w:id="296"/>
      <w:r>
        <w:t xml:space="preserve">Thaler, 130 F.4th at 1045–49.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9" w:name="x1-24005xB"/>
      <w:bookmarkEnd w:id="299"/>
      <w:r>
        <w:t xml:space="preserve">See</w:t>
      </w:r>
      <w:r>
        <w:t xml:space="preserve"> </w:t>
      </w:r>
      <w:bookmarkStart w:id="300" w:name="x1-24006"/>
      <w:bookmarkEnd w:id="300"/>
      <w:r>
        <w:t xml:space="preserve">U.S. Copyright Office, supra note</w:t>
      </w:r>
      <w:r>
        <w:t xml:space="preserve"> </w:t>
      </w:r>
      <w:hyperlink w:anchor="x1-19009xD">
        <w:r>
          <w:rPr>
            <w:rStyle w:val="Hyperlink"/>
          </w:rPr>
          <w:t xml:space="preserve">27</w:t>
        </w:r>
      </w:hyperlink>
      <w:r>
        <w:t xml:space="preserve">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3" w:name="x1-24008xB"/>
      <w:bookmarkEnd w:id="303"/>
      <w:r>
        <w:t xml:space="preserve">See</w:t>
      </w:r>
      <w:r>
        <w:t xml:space="preserve"> </w:t>
      </w:r>
      <w:bookmarkStart w:id="304" w:name="x1-24009"/>
      <w:bookmarkEnd w:id="304"/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(2024);</w:t>
      </w:r>
      <w:r>
        <w:t xml:space="preserve"> </w:t>
      </w:r>
      <w:bookmarkStart w:id="305" w:name="x1-24010"/>
      <w:bookmarkEnd w:id="305"/>
      <w:r>
        <w:t xml:space="preserve">Baker v. Selden, 101 U.S. 99 (U.S. 1879);</w:t>
      </w:r>
      <w:r>
        <w:t xml:space="preserve"> </w:t>
      </w:r>
      <w:bookmarkStart w:id="306" w:name="x1-24011"/>
      <w:bookmarkEnd w:id="306"/>
      <w:r>
        <w:t xml:space="preserve">Feist Publications, Inc. v.</w:t>
      </w:r>
      <w:r>
        <w:t xml:space="preserve"> </w:t>
      </w:r>
      <w:r>
        <w:t xml:space="preserve">Rural Telephone Service Co. 499 U.S. 340 (U.S. 1991).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3" w:name="x1-25003xC"/>
      <w:bookmarkEnd w:id="313"/>
      <w:r>
        <w:t xml:space="preserve">See</w:t>
      </w:r>
      <w:r>
        <w:t xml:space="preserve"> </w:t>
      </w:r>
      <w:bookmarkStart w:id="314" w:name="x1-25004"/>
      <w:bookmarkEnd w:id="314"/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1998).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7" w:name="x1-25006xC"/>
      <w:bookmarkEnd w:id="317"/>
      <w:r>
        <w:t xml:space="preserve">See</w:t>
      </w:r>
      <w:r>
        <w:t xml:space="preserve"> </w:t>
      </w:r>
      <w:bookmarkStart w:id="318" w:name="x1-25007"/>
      <w:bookmarkEnd w:id="318"/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9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6" w:name="x1-27002xA"/>
      <w:bookmarkEnd w:id="326"/>
      <w:r>
        <w:t xml:space="preserve">See</w:t>
      </w:r>
      <w:r>
        <w:t xml:space="preserve"> </w:t>
      </w:r>
      <w:bookmarkStart w:id="327" w:name="x1-27003"/>
      <w:bookmarkEnd w:id="327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7.07;</w:t>
      </w:r>
      <w:r>
        <w:t xml:space="preserve"> </w:t>
      </w:r>
      <w:bookmarkStart w:id="328" w:name="x1-27004"/>
      <w:bookmarkEnd w:id="328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46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1–2;</w:t>
      </w:r>
      <w:r>
        <w:t xml:space="preserve"> </w:t>
      </w:r>
      <w:bookmarkStart w:id="329" w:name="x1-27005"/>
      <w:bookmarkEnd w:id="329"/>
      <w:r>
        <w:t xml:space="preserve">Uniform Law Commission, supra note</w:t>
      </w:r>
      <w:r>
        <w:t xml:space="preserve"> </w:t>
      </w:r>
      <w:hyperlink w:anchor="x1-18006xC">
        <w:r>
          <w:rPr>
            <w:rStyle w:val="Hyperlink"/>
          </w:rPr>
          <w:t xml:space="preserve">25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14.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2" w:name="x1-27007xA"/>
      <w:bookmarkEnd w:id="332"/>
      <w:r>
        <w:t xml:space="preserve">See 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5" w:name="x1-27009xA"/>
      <w:bookmarkEnd w:id="335"/>
      <w:r>
        <w:t xml:space="preserve">See</w:t>
      </w:r>
      <w:r>
        <w:t xml:space="preserve"> </w:t>
      </w:r>
      <w:bookmarkStart w:id="336" w:name="x1-27010"/>
      <w:bookmarkEnd w:id="336"/>
      <w:r>
        <w:t xml:space="preserve">Burlington Industries, Inc. v. Ellerth, 524 U.S. 742, 756–59 (U.S. 1998);</w:t>
      </w:r>
      <w:r>
        <w:t xml:space="preserve"> </w:t>
      </w:r>
      <w:bookmarkStart w:id="337" w:name="x1-27011"/>
      <w:bookmarkEnd w:id="337"/>
      <w:r>
        <w:t xml:space="preserve">Ira S. Bushey &amp; Sons, Inc. v.</w:t>
      </w:r>
      <w:r>
        <w:t xml:space="preserve"> </w:t>
      </w:r>
      <w:r>
        <w:t xml:space="preserve">United States, 398 F.2d 167, 171–73 (2d Cir. 1968).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0" w:name="x1-27013xA"/>
      <w:bookmarkEnd w:id="340"/>
      <w:r>
        <w:t xml:space="preserve">See, e.g.,</w:t>
      </w:r>
      <w:r>
        <w:t xml:space="preserve"> </w:t>
      </w:r>
      <w:bookmarkStart w:id="341" w:name="x1-27014"/>
      <w:bookmarkEnd w:id="341"/>
      <w:r>
        <w:t xml:space="preserve">Tunkl v. Regents of the University of California, 60 Cal. 2d 92 (Cal. 1963);</w:t>
      </w:r>
      <w:r>
        <w:t xml:space="preserve"> </w:t>
      </w:r>
      <w:bookmarkStart w:id="342" w:name="x1-27015"/>
      <w:bookmarkEnd w:id="342"/>
      <w:r>
        <w:t xml:space="preserve">Henningsen v. Bloomfield</w:t>
      </w:r>
      <w:r>
        <w:t xml:space="preserve"> </w:t>
      </w:r>
      <w:r>
        <w:t xml:space="preserve">Motors, Inc. 32 N.J. 358 (N.J. 1960);</w:t>
      </w:r>
      <w:r>
        <w:t xml:space="preserve"> </w:t>
      </w:r>
      <w:bookmarkStart w:id="343" w:name="x1-27016"/>
      <w:bookmarkEnd w:id="343"/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(2025);</w:t>
      </w:r>
      <w:r>
        <w:t xml:space="preserve"> </w:t>
      </w:r>
      <w:bookmarkStart w:id="344" w:name="x1-27017"/>
      <w:bookmarkEnd w:id="344"/>
      <w:r>
        <w:t xml:space="preserve">American Law Institute,</w:t>
      </w:r>
      <w:r>
        <w:t xml:space="preserve"> </w:t>
      </w:r>
      <w:r>
        <w:t xml:space="preserve">supra note</w:t>
      </w:r>
      <w:r>
        <w:t xml:space="preserve"> </w:t>
      </w:r>
      <w:hyperlink w:anchor="x1-25003xC">
        <w:r>
          <w:rPr>
            <w:rStyle w:val="Hyperlink"/>
          </w:rPr>
          <w:t xml:space="preserve">46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2(b)–(c) &amp; cmt. l.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7" w:name="x1-27019xA"/>
      <w:bookmarkEnd w:id="347"/>
      <w:r>
        <w:t xml:space="preserve">See</w:t>
      </w:r>
      <w:r>
        <w:t xml:space="preserve"> </w:t>
      </w:r>
      <w:bookmarkStart w:id="348" w:name="x1-27020"/>
      <w:bookmarkEnd w:id="348"/>
      <w:r>
        <w:t xml:space="preserve">Directive on Liability for Defective Products, Directive (EU) 2024/2853 (Oct. 23, 2024), arts. 4(1), 4(5),</w:t>
      </w:r>
      <w:r>
        <w:t xml:space="preserve"> </w:t>
      </w:r>
      <w:r>
        <w:t xml:space="preserve">4(18), 9–10. Member States must transpose the Directive; it neither governs a United States claim nor resolves the</w:t>
      </w:r>
      <w:r>
        <w:t xml:space="preserve"> </w:t>
      </w:r>
      <w:r>
        <w:t xml:space="preserve">classification of every AI service.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2" w:name="x1-28002x1"/>
      <w:bookmarkEnd w:id="352"/>
      <w:r>
        <w:t xml:space="preserve">See</w:t>
      </w:r>
      <w:r>
        <w:t xml:space="preserve"> </w:t>
      </w:r>
      <w:bookmarkStart w:id="353" w:name="x1-28003"/>
      <w:bookmarkEnd w:id="353"/>
      <w:r>
        <w:t xml:space="preserve">Moffatt 2024 BCCRT at 27–31.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6" w:name="x1-28005x1"/>
      <w:bookmarkEnd w:id="356"/>
      <w:r>
        <w:t xml:space="preserve">See</w:t>
      </w:r>
      <w:r>
        <w:t xml:space="preserve"> </w:t>
      </w:r>
      <w:bookmarkStart w:id="357" w:name="x1-28006"/>
      <w:bookmarkEnd w:id="357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(discussing Civil Code art. 1165(1)). The publicly available court account anonymizes the</w:t>
      </w:r>
      <w:r>
        <w:t xml:space="preserve"> </w:t>
      </w:r>
      <w:r>
        <w:t xml:space="preserve">application and provider and, rather than a complete published judgment, supplies the procedural and factual</w:t>
      </w:r>
      <w:r>
        <w:t xml:space="preserve"> </w:t>
      </w:r>
      <w:r>
        <w:t xml:space="preserve">description used here.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4" w:name="x1-30002x1"/>
      <w:bookmarkEnd w:id="364"/>
      <w:r>
        <w:t xml:space="preserve">See</w:t>
      </w:r>
      <w:r>
        <w:t xml:space="preserve"> </w:t>
      </w:r>
      <w:bookmarkStart w:id="365" w:name="x1-30003"/>
      <w:bookmarkEnd w:id="365"/>
      <w:r>
        <w:t xml:space="preserve">Garcia, 785 F. Supp. 3d at 1165–69, 1179–83. The court did not find that the deployment caused Sewell’s</w:t>
      </w:r>
      <w:r>
        <w:t xml:space="preserve"> </w:t>
      </w:r>
      <w:r>
        <w:t xml:space="preserve">death or that any challenged feature was defective.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8" w:name="x1-30005x1"/>
      <w:bookmarkEnd w:id="368"/>
      <w:r>
        <w:t xml:space="preserve">See First Amended Complaint paras. 24–25, 50–72,</w:t>
      </w:r>
      <w:r>
        <w:t xml:space="preserve"> </w:t>
      </w:r>
      <w:r>
        <w:t xml:space="preserve">Garcia v. Character Technologies, Inc.</w:t>
      </w:r>
      <w:r>
        <w:t xml:space="preserve">, No.</w:t>
      </w:r>
      <w:r>
        <w:t xml:space="preserve"> </w:t>
      </w:r>
      <w:r>
        <w:t xml:space="preserve">6:24-cv-01903-ACC-EJK, Dkt. 11 (M.D. Fla. Nov. 9, 2024) [hereinafter</w:t>
      </w:r>
      <w:r>
        <w:t xml:space="preserve"> </w:t>
      </w:r>
      <w:r>
        <w:t xml:space="preserve">Garcia FAC</w:t>
      </w:r>
      <w:r>
        <w:t xml:space="preserve">];</w:t>
      </w:r>
      <w:r>
        <w:t xml:space="preserve"> </w:t>
      </w:r>
      <w:bookmarkStart w:id="369" w:name="x1-30006"/>
      <w:bookmarkEnd w:id="369"/>
      <w:r>
        <w:t xml:space="preserve">Id. at 1165–66,</w:t>
      </w:r>
      <w:r>
        <w:t xml:space="preserve"> </w:t>
      </w:r>
      <w:r>
        <w:t xml:space="preserve">1183–84.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4" w:name="x1-31002x2"/>
      <w:bookmarkEnd w:id="374"/>
      <w:r>
        <w:t xml:space="preserve">See</w:t>
      </w:r>
      <w:r>
        <w:t xml:space="preserve"> </w:t>
      </w:r>
      <w:bookmarkStart w:id="375" w:name="x1-31003"/>
      <w:bookmarkEnd w:id="375"/>
      <w:r>
        <w:t xml:space="preserve">Id. at 1167–69.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0" w:name="x1-32002x3"/>
      <w:bookmarkEnd w:id="380"/>
      <w:r>
        <w:t xml:space="preserve">See Fed. R. Evid. 407;</w:t>
      </w:r>
      <w:r>
        <w:t xml:space="preserve"> </w:t>
      </w:r>
      <w:bookmarkStart w:id="381" w:name="x1-32003"/>
      <w:bookmarkEnd w:id="381"/>
      <w:r>
        <w:t xml:space="preserve">Id. at 1169.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7" w:name="x1-33002xC"/>
      <w:bookmarkEnd w:id="387"/>
      <w:bookmarkStart w:id="388" w:name="x1-33003"/>
      <w:bookmarkEnd w:id="388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1" w:name="x1-33005xC"/>
      <w:bookmarkEnd w:id="391"/>
      <w:r>
        <w:t xml:space="preserve">See</w:t>
      </w:r>
      <w:r>
        <w:t xml:space="preserve"> </w:t>
      </w:r>
      <w:bookmarkStart w:id="392" w:name="x1-33006"/>
      <w:bookmarkEnd w:id="392"/>
      <w:r>
        <w:t xml:space="preserve">Frances T. v. Village Green Owners Ass’n, 42 Cal. 3d 490, 503–05 (Cal. 1986);</w:t>
      </w:r>
      <w:r>
        <w:t xml:space="preserve"> </w:t>
      </w:r>
      <w:bookmarkStart w:id="393" w:name="x1-33007"/>
      <w:bookmarkEnd w:id="393"/>
      <w:r>
        <w:t xml:space="preserve">PMC, Inc. v. Kadisha, 78</w:t>
      </w:r>
      <w:r>
        <w:t xml:space="preserve"> </w:t>
      </w:r>
      <w:r>
        <w:t xml:space="preserve">Cal. App. 4th 1368, 1380–81 (Cal. Ct. App. 2000). Position or general supervisory power alone remains insufficient;</w:t>
      </w:r>
      <w:r>
        <w:t xml:space="preserve"> </w:t>
      </w:r>
      <w:r>
        <w:t xml:space="preserve">the claimant must establish personal participation, authorization, duty, and causation under the applicable</w:t>
      </w:r>
      <w:r>
        <w:t xml:space="preserve"> </w:t>
      </w:r>
      <w:r>
        <w:t xml:space="preserve">rule.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6" w:name="x1-33009xC"/>
      <w:bookmarkEnd w:id="396"/>
      <w:bookmarkStart w:id="397" w:name="x1-33010"/>
      <w:bookmarkEnd w:id="397"/>
      <w:r>
        <w:t xml:space="preserve">New York Central, 212 U.S. 481.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0" w:name="x1-33012xC"/>
      <w:bookmarkEnd w:id="400"/>
      <w:r>
        <w:t xml:space="preserve">See</w:t>
      </w:r>
      <w:r>
        <w:t xml:space="preserve"> </w:t>
      </w:r>
      <w:bookmarkStart w:id="401" w:name="x1-33013"/>
      <w:bookmarkEnd w:id="401"/>
      <w:r>
        <w:t xml:space="preserve">United States v. Park, 421 U.S. 658 (U.S. 1975).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4" w:name="x1-33015xC"/>
      <w:bookmarkEnd w:id="404"/>
      <w:r>
        <w:t xml:space="preserve">See</w:t>
      </w:r>
      <w:r>
        <w:t xml:space="preserve"> </w:t>
      </w:r>
      <w:bookmarkStart w:id="405" w:name="x1-33016"/>
      <w:bookmarkEnd w:id="405"/>
      <w:r>
        <w:t xml:space="preserve">Commonwealth v. Angelo Todesca Corp. 446 Mass. 128, 133–37 (Mass. Mar. 1, 2006).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8" w:name="x1-33018xC"/>
      <w:bookmarkEnd w:id="408"/>
      <w:r>
        <w:t xml:space="preserve">See</w:t>
      </w:r>
      <w:r>
        <w:t xml:space="preserve"> </w:t>
      </w:r>
      <w:bookmarkStart w:id="409" w:name="x1-33019"/>
      <w:bookmarkEnd w:id="409"/>
      <w:r>
        <w:t xml:space="preserve">In re Caremark International Inc. Derivative Litigation, 698 A.2d 959 (Del. Ch. 1996);</w:t>
      </w:r>
      <w:r>
        <w:t xml:space="preserve"> </w:t>
      </w:r>
      <w:bookmarkStart w:id="410" w:name="x1-33020"/>
      <w:bookmarkEnd w:id="410"/>
      <w:r>
        <w:t xml:space="preserve">Marchand v.</w:t>
      </w:r>
      <w:r>
        <w:t xml:space="preserve"> </w:t>
      </w:r>
      <w:r>
        <w:t xml:space="preserve">Barnhill, 212 A.3d 805 (Del. 2019);</w:t>
      </w:r>
      <w:r>
        <w:t xml:space="preserve"> </w:t>
      </w:r>
      <w:bookmarkStart w:id="411" w:name="x1-33021"/>
      <w:bookmarkEnd w:id="411"/>
      <w:r>
        <w:t xml:space="preserve">In re Boeing Co. Derivative Litigation 2021 WL 4059934 (Del. Ch. Sept. 7,</w:t>
      </w:r>
      <w:r>
        <w:t xml:space="preserve"> </w:t>
      </w:r>
      <w:r>
        <w:t xml:space="preserve">2021).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8" w:name="x1-34003xD"/>
      <w:bookmarkEnd w:id="418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8B2.1(b)(2),</w:t>
      </w:r>
      <w:r>
        <w:t xml:space="preserve"> </w:t>
      </w:r>
      <w:bookmarkStart w:id="419" w:name="x1-34004"/>
      <w:bookmarkEnd w:id="419"/>
      <w:r>
        <w:t xml:space="preserve">U.S. Sentencing Commission.</w:t>
      </w:r>
      <w:r>
        <w:t xml:space="preserve"> </w:t>
      </w:r>
      <w:r>
        <w:t xml:space="preserve">Guidelines Manual, Section 8B2.1: Effective Compliance 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20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08/27/2026);</w:t>
      </w:r>
      <w:r>
        <w:t xml:space="preserve"> </w:t>
      </w:r>
      <w:bookmarkStart w:id="421" w:name="x1-34005"/>
      <w:bookmarkEnd w:id="421"/>
      <w:r>
        <w:t xml:space="preserve">Safety Management Systems, 14 C.F.R. pt. 5 (2025),</w:t>
      </w:r>
      <w:r>
        <w:t xml:space="preserve"> </w:t>
      </w:r>
      <w:r>
        <w:t xml:space="preserve">§</w:t>
      </w:r>
      <w:r>
        <w:t xml:space="preserve"> 5.25;</w:t>
      </w:r>
      <w:r>
        <w:t xml:space="preserve"> </w:t>
      </w:r>
      <w:bookmarkStart w:id="422" w:name="x1-34006"/>
      <w:bookmarkEnd w:id="422"/>
      <w:r>
        <w:t xml:space="preserve">National Institute of Standards and</w:t>
      </w:r>
      <w:r>
        <w:t xml:space="preserve"> </w:t>
      </w:r>
      <w:r>
        <w:t xml:space="preserve">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2.1, 2.3.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5" w:name="x1-34008xD"/>
      <w:bookmarkEnd w:id="425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8B2.1(b)(5)(C), U.S. Sentencing Commission, supra note</w:t>
      </w:r>
      <w:r>
        <w:t xml:space="preserve"> </w:t>
      </w:r>
      <w:hyperlink w:anchor="x1-34003xD">
        <w:r>
          <w:rPr>
            <w:rStyle w:val="Hyperlink"/>
          </w:rPr>
          <w:t xml:space="preserve">65</w:t>
        </w:r>
      </w:hyperlink>
      <w:r>
        <w:t xml:space="preserve">;</w:t>
      </w:r>
      <w:r>
        <w:t xml:space="preserve"> </w:t>
      </w:r>
      <w:bookmarkStart w:id="426" w:name="x1-34009"/>
      <w:bookmarkEnd w:id="426"/>
      <w:r>
        <w:t xml:space="preserve">Energy</w:t>
      </w:r>
      <w:r>
        <w:t xml:space="preserve"> </w:t>
      </w:r>
      <w:r>
        <w:t xml:space="preserve">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9" w:name="x1-34011xD"/>
      <w:bookmarkEnd w:id="429"/>
      <w:r>
        <w:t xml:space="preserve">See 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1.7, MANAGE 4.1;</w:t>
      </w:r>
      <w:r>
        <w:t xml:space="preserve"> </w:t>
      </w:r>
      <w:bookmarkStart w:id="430" w:name="x1-34012"/>
      <w:bookmarkEnd w:id="430"/>
      <w:r>
        <w:t xml:space="preserve">EU AI Act,</w:t>
      </w:r>
      <w:r>
        <w:t xml:space="preserve"> </w:t>
      </w:r>
      <w:r>
        <w:t xml:space="preserve">Regulation (EU) 2024/1689, arts. 12, 14(4)(e), 17–20; FAA SMS Rule, 14 C.F.R. pt. 5,</w:t>
      </w:r>
      <w:r>
        <w:t xml:space="preserve"> </w:t>
      </w:r>
      <w:r>
        <w:t xml:space="preserve">§§</w:t>
      </w:r>
      <w:r>
        <w:t xml:space="preserve"> 5.53, 5.71–5.73, 5.97;</w:t>
      </w:r>
      <w:r>
        <w:t xml:space="preserve"> </w:t>
      </w:r>
      <w:bookmarkStart w:id="431" w:name="x1-34013"/>
      <w:bookmarkEnd w:id="431"/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 960, 1047–50</w:t>
      </w:r>
      <w:r>
        <w:t xml:space="preserve"> </w:t>
      </w:r>
      <w:r>
        <w:t xml:space="preserve">(2026).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4" w:name="x1-34015xD"/>
      <w:bookmarkEnd w:id="434"/>
      <w:r>
        <w:t xml:space="preserve">See</w:t>
      </w:r>
      <w:r>
        <w:t xml:space="preserve"> </w:t>
      </w:r>
      <w:bookmarkStart w:id="435" w:name="x1-34016"/>
      <w:bookmarkEnd w:id="435"/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(2026); U.S. Sent’g Guidelines Manual</w:t>
      </w:r>
      <w:r>
        <w:t xml:space="preserve"> </w:t>
      </w:r>
      <w:r>
        <w:t xml:space="preserve">§</w:t>
      </w:r>
      <w:r>
        <w:t xml:space="preserve"> 8B2.1(b)(6),</w:t>
      </w:r>
      <w:r>
        <w:t xml:space="preserve"> </w:t>
      </w:r>
      <w:r>
        <w:t xml:space="preserve">U.S. Sentencing Commission, supra note</w:t>
      </w:r>
      <w:r>
        <w:t xml:space="preserve"> </w:t>
      </w:r>
      <w:hyperlink w:anchor="x1-34003xD">
        <w:r>
          <w:rPr>
            <w:rStyle w:val="Hyperlink"/>
          </w:rPr>
          <w:t xml:space="preserve">65</w:t>
        </w:r>
      </w:hyperlink>
      <w:r>
        <w:t xml:space="preserve">;</w:t>
      </w:r>
      <w:r>
        <w:t xml:space="preserve"> </w:t>
      </w:r>
      <w:bookmarkStart w:id="436" w:name="x1-34017"/>
      <w:bookmarkEnd w:id="436"/>
      <w:r>
        <w:t xml:space="preserve">Tunkl, 60 Cal. 2d 92.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9" w:name="x1-34019xD"/>
      <w:bookmarkEnd w:id="439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8B2.1,</w:t>
      </w:r>
      <w:r>
        <w:t xml:space="preserve"> </w:t>
      </w:r>
      <w:bookmarkStart w:id="440" w:name="x1-34020"/>
      <w:bookmarkEnd w:id="440"/>
      <w:r>
        <w:t xml:space="preserve">U.S. Sentencing Commission, supra note</w:t>
      </w:r>
      <w:r>
        <w:t xml:space="preserve"> </w:t>
      </w:r>
      <w:hyperlink w:anchor="x1-34003xD">
        <w:r>
          <w:rPr>
            <w:rStyle w:val="Hyperlink"/>
          </w:rPr>
          <w:t xml:space="preserve">65</w:t>
        </w:r>
      </w:hyperlink>
      <w:r>
        <w:t xml:space="preserve">.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3" w:name="x1-34022xD"/>
      <w:bookmarkEnd w:id="443"/>
      <w:r>
        <w:t xml:space="preserve">See</w:t>
      </w:r>
      <w:r>
        <w:t xml:space="preserve"> </w:t>
      </w:r>
      <w:bookmarkStart w:id="444" w:name="x1-34023"/>
      <w:bookmarkEnd w:id="444"/>
      <w:r>
        <w:t xml:space="preserve">U.S. Department of Justice, Criminal Division. Evaluation of Corporate Compliance 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45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8" w:name="x1-34025xD"/>
      <w:bookmarkEnd w:id="448"/>
      <w:r>
        <w:t xml:space="preserve">See</w:t>
      </w:r>
      <w:r>
        <w:t xml:space="preserve"> </w:t>
      </w:r>
      <w:bookmarkStart w:id="449" w:name="x1-34026"/>
      <w:bookmarkEnd w:id="449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5.1–5.17, 5.21–5.97;</w:t>
      </w:r>
      <w:r>
        <w:t xml:space="preserve"> </w:t>
      </w:r>
      <w:bookmarkStart w:id="450" w:name="x1-34027"/>
      <w:bookmarkEnd w:id="450"/>
      <w:r>
        <w:t xml:space="preserve">Federal Aviation Administration. Safety Management</w:t>
      </w:r>
      <w:r>
        <w:t xml:space="preserve"> </w:t>
      </w:r>
      <w:r>
        <w:t xml:space="preserve">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51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4" w:name="x1-34029xD"/>
      <w:bookmarkEnd w:id="454"/>
      <w:r>
        <w:t xml:space="preserve">See</w:t>
      </w:r>
      <w:r>
        <w:t xml:space="preserve"> </w:t>
      </w:r>
      <w:bookmarkStart w:id="455" w:name="x1-34030"/>
      <w:bookmarkEnd w:id="455"/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56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9" w:name="x1-34032xD"/>
      <w:bookmarkEnd w:id="459"/>
      <w:r>
        <w:t xml:space="preserve">See</w:t>
      </w:r>
      <w:r>
        <w:t xml:space="preserve"> </w:t>
      </w:r>
      <w:bookmarkStart w:id="460" w:name="x1-34033"/>
      <w:bookmarkEnd w:id="460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3" w:name="x1-34035xD"/>
      <w:bookmarkEnd w:id="463"/>
      <w:r>
        <w:t xml:space="preserve">See</w:t>
      </w:r>
      <w:r>
        <w:t xml:space="preserve"> </w:t>
      </w:r>
      <w:bookmarkStart w:id="464" w:name="x1-34036"/>
      <w:bookmarkEnd w:id="464"/>
      <w:r>
        <w:t xml:space="preserve">Y. Cao, J. Wang, J. Wang, et al.,</w:t>
      </w:r>
      <w:r>
        <w:t xml:space="preserve"> </w:t>
      </w:r>
      <w:r>
        <w:t xml:space="preserve">Expert Consensus on the Application and Governance of Artificial</w:t>
      </w:r>
      <w:r>
        <w:t xml:space="preserve"> </w:t>
      </w:r>
      <w:r>
        <w:t xml:space="preserve">Intelligence in Medical Institutions (2026)</w:t>
      </w:r>
      <w:r>
        <w:t xml:space="preserve"> </w:t>
      </w:r>
      <w:r>
        <w:t xml:space="preserve">Intelligent Med. (May 23, 2026).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7" w:name="x1-34038xD"/>
      <w:bookmarkEnd w:id="467"/>
      <w:r>
        <w:t xml:space="preserve">See</w:t>
      </w:r>
      <w:r>
        <w:t xml:space="preserve"> </w:t>
      </w:r>
      <w:bookmarkStart w:id="468" w:name="x1-34039"/>
      <w:bookmarkEnd w:id="468"/>
      <w:r>
        <w:t xml:space="preserve">D. van de Sande, N. Economou-Zavlanos and M. E. van Genderen,</w:t>
      </w:r>
      <w:r>
        <w:t xml:space="preserve"> </w:t>
      </w:r>
      <w:r>
        <w:t xml:space="preserve">Meaningful Oversight of Medical AI</w:t>
      </w:r>
      <w:r>
        <w:t xml:space="preserve"> </w:t>
      </w:r>
      <w:r>
        <w:t xml:space="preserve">Beyond Human in the Loop</w:t>
      </w:r>
      <w:r>
        <w:t xml:space="preserve">, 9 npj Digit. Med. 569 (July 23, 2026).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1" w:name="x1-34041xD"/>
      <w:bookmarkEnd w:id="471"/>
      <w:r>
        <w:t xml:space="preserve">See</w:t>
      </w:r>
      <w:r>
        <w:t xml:space="preserve"> </w:t>
      </w:r>
      <w:bookmarkStart w:id="472" w:name="x1-34042"/>
      <w:bookmarkEnd w:id="472"/>
      <w:r>
        <w:t xml:space="preserve">Ramakrishnan, supra note</w:t>
      </w:r>
      <w:r>
        <w:t xml:space="preserve"> </w:t>
      </w:r>
      <w:hyperlink w:anchor="x1-34011xD">
        <w:r>
          <w:rPr>
            <w:rStyle w:val="Hyperlink"/>
          </w:rPr>
          <w:t xml:space="preserve">67</w:t>
        </w:r>
      </w:hyperlink>
      <w:r>
        <w:t xml:space="preserve">, at 1047–50.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5" w:name="x1-34044xD"/>
      <w:bookmarkEnd w:id="475"/>
      <w:r>
        <w:t xml:space="preserve">See</w:t>
      </w:r>
      <w:r>
        <w:t xml:space="preserve"> </w:t>
      </w:r>
      <w:bookmarkStart w:id="476" w:name="x1-34045"/>
      <w:bookmarkEnd w:id="476"/>
      <w:r>
        <w:t xml:space="preserve">American Law Institute,</w:t>
      </w:r>
      <w:r>
        <w:t xml:space="preserve"> </w:t>
      </w:r>
      <w:r>
        <w:t xml:space="preserve">Restatement (Third) of Torts: Liability for Physical and Emotional</w:t>
      </w:r>
      <w:r>
        <w:t xml:space="preserve"> </w:t>
      </w:r>
      <w:r>
        <w:t xml:space="preserve">Harm</w:t>
      </w:r>
      <w:r>
        <w:t xml:space="preserve"> </w:t>
      </w:r>
      <w:r>
        <w:t xml:space="preserve">(American Law Institute Publishers, 2010),</w:t>
      </w:r>
      <w:r>
        <w:t xml:space="preserve"> </w:t>
      </w:r>
      <w:r>
        <w:t xml:space="preserve">§</w:t>
      </w:r>
      <w:r>
        <w:t xml:space="preserve"> 16(a);</w:t>
      </w:r>
      <w:r>
        <w:t xml:space="preserve"> </w:t>
      </w:r>
      <w:bookmarkStart w:id="477" w:name="x1-34046"/>
      <w:bookmarkEnd w:id="477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46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4(b). Jurisdictions differ, and a legislature or valid preemption rule may assign compliance a different</w:t>
      </w:r>
      <w:r>
        <w:t xml:space="preserve"> </w:t>
      </w:r>
      <w:r>
        <w:t xml:space="preserve">effect.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2" w:name="x1-35002xE"/>
      <w:bookmarkEnd w:id="482"/>
      <w:r>
        <w:t xml:space="preserve">See</w:t>
      </w:r>
      <w:r>
        <w:t xml:space="preserve"> </w:t>
      </w:r>
      <w:bookmarkStart w:id="483" w:name="x1-35003"/>
      <w:bookmarkEnd w:id="483"/>
      <w:r>
        <w:t xml:space="preserve">California SB 243, Cal. Bus. &amp; Prof. Code</w:t>
      </w:r>
      <w:r>
        <w:t xml:space="preserve"> </w:t>
      </w:r>
      <w:r>
        <w:t xml:space="preserve">§§</w:t>
      </w:r>
      <w:r>
        <w:t xml:space="preserve"> 22601–22606.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6" w:name="x1-35005xE"/>
      <w:bookmarkEnd w:id="486"/>
      <w:r>
        <w:t xml:space="preserve">See</w:t>
      </w:r>
      <w:r>
        <w:t xml:space="preserve"> </w:t>
      </w:r>
      <w:bookmarkStart w:id="487" w:name="x1-35006"/>
      <w:bookmarkEnd w:id="487"/>
      <w:r>
        <w:t xml:space="preserve">Federal Trade Commission, supra note</w:t>
      </w:r>
      <w:r>
        <w:t xml:space="preserve"> </w:t>
      </w:r>
      <w:hyperlink w:anchor="x1-23022x2">
        <w:r>
          <w:rPr>
            <w:rStyle w:val="Hyperlink"/>
          </w:rPr>
          <w:t xml:space="preserve">41</w:t>
        </w:r>
      </w:hyperlink>
      <w:r>
        <w:t xml:space="preserve">;</w:t>
      </w:r>
      <w:r>
        <w:t xml:space="preserve"> </w:t>
      </w:r>
      <w:bookmarkStart w:id="488" w:name="x1-35007"/>
      <w:bookmarkEnd w:id="488"/>
      <w:r>
        <w:t xml:space="preserve">Federal Trade Commission. Model</w:t>
      </w:r>
      <w:r>
        <w:t xml:space="preserve"> </w:t>
      </w:r>
      <w:r>
        <w:t xml:space="preserve">Order to File a Special Report Regarding AI Companion 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8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08/28/2026),</w:t>
      </w:r>
      <w:r>
        <w:t xml:space="preserve"> </w:t>
      </w:r>
      <w:r>
        <w:t xml:space="preserve">specifications 3, 11–17.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2" w:name="x1-35009xE"/>
      <w:bookmarkEnd w:id="492"/>
      <w:r>
        <w:t xml:space="preserve">See</w:t>
      </w:r>
      <w:r>
        <w:t xml:space="preserve"> </w:t>
      </w:r>
      <w:bookmarkStart w:id="493" w:name="x1-35010"/>
      <w:bookmarkEnd w:id="493"/>
      <w:r>
        <w:t xml:space="preserve">U.S. Department of Justice, Criminal Division, supra note</w:t>
      </w:r>
      <w:r>
        <w:t xml:space="preserve"> </w:t>
      </w:r>
      <w:hyperlink w:anchor="x1-34022xD">
        <w:r>
          <w:rPr>
            <w:rStyle w:val="Hyperlink"/>
          </w:rPr>
          <w:t xml:space="preserve">70</w:t>
        </w:r>
      </w:hyperlink>
      <w:r>
        <w:t xml:space="preserve">, at 3–4, 7, 18.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6" w:name="x1-35012xE"/>
      <w:bookmarkEnd w:id="496"/>
      <w:r>
        <w:t xml:space="preserve">See</w:t>
      </w:r>
      <w:r>
        <w:t xml:space="preserve"> </w:t>
      </w:r>
      <w:bookmarkStart w:id="497" w:name="x1-35013"/>
      <w:bookmarkEnd w:id="497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5.3, 5.9(e), 5.11–5.17, 5.21, 5.23, 5.25, 5.53–5.57, 5.71–5.75,</w:t>
      </w:r>
      <w:r>
        <w:t xml:space="preserve"> </w:t>
      </w:r>
      <w:r>
        <w:t xml:space="preserve">5.95–5.97.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0" w:name="x1-35015xE"/>
      <w:bookmarkEnd w:id="500"/>
      <w:r>
        <w:t xml:space="preserve">See</w:t>
      </w:r>
      <w:r>
        <w:t xml:space="preserve"> </w:t>
      </w:r>
      <w:bookmarkStart w:id="501" w:name="x1-35016"/>
      <w:bookmarkEnd w:id="501"/>
      <w:r>
        <w:t xml:space="preserve">Loper Bright, 603 U.S. at 394–96.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6" w:name="x1-36002xF"/>
      <w:bookmarkEnd w:id="506"/>
      <w:bookmarkStart w:id="507" w:name="x1-36003"/>
      <w:bookmarkEnd w:id="507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26 (2025).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0" w:name="x1-36005xF"/>
      <w:bookmarkEnd w:id="510"/>
      <w:bookmarkStart w:id="511" w:name="x1-36006"/>
      <w:bookmarkEnd w:id="511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 advisory committee’s note to 2015</w:t>
      </w:r>
      <w:r>
        <w:t xml:space="preserve"> </w:t>
      </w:r>
      <w:r>
        <w:t xml:space="preserve">amendment.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4" w:name="x1-36008xF"/>
      <w:bookmarkEnd w:id="514"/>
      <w:r>
        <w:t xml:space="preserve">See Fed. R. Civ. P. Fed. R. Civ. P.</w:t>
      </w:r>
      <w:r>
        <w:t xml:space="preserve"> </w:t>
      </w:r>
      <w:r>
        <w:t xml:space="preserve">§</w:t>
      </w:r>
      <w:r>
        <w:t xml:space="preserve"> 26, r. 26(c)(1)(G). The EU Product Liability Directive offers a</w:t>
      </w:r>
      <w:r>
        <w:t xml:space="preserve"> </w:t>
      </w:r>
      <w:r>
        <w:t xml:space="preserve">comparative enacted model of proportionate disclosure, protection of confidential information, and bounded</w:t>
      </w:r>
      <w:r>
        <w:t xml:space="preserve"> </w:t>
      </w:r>
      <w:r>
        <w:t xml:space="preserve">presumptions; it is not current United States procedure. See</w:t>
      </w:r>
      <w:r>
        <w:t xml:space="preserve"> </w:t>
      </w:r>
      <w:bookmarkStart w:id="515" w:name="x1-36009"/>
      <w:bookmarkEnd w:id="515"/>
      <w:r>
        <w:t xml:space="preserve">EU Product Liability Directive, Directive (EU)</w:t>
      </w:r>
      <w:r>
        <w:t xml:space="preserve"> </w:t>
      </w:r>
      <w:r>
        <w:t xml:space="preserve">2024/2853, arts. 9–10.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8" w:name="x1-36011xF"/>
      <w:bookmarkEnd w:id="518"/>
      <w:bookmarkStart w:id="519" w:name="x1-36012"/>
      <w:bookmarkEnd w:id="519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46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3; see also</w:t>
      </w:r>
      <w:r>
        <w:t xml:space="preserve"> </w:t>
      </w:r>
      <w:bookmarkStart w:id="520" w:name="x1-36013"/>
      <w:bookmarkEnd w:id="520"/>
      <w:r>
        <w:t xml:space="preserve">Speller, 100 N.Y.2d at 41–43 (applying New York law</w:t>
      </w:r>
      <w:r>
        <w:t xml:space="preserve"> </w:t>
      </w:r>
      <w:r>
        <w:t xml:space="preserve">and requiring evidence that excludes other causes not attributable to defendants).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3" w:name="x1-36015xF"/>
      <w:bookmarkEnd w:id="523"/>
      <w:r>
        <w:t xml:space="preserve">See</w:t>
      </w:r>
      <w:r>
        <w:t xml:space="preserve"> </w:t>
      </w:r>
      <w:bookmarkStart w:id="524" w:name="x1-36016"/>
      <w:bookmarkEnd w:id="524"/>
      <w:r>
        <w:t xml:space="preserve">American Law Institute, supra note</w:t>
      </w:r>
      <w:r>
        <w:t xml:space="preserve"> </w:t>
      </w:r>
      <w:hyperlink w:anchor="x1-34044xD">
        <w:r>
          <w:rPr>
            <w:rStyle w:val="Hyperlink"/>
          </w:rPr>
          <w:t xml:space="preserve">77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17 &amp; cmt. b.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7" w:name="x1-36018xF"/>
      <w:bookmarkEnd w:id="527"/>
      <w:r>
        <w:t xml:space="preserve">See</w:t>
      </w:r>
      <w:r>
        <w:t xml:space="preserve"> </w:t>
      </w:r>
      <w:bookmarkStart w:id="528" w:name="x1-36019"/>
      <w:bookmarkEnd w:id="528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37(e) advisory committee’s note to 2015 amendment.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3" w:name="x1-37002xG"/>
      <w:bookmarkEnd w:id="533"/>
      <w:r>
        <w:t xml:space="preserve">See</w:t>
      </w:r>
      <w:r>
        <w:t xml:space="preserve"> </w:t>
      </w:r>
      <w:bookmarkStart w:id="534" w:name="x1-37003"/>
      <w:bookmarkEnd w:id="534"/>
      <w:r>
        <w:t xml:space="preserve">DGCL, 8 Del. C.</w:t>
      </w:r>
      <w:r>
        <w:t xml:space="preserve"> </w:t>
      </w:r>
      <w:r>
        <w:t xml:space="preserve">§</w:t>
      </w:r>
      <w:r>
        <w:t xml:space="preserve"> 145.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7" w:name="x1-37005xG"/>
      <w:bookmarkEnd w:id="537"/>
      <w:r>
        <w:t xml:space="preserve">Compare</w:t>
      </w:r>
      <w:r>
        <w:t xml:space="preserve"> </w:t>
      </w:r>
      <w:bookmarkStart w:id="538" w:name="x1-37006"/>
      <w:bookmarkEnd w:id="538"/>
      <w:r>
        <w:t xml:space="preserve">Energy Reorganization Act, 42 U.S.C.</w:t>
      </w:r>
      <w:r>
        <w:t xml:space="preserve"> </w:t>
      </w:r>
      <w:r>
        <w:t xml:space="preserve">§</w:t>
      </w:r>
      <w:r>
        <w:t xml:space="preserve"> 5851 (protecting specified reports and refusal to engage in an</w:t>
      </w:r>
      <w:r>
        <w:t xml:space="preserve"> </w:t>
      </w:r>
      <w:r>
        <w:t xml:space="preserve">identified unlawful practice), with</w:t>
      </w:r>
      <w:r>
        <w:t xml:space="preserve"> </w:t>
      </w:r>
      <w:bookmarkStart w:id="539" w:name="x1-37007"/>
      <w:bookmarkEnd w:id="539"/>
      <w:r>
        <w:t xml:space="preserve">Whirlpool Corp. v. Marshall, 445 U.S. 1, 9–13 (U.S. Feb. 26, 1980) (upholding a</w:t>
      </w:r>
      <w:r>
        <w:t xml:space="preserve"> </w:t>
      </w:r>
      <w:r>
        <w:t xml:space="preserve">narrow occupational-safety protection for good-faith refusal in the face of reasonably perceived imminent danger and</w:t>
      </w:r>
      <w:r>
        <w:t xml:space="preserve"> </w:t>
      </w:r>
      <w:r>
        <w:t xml:space="preserve">inadequate time for ordinary redress).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2" w:name="x1-37009xG"/>
      <w:bookmarkEnd w:id="542"/>
      <w:r>
        <w:t xml:space="preserve">See Energy Reorganization Act, 42 U.S.C.</w:t>
      </w:r>
      <w:r>
        <w:t xml:space="preserve"> </w:t>
      </w:r>
      <w:r>
        <w:t xml:space="preserve">§</w:t>
      </w:r>
      <w:r>
        <w:t xml:space="preserve"> 5851,</w:t>
      </w:r>
      <w:r>
        <w:t xml:space="preserve"> </w:t>
      </w:r>
      <w:r>
        <w:t xml:space="preserve">§</w:t>
      </w:r>
      <w:r>
        <w:t xml:space="preserve"> 5851(b)(3).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5" w:name="x1-37011xG"/>
      <w:bookmarkEnd w:id="545"/>
      <w:r>
        <w:t xml:space="preserve">See</w:t>
      </w:r>
      <w:r>
        <w:t xml:space="preserve"> </w:t>
      </w:r>
      <w:bookmarkStart w:id="546" w:name="x1-37012"/>
      <w:bookmarkEnd w:id="546"/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(2024);</w:t>
      </w:r>
      <w:r>
        <w:t xml:space="preserve"> </w:t>
      </w:r>
      <w:bookmarkStart w:id="547" w:name="x1-37013"/>
      <w:bookmarkEnd w:id="547"/>
      <w:r>
        <w:t xml:space="preserve">False Claims Act</w:t>
      </w:r>
      <w:r>
        <w:t xml:space="preserve"> </w:t>
      </w:r>
      <w:r>
        <w:t xml:space="preserve">Anti-Retaliation Provision, 31 U.S.C.</w:t>
      </w:r>
      <w:r>
        <w:t xml:space="preserve"> </w:t>
      </w:r>
      <w:r>
        <w:t xml:space="preserve">§</w:t>
      </w:r>
      <w:r>
        <w:t xml:space="preserve"> 3730(h) (2024);</w:t>
      </w:r>
      <w:r>
        <w:t xml:space="preserve"> </w:t>
      </w:r>
      <w:bookmarkStart w:id="548" w:name="x1-37014"/>
      <w:bookmarkEnd w:id="548"/>
      <w:r>
        <w:t xml:space="preserve">Occupational Safety and Health Act Anti-Retaliation</w:t>
      </w:r>
      <w:r>
        <w:t xml:space="preserve"> </w:t>
      </w:r>
      <w:r>
        <w:t xml:space="preserve">Provision, 29 U.S.C.</w:t>
      </w:r>
      <w:r>
        <w:t xml:space="preserve"> </w:t>
      </w:r>
      <w:r>
        <w:t xml:space="preserve">§</w:t>
      </w:r>
      <w:r>
        <w:t xml:space="preserve"> 660(c) (2024).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1" w:name="x1-37016xG"/>
      <w:bookmarkEnd w:id="551"/>
      <w:r>
        <w:t xml:space="preserve">See</w:t>
      </w:r>
      <w:r>
        <w:t xml:space="preserve"> </w:t>
      </w:r>
      <w:bookmarkStart w:id="552" w:name="x1-37017"/>
      <w:bookmarkEnd w:id="552"/>
      <w:r>
        <w:t xml:space="preserve">Federal Aviation Administration, supra note</w:t>
      </w:r>
      <w:r>
        <w:t xml:space="preserve"> </w:t>
      </w:r>
      <w:hyperlink w:anchor="x1-34029xD">
        <w:r>
          <w:rPr>
            <w:rStyle w:val="Hyperlink"/>
          </w:rPr>
          <w:t xml:space="preserve">72</w:t>
        </w:r>
      </w:hyperlink>
      <w:r>
        <w:t xml:space="preserve">;</w:t>
      </w:r>
      <w:r>
        <w:t xml:space="preserve"> </w:t>
      </w:r>
      <w:bookmarkStart w:id="553" w:name="x1-37018"/>
      <w:bookmarkEnd w:id="553"/>
      <w:r>
        <w:t xml:space="preserve">Patient Safety and Quality Improvement Act of 2005, 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299b-21–299b-26 (2005),</w:t>
      </w:r>
      <w:r>
        <w:t xml:space="preserve"> </w:t>
      </w:r>
      <w:r>
        <w:t xml:space="preserve">§</w:t>
      </w:r>
      <w:r>
        <w:t xml:space="preserve"> 299b-22(a)–(b), (e).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8" w:name="x1-38007xH"/>
      <w:bookmarkEnd w:id="558"/>
      <w:r>
        <w:t xml:space="preserve">See</w:t>
      </w:r>
      <w:r>
        <w:t xml:space="preserve"> </w:t>
      </w:r>
      <w:bookmarkStart w:id="559" w:name="x1-38008"/>
      <w:bookmarkEnd w:id="559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26;</w:t>
      </w:r>
      <w:r>
        <w:t xml:space="preserve"> </w:t>
      </w:r>
      <w:bookmarkStart w:id="560" w:name="x1-38009"/>
      <w:bookmarkEnd w:id="560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</w:t>
      </w:r>
      <w:r>
        <w:t xml:space="preserve"> </w:t>
      </w:r>
      <w:r>
        <w:t xml:space="preserve">(2025).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9" w:name="x1-41002x"/>
      <w:bookmarkEnd w:id="569"/>
      <w:r>
        <w:t xml:space="preserve">See</w:t>
      </w:r>
      <w:r>
        <w:t xml:space="preserve"> </w:t>
      </w:r>
      <w:bookmarkStart w:id="570" w:name="x1-41003"/>
      <w:bookmarkEnd w:id="570"/>
      <w:r>
        <w:t xml:space="preserve">Liriano v. Hobart Corp. 92 N.Y.2d 232, 237–43 (N.Y. 1998)</w:t>
      </w:r>
      <w:bookmarkStart w:id="571" w:name="x1-41002xdoc"/>
      <w:bookmarkEnd w:id="571"/>
      <w:r>
        <w:t xml:space="preserve">.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8" w:name="x1-43002x"/>
      <w:bookmarkEnd w:id="578"/>
      <w:r>
        <w:t xml:space="preserve">See</w:t>
      </w:r>
      <w:r>
        <w:t xml:space="preserve"> </w:t>
      </w:r>
      <w:bookmarkStart w:id="579" w:name="x1-43003"/>
      <w:bookmarkEnd w:id="579"/>
      <w:r>
        <w:t xml:space="preserve">Boyle v. United Technologies Corp. 487 U.S. 500, 512 (U.S. 1988)</w:t>
      </w:r>
      <w:bookmarkStart w:id="580" w:name="x1-43002xdoc"/>
      <w:bookmarkEnd w:id="580"/>
      <w:r>
        <w:t xml:space="preserve">.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83" w:name="x1-43005x"/>
      <w:bookmarkEnd w:id="583"/>
      <w:bookmarkStart w:id="584" w:name="x1-43006"/>
      <w:bookmarkEnd w:id="584"/>
      <w:r>
        <w:t xml:space="preserve">GEO Group, Inc. v. Menocal, 607 U.S. 438, 444–48 (U.S. Feb. 25, 2026)</w:t>
      </w:r>
      <w:bookmarkStart w:id="585" w:name="x1-43005xdoc"/>
      <w:bookmarkEnd w:id="585"/>
      <w:r>
        <w:t xml:space="preserve">.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88" w:name="x1-43008x"/>
      <w:bookmarkEnd w:id="588"/>
      <w:bookmarkStart w:id="589" w:name="x1-43009"/>
      <w:bookmarkEnd w:id="589"/>
      <w:r>
        <w:t xml:space="preserve">Hencely v. Fluor Corp. 608 U.S. 31, 37–42, 46 (U.S. Apr. 22, 2026)</w:t>
      </w:r>
      <w:bookmarkStart w:id="590" w:name="x1-43008xdoc"/>
      <w:bookmarkEnd w:id="590"/>
      <w:r>
        <w:t xml:space="preserve">.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01" w:name="x1-47002xA"/>
      <w:bookmarkEnd w:id="601"/>
      <w:r>
        <w:t xml:space="preserve">See</w:t>
      </w:r>
      <w:r>
        <w:t xml:space="preserve"> </w:t>
      </w:r>
      <w:bookmarkStart w:id="602" w:name="x1-47003"/>
      <w:bookmarkEnd w:id="602"/>
      <w:r>
        <w:t xml:space="preserve">DeShaney v. Winnebago County Department of Social Services, 489 U.S. 189 (U.S. 1989); cf.</w:t>
      </w:r>
      <w:r>
        <w:t xml:space="preserve"> </w:t>
      </w:r>
      <w:bookmarkStart w:id="603" w:name="x1-47004"/>
      <w:bookmarkEnd w:id="603"/>
      <w:r>
        <w:t xml:space="preserve">Health &amp;</w:t>
      </w:r>
      <w:r>
        <w:t xml:space="preserve"> </w:t>
      </w:r>
      <w:r>
        <w:t xml:space="preserve">Hospital Corp. of Marion County v. Talevski, 599 U.S. 166 (U.S. 2023) (recognizing section 1983 enforcement of two</w:t>
      </w:r>
      <w:r>
        <w:t xml:space="preserve"> </w:t>
      </w:r>
      <w:r>
        <w:t xml:space="preserve">specified Federal Nursing Home Reform Act rights).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08" w:name="x1-48002xB"/>
      <w:bookmarkEnd w:id="608"/>
      <w:bookmarkStart w:id="609" w:name="x1-48003"/>
      <w:bookmarkEnd w:id="609"/>
      <w:r>
        <w:t xml:space="preserve">K.W. ex rel. D.W. v. Armstrong, 789 F.3d 962 (9th Cir. 2015).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2" w:name="x1-48005xB"/>
      <w:bookmarkEnd w:id="612"/>
      <w:bookmarkStart w:id="613" w:name="x1-48006"/>
      <w:bookmarkEnd w:id="613"/>
      <w:r>
        <w:t xml:space="preserve">Arkansas Department of Human Services v. Ledgerwood 2017 Ark. 308 (Ark. 2017). 530 S.W.3d</w:t>
      </w:r>
      <w:r>
        <w:t xml:space="preserve"> </w:t>
      </w:r>
      <w:r>
        <w:t xml:space="preserve">336.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6" w:name="x1-48008xB"/>
      <w:bookmarkEnd w:id="616"/>
      <w:r>
        <w:t xml:space="preserve">See</w:t>
      </w:r>
      <w:r>
        <w:t xml:space="preserve"> </w:t>
      </w:r>
      <w:bookmarkStart w:id="617" w:name="x1-48009"/>
      <w:bookmarkEnd w:id="617"/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20" w:name="x1-48011xB"/>
      <w:bookmarkEnd w:id="620"/>
      <w:r>
        <w:t xml:space="preserve">See</w:t>
      </w:r>
      <w:r>
        <w:t xml:space="preserve"> </w:t>
      </w:r>
      <w:bookmarkStart w:id="621" w:name="x1-48012"/>
      <w:bookmarkEnd w:id="621"/>
      <w:r>
        <w:t xml:space="preserve">Goldberg v. Kelly, 397 U.S. 254 (U.S. 1970).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26" w:name="x1-49002xC"/>
      <w:bookmarkEnd w:id="626"/>
      <w:r>
        <w:t xml:space="preserve">See</w:t>
      </w:r>
      <w:r>
        <w:t xml:space="preserve"> </w:t>
      </w:r>
      <w:bookmarkStart w:id="627" w:name="x1-49003"/>
      <w:bookmarkEnd w:id="627"/>
      <w:r>
        <w:t xml:space="preserve">Cao, Wang, Wang, et al., supra note</w:t>
      </w:r>
      <w:r>
        <w:t xml:space="preserve"> </w:t>
      </w:r>
      <w:hyperlink w:anchor="x1-34035xD">
        <w:r>
          <w:rPr>
            <w:rStyle w:val="Hyperlink"/>
          </w:rPr>
          <w:t xml:space="preserve">74</w:t>
        </w:r>
      </w:hyperlink>
      <w:r>
        <w:t xml:space="preserve">;</w:t>
      </w:r>
      <w:r>
        <w:t xml:space="preserve"> </w:t>
      </w:r>
      <w:bookmarkStart w:id="628" w:name="x1-49004"/>
      <w:bookmarkEnd w:id="628"/>
      <w:r>
        <w:t xml:space="preserve">Sande, Economou-Zavlanos and Genderen, supra note</w:t>
      </w:r>
      <w:r>
        <w:t xml:space="preserve"> </w:t>
      </w:r>
      <w:hyperlink w:anchor="x1-34038xD">
        <w:r>
          <w:rPr>
            <w:rStyle w:val="Hyperlink"/>
          </w:rPr>
          <w:t xml:space="preserve">75</w:t>
        </w:r>
      </w:hyperlink>
      <w:r>
        <w:t xml:space="preserve">; see also</w:t>
      </w:r>
      <w:r>
        <w:t xml:space="preserve"> </w:t>
      </w:r>
      <w:bookmarkStart w:id="629" w:name="x1-49005"/>
      <w:bookmarkEnd w:id="629"/>
      <w:r>
        <w:t xml:space="preserve">World Health Organization. Ethics and Governance of Artificial Intelligence for Health.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30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 on 08/27/2026).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3" w:name="x1-49007xC"/>
      <w:bookmarkEnd w:id="633"/>
      <w:r>
        <w:t xml:space="preserve">See</w:t>
      </w:r>
      <w:r>
        <w:t xml:space="preserve"> </w:t>
      </w:r>
      <w:bookmarkStart w:id="634" w:name="x1-49008"/>
      <w:bookmarkEnd w:id="634"/>
      <w:r>
        <w:t xml:space="preserve">E. LaRocco et al. The Clinician’s Veto: Navigating Trust, Liability, and Uncertainty in Autonomous AI</w:t>
      </w:r>
      <w:r>
        <w:t xml:space="preserve"> </w:t>
      </w:r>
      <w:r>
        <w:t xml:space="preserve">Prescribing. 2606.25108v2. Aug. 24,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35">
        <w:r>
          <w:rPr>
            <w:rStyle w:val="Hyperlink"/>
          </w:rPr>
          <w:t xml:space="preserve">https://arxiv.org/abs/2606.25108v2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 The study used a survey, not interviews, and recruited clinicians with current U.S. prescribing</w:t>
      </w:r>
      <w:r>
        <w:t xml:space="preserve"> </w:t>
      </w:r>
      <w:r>
        <w:t xml:space="preserve">authority rather than physicians alone. Its instrument separately recorded clinical role and whether prescribing</w:t>
      </w:r>
      <w:r>
        <w:t xml:space="preserve"> </w:t>
      </w:r>
      <w:r>
        <w:t xml:space="preserve">authority was full independent, collaborative, restricted, or limited.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8" w:name="x1-49010xC"/>
      <w:bookmarkEnd w:id="638"/>
      <w:r>
        <w:t xml:space="preserve">See Id. Question 10 used a four-option endorsement scale ranging from “Not at all—I would permit AI agents to</w:t>
      </w:r>
      <w:r>
        <w:t xml:space="preserve"> </w:t>
      </w:r>
      <w:r>
        <w:t xml:space="preserve">prescribe drugs without it” through “Very little” and “Somewhat” to “To a great extent—I would not permit AI</w:t>
      </w:r>
      <w:r>
        <w:t xml:space="preserve"> </w:t>
      </w:r>
      <w:r>
        <w:t xml:space="preserve">agents to prescribe drugs without it”; 67.4% of 135 respondents chose the strongest response, and 84.4% chose one</w:t>
      </w:r>
      <w:r>
        <w:t xml:space="preserve"> </w:t>
      </w:r>
      <w:r>
        <w:t xml:space="preserve">of the top two. The authors characterize the three features as necessary but not sufficient for adoption. The</w:t>
      </w:r>
      <w:r>
        <w:t xml:space="preserve"> </w:t>
      </w:r>
      <w:r>
        <w:t xml:space="preserve">inferential-transparency claim came not from a direct preference item or an isolated manipulation, but from</w:t>
      </w:r>
      <w:r>
        <w:t xml:space="preserve"> </w:t>
      </w:r>
      <w:r>
        <w:t xml:space="preserve">responsibility ratings across bundled scenarios that changed confidence communication, escalation, clinician</w:t>
      </w:r>
      <w:r>
        <w:t xml:space="preserve"> </w:t>
      </w:r>
      <w:r>
        <w:t xml:space="preserve">concurrence, and a documented rationale together.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1" w:name="x1-49012xC"/>
      <w:bookmarkEnd w:id="641"/>
      <w:r>
        <w:t xml:space="preserve">See</w:t>
      </w:r>
      <w:r>
        <w:t xml:space="preserve"> </w:t>
      </w:r>
      <w:bookmarkStart w:id="642" w:name="x1-49013"/>
      <w:bookmarkEnd w:id="642"/>
      <w:r>
        <w:t xml:space="preserve">Utah Department of Commerce, Office of Artificial Intelligence Policy. Office of AI Policy: Doctronic Regulatory Mitigation</w:t>
      </w:r>
      <w:r>
        <w:t xml:space="preserve"> </w:t>
      </w:r>
      <w:r>
        <w:t xml:space="preserve">Agreement.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43">
        <w:r>
          <w:rPr>
            <w:rStyle w:val="Hyperlink"/>
          </w:rPr>
          <w:t xml:space="preserve">https://commerce.utah.gov/ai/regulatory-relief/authorized-ai-pilots/doctronic/</w:t>
        </w:r>
      </w:hyperlink>
      <w:r>
        <w:t xml:space="preserve"> </w:t>
      </w:r>
      <w:r>
        <w:t xml:space="preserve">(visited on 08/28/2026);</w:t>
      </w:r>
      <w:r>
        <w:t xml:space="preserve"> </w:t>
      </w:r>
      <w:bookmarkStart w:id="644" w:name="x1-49014"/>
      <w:bookmarkEnd w:id="644"/>
      <w:r>
        <w:t xml:space="preserve">S. Gerke, R. B. Parikh and I. G. Cohen,</w:t>
      </w:r>
      <w:r>
        <w:t xml:space="preserve"> </w:t>
      </w:r>
      <w:r>
        <w:t xml:space="preserve">Utah’s Prescription-Renewal Pilot</w:t>
      </w:r>
      <w:r>
        <w:t xml:space="preserve"> </w:t>
      </w:r>
      <w:r>
        <w:t xml:space="preserve">Program—Autonomous AI Managing Patient Care</w:t>
      </w:r>
      <w:r>
        <w:t xml:space="preserve">, 394 New Eng. J. Med. 1561 (2026).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7" w:name="x1-49016xC"/>
      <w:bookmarkEnd w:id="647"/>
      <w:r>
        <w:t xml:space="preserve">See</w:t>
      </w:r>
      <w:r>
        <w:t xml:space="preserve"> </w:t>
      </w:r>
      <w:bookmarkStart w:id="648" w:name="x1-49017"/>
      <w:bookmarkEnd w:id="648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49" w:name="x1-49018"/>
      <w:bookmarkEnd w:id="649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50" w:name="x1-49019"/>
      <w:bookmarkEnd w:id="650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59" w:name="x1-52002xA"/>
      <w:bookmarkEnd w:id="659"/>
      <w:r>
        <w:t xml:space="preserve">See</w:t>
      </w:r>
      <w:r>
        <w:t xml:space="preserve"> </w:t>
      </w:r>
      <w:bookmarkStart w:id="660" w:name="x1-52003"/>
      <w:bookmarkEnd w:id="660"/>
      <w:r>
        <w:t xml:space="preserve">EU AI Act, Regulation (EU) 2024/1689.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3" w:name="x1-52009xA"/>
      <w:bookmarkEnd w:id="663"/>
      <w:r>
        <w:t xml:space="preserve">See</w:t>
      </w:r>
      <w:r>
        <w:t xml:space="preserve"> </w:t>
      </w:r>
      <w:bookmarkStart w:id="664" w:name="x1-52010"/>
      <w:bookmarkEnd w:id="664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;</w:t>
      </w:r>
      <w:r>
        <w:t xml:space="preserve"> </w:t>
      </w:r>
      <w:bookmarkStart w:id="665" w:name="x1-52011"/>
      <w:bookmarkEnd w:id="665"/>
      <w:r>
        <w:t xml:space="preserve">National Institute of Standards and</w:t>
      </w:r>
      <w:r>
        <w:t xml:space="preserve"> </w:t>
      </w:r>
      <w:r>
        <w:t xml:space="preserve">Technology. Artificial Intelligence Risk 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6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 08/27/2026). Federal</w:t>
      </w:r>
      <w:r>
        <w:t xml:space="preserve"> </w:t>
      </w:r>
      <w:r>
        <w:t xml:space="preserve">management memoranda apply comparable testing, monitoring, review, acquisition, and portability expectations to</w:t>
      </w:r>
      <w:r>
        <w:t xml:space="preserve"> </w:t>
      </w:r>
      <w:r>
        <w:t xml:space="preserve">executive-agency uses, without creating a general private right or rules for private platforms. See</w:t>
      </w:r>
      <w:r>
        <w:t xml:space="preserve"> </w:t>
      </w:r>
      <w:bookmarkStart w:id="667" w:name="x1-52012"/>
      <w:bookmarkEnd w:id="667"/>
      <w:r>
        <w:t xml:space="preserve">Office of Management</w:t>
      </w:r>
      <w:r>
        <w:t xml:space="preserve"> </w:t>
      </w:r>
      <w:r>
        <w:t xml:space="preserve">and Budget. Accelerating Federal Use of AI Through Innovation, 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68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669" w:name="x1-52013"/>
      <w:bookmarkEnd w:id="669"/>
      <w:r>
        <w:t xml:space="preserve">Office of Management and Budget. Driving Efficient</w:t>
      </w:r>
      <w:r>
        <w:t xml:space="preserve"> </w:t>
      </w:r>
      <w:r>
        <w:t xml:space="preserve">Acquisition of Artificial Intelligence 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70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76" w:name="x1-54002x1"/>
      <w:bookmarkEnd w:id="676"/>
      <w:r>
        <w:t xml:space="preserve">See</w:t>
      </w:r>
      <w:r>
        <w:t xml:space="preserve"> </w:t>
      </w:r>
      <w:bookmarkStart w:id="677" w:name="x1-54003"/>
      <w:bookmarkEnd w:id="677"/>
      <w:r>
        <w:t xml:space="preserve">Anthropic PBC v. United States Department of War No. 3:26-cv-01996-RFL, Dkt. 250 (N.D. Cal. Aug. 27,</w:t>
      </w:r>
      <w:r>
        <w:t xml:space="preserve"> </w:t>
      </w:r>
      <w:r>
        <w:t xml:space="preserve">2026). summary-judgment order. The record does not establish that Claude was deployed in Project Maven; this</w:t>
      </w:r>
      <w:r>
        <w:t xml:space="preserve"> </w:t>
      </w:r>
      <w:r>
        <w:t xml:space="preserve">Article accordingly uses the case caption and the Anthropic–Pentagon controversy rather than treating</w:t>
      </w:r>
      <w:r>
        <w:t xml:space="preserve"> </w:t>
      </w:r>
      <w:r>
        <w:t xml:space="preserve">“Claude–Maven” as an adjudicated fact.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80" w:name="x1-54005x1"/>
      <w:bookmarkEnd w:id="680"/>
      <w:r>
        <w:t xml:space="preserve">See</w:t>
      </w:r>
      <w:r>
        <w:t xml:space="preserve"> </w:t>
      </w:r>
      <w:bookmarkStart w:id="681" w:name="x1-54006"/>
      <w:bookmarkEnd w:id="681"/>
      <w:r>
        <w:t xml:space="preserve">Anthropic PBC v. United States Department of War No. 3:26-cv-01996-RFL, Dkt. 134 (N.D. Cal. Mar. 26,</w:t>
      </w:r>
      <w:r>
        <w:t xml:space="preserve"> </w:t>
      </w:r>
      <w:r>
        <w:t xml:space="preserve">2026). preliminary injunction.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84" w:name="x1-54008x1"/>
      <w:bookmarkEnd w:id="684"/>
      <w:r>
        <w:t xml:space="preserve">See</w:t>
      </w:r>
      <w:r>
        <w:t xml:space="preserve"> </w:t>
      </w:r>
      <w:bookmarkStart w:id="685" w:name="x1-54009"/>
      <w:bookmarkEnd w:id="685"/>
      <w:r>
        <w:t xml:space="preserve">Anthropic Merits Order No. 3:26-cv-01996-RFL, Dkt. 250;</w:t>
      </w:r>
      <w:r>
        <w:t xml:space="preserve"> </w:t>
      </w:r>
      <w:bookmarkStart w:id="686" w:name="x1-54010"/>
      <w:bookmarkEnd w:id="686"/>
      <w:r>
        <w:t xml:space="preserve">Anthropic PBC v. United States Department of</w:t>
      </w:r>
      <w:r>
        <w:t xml:space="preserve"> </w:t>
      </w:r>
      <w:r>
        <w:t xml:space="preserve">War No. 3:26-cv-01996-RFL, Dkt. 251–252 (N.D. Cal. Aug. 27, 2026). vacatur, permanent-injunction, and judgment</w:t>
      </w:r>
      <w:r>
        <w:t xml:space="preserve"> </w:t>
      </w:r>
      <w:r>
        <w:t xml:space="preserve">documents. This was an appealable district-court judgment, not a final appellate disposition; it remained</w:t>
      </w:r>
      <w:r>
        <w:t xml:space="preserve"> </w:t>
      </w:r>
      <w:r>
        <w:t xml:space="preserve">subject to appellate review as of this Article’s date. A separate D.C. Circuit proceeding concerning 41</w:t>
      </w:r>
      <w:r>
        <w:t xml:space="preserve"> </w:t>
      </w:r>
      <w:r>
        <w:t xml:space="preserve">U.S.C. sections 4713 and 1327 presents distinct statutory and procedural questions; its April 2026</w:t>
      </w:r>
      <w:r>
        <w:t xml:space="preserve"> </w:t>
      </w:r>
      <w:r>
        <w:t xml:space="preserve">emergency-stay ruling did not decide the merits. See</w:t>
      </w:r>
      <w:r>
        <w:t xml:space="preserve"> </w:t>
      </w:r>
      <w:bookmarkStart w:id="687" w:name="x1-54011"/>
      <w:bookmarkEnd w:id="687"/>
      <w:r>
        <w:t xml:space="preserve">Anthropic PBC v. United States Department</w:t>
      </w:r>
      <w:r>
        <w:t xml:space="preserve"> </w:t>
      </w:r>
      <w:r>
        <w:t xml:space="preserve">of War No. 26-1049 (D.C. Cir. Apr. 8, 2026). order denying emergency stay and expediting merits</w:t>
      </w:r>
      <w:r>
        <w:t xml:space="preserve"> </w:t>
      </w:r>
      <w:r>
        <w:t xml:space="preserve">review.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0" w:name="x1-54013x1"/>
      <w:bookmarkEnd w:id="690"/>
      <w:r>
        <w:t xml:space="preserve">See</w:t>
      </w:r>
      <w:r>
        <w:t xml:space="preserve"> </w:t>
      </w:r>
      <w:bookmarkStart w:id="691" w:name="x1-54014"/>
      <w:bookmarkEnd w:id="691"/>
      <w:r>
        <w:t xml:space="preserve">Board of County Commissioners v. Umbehr, 518 U.S. 668 (U.S. 1996);</w:t>
      </w:r>
      <w:r>
        <w:t xml:space="preserve"> </w:t>
      </w:r>
      <w:bookmarkStart w:id="692" w:name="x1-54015"/>
      <w:bookmarkEnd w:id="692"/>
      <w:r>
        <w:t xml:space="preserve">O’Hare Truck Service, Inc. v. City of</w:t>
      </w:r>
      <w:r>
        <w:t xml:space="preserve"> </w:t>
      </w:r>
      <w:r>
        <w:t xml:space="preserve">Northlake, 518 U.S. 712 (U.S. 1996).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5" w:name="x1-54017x1"/>
      <w:bookmarkEnd w:id="695"/>
      <w:r>
        <w:t xml:space="preserve">See</w:t>
      </w:r>
      <w:r>
        <w:t xml:space="preserve"> </w:t>
      </w:r>
      <w:bookmarkStart w:id="696" w:name="x1-54018"/>
      <w:bookmarkEnd w:id="696"/>
      <w:r>
        <w:t xml:space="preserve">Perry v. Sindermann, 408 U.S. 593 (U.S. 1972);</w:t>
      </w:r>
      <w:r>
        <w:t xml:space="preserve"> </w:t>
      </w:r>
      <w:bookmarkStart w:id="697" w:name="x1-54019"/>
      <w:bookmarkEnd w:id="697"/>
      <w:r>
        <w:t xml:space="preserve">Agency for International Development v. Alliance for Open</w:t>
      </w:r>
      <w:r>
        <w:t xml:space="preserve"> </w:t>
      </w:r>
      <w:r>
        <w:t xml:space="preserve">Society International, Inc. 570 U.S. 205 (U.S. 2013). This Article uses unconstitutional conditions as an</w:t>
      </w:r>
      <w:r>
        <w:t xml:space="preserve"> </w:t>
      </w:r>
      <w:r>
        <w:t xml:space="preserve">analytic bridge; the district court’s final holdings sounded directly in retaliation, due process, and the</w:t>
      </w:r>
      <w:r>
        <w:t xml:space="preserve"> </w:t>
      </w:r>
      <w:r>
        <w:t xml:space="preserve">APA.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9" w:name="x1-56002x"/>
      <w:bookmarkEnd w:id="709"/>
      <w:r>
        <w:t xml:space="preserve">See</w:t>
      </w:r>
      <w:r>
        <w:t xml:space="preserve"> </w:t>
      </w:r>
      <w:bookmarkStart w:id="710" w:name="x1-56003"/>
      <w:bookmarkEnd w:id="710"/>
      <w:r>
        <w:t xml:space="preserve">Shanghai Qiaowen Law Firm. AI Labeling Duties: Adjudicative Boundaries and Compliance Guidance</w:t>
      </w:r>
      <w:r>
        <w:t xml:space="preserve"> </w:t>
      </w:r>
      <w:r>
        <w:t xml:space="preserve">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11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</w:t>
      </w:r>
      <w:bookmarkStart w:id="712" w:name="x1-56002xdoc"/>
      <w:bookmarkEnd w:id="712"/>
      <w:r>
        <w:t xml:space="preserve">.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15" w:name="x1-56005x"/>
      <w:bookmarkEnd w:id="715"/>
      <w:r>
        <w:t xml:space="preserve">See</w:t>
      </w:r>
      <w:r>
        <w:t xml:space="preserve"> </w:t>
      </w:r>
      <w:bookmarkStart w:id="716" w:name="x1-56006"/>
      <w:bookmarkEnd w:id="716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;</w:t>
      </w:r>
      <w:r>
        <w:t xml:space="preserve"> </w:t>
      </w:r>
      <w:bookmarkStart w:id="717" w:name="x1-56007"/>
      <w:bookmarkEnd w:id="717"/>
      <w:r>
        <w:t xml:space="preserve">Supreme People’s Court Intellectual Property Court. Head of the Drafting Group Interprets the</w:t>
      </w:r>
      <w:r>
        <w:t xml:space="preserve"> </w:t>
      </w:r>
      <w:r>
        <w:t xml:space="preserve">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18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</w:t>
      </w:r>
      <w:bookmarkStart w:id="719" w:name="x1-56005xdoc"/>
      <w:bookmarkEnd w:id="719"/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147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635" Target="https://arxiv.org/abs/2606.25108v2" TargetMode="External" /><Relationship Type="http://schemas.openxmlformats.org/officeDocument/2006/relationships/hyperlink" Id="rId279" Target="https://blog.character.ai/character-ai-launches-mobile-app-for-ios-and-android/" TargetMode="External" /><Relationship Type="http://schemas.openxmlformats.org/officeDocument/2006/relationships/hyperlink" Id="rId643" Target="https://commerce.utah.gov/ai/regulatory-relief/authorized-ai-pilots/doctronic/" TargetMode="External" /><Relationship Type="http://schemas.openxmlformats.org/officeDocument/2006/relationships/hyperlink" Id="rId181" Target="https://eur-lex.europa.eu/legal-content/EN/TXT/?uri=CELEX:52016IE5369" TargetMode="External" /><Relationship Type="http://schemas.openxmlformats.org/officeDocument/2006/relationships/hyperlink" Id="rId718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66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207" Target="https://www.aspeninstitute.org/publications/defining-technologies-of-our-time-artificial-intelligence/" TargetMode="External" /><Relationship Type="http://schemas.openxmlformats.org/officeDocument/2006/relationships/hyperlink" Id="rId213" Target="https://www.copyright.gov/ai/Copyright-and-Artificial-Intelligence-Part-2-Copyrightability-Report.pdf" TargetMode="External" /><Relationship Type="http://schemas.openxmlformats.org/officeDocument/2006/relationships/hyperlink" Id="rId179" Target="https://www.europarl.europa.eu/doceo/document/TA-8-2017-0051_EN.html" TargetMode="External" /><Relationship Type="http://schemas.openxmlformats.org/officeDocument/2006/relationships/hyperlink" Id="rId456" Target="https://www.faa.gov/documentLibrary/media/Advisory_Circular/AC_00-46F.pdf" TargetMode="External" /><Relationship Type="http://schemas.openxmlformats.org/officeDocument/2006/relationships/hyperlink" Id="rId451" Target="https://www.faa.gov/faa-aviation-safety-outreach/safety-management-system" TargetMode="External" /><Relationship Type="http://schemas.openxmlformats.org/officeDocument/2006/relationships/hyperlink" Id="rId319" Target="https://www.ftc.gov/legal-library/browse/ftc-policy-statement-deception" TargetMode="External" /><Relationship Type="http://schemas.openxmlformats.org/officeDocument/2006/relationships/hyperlink" Id="rId285" Target="https://www.ftc.gov/news-events/news/press-releases/2025/09/ftc-launches-inquiry-ai-chatbots-acting-companions" TargetMode="External" /><Relationship Type="http://schemas.openxmlformats.org/officeDocument/2006/relationships/hyperlink" Id="rId489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45" Target="https://www.justice.gov/criminal/criminal-fraud/page/file/937501/dl?inline=" TargetMode="External" /><Relationship Type="http://schemas.openxmlformats.org/officeDocument/2006/relationships/hyperlink" Id="rId711" Target="https://www.qiaowen.com/cn/details/0803/166cac21f6bf434e" TargetMode="External" /><Relationship Type="http://schemas.openxmlformats.org/officeDocument/2006/relationships/hyperlink" Id="rId183" Target="https://www.robotics-openletter.eu/" TargetMode="External" /><Relationship Type="http://schemas.openxmlformats.org/officeDocument/2006/relationships/hyperlink" Id="rId195" Target="https://www.uniformlaws.org/committees/community-home?CommunityKey=2c04b76c-2b7d-4399-977e-d5876ba7e034" TargetMode="External" /><Relationship Type="http://schemas.openxmlformats.org/officeDocument/2006/relationships/hyperlink" Id="rId420" Target="https://www.ussc.gov/guidelines/2025-guidelines-manual/annotated-2025-chapter-8" TargetMode="External" /><Relationship Type="http://schemas.openxmlformats.org/officeDocument/2006/relationships/hyperlink" Id="rId668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70" Target="https://www.whitehouse.gov/wp-content/uploads/2025/02/M-25-22-Driving-Efficient-Acquisition-of-Artificial-Intelligence-in-Government.pdf" TargetMode="External" /><Relationship Type="http://schemas.openxmlformats.org/officeDocument/2006/relationships/hyperlink" Id="rId630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24" Target="what-is-ai-for-cour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635" Target="https://arxiv.org/abs/2606.25108v2" TargetMode="External" /><Relationship Type="http://schemas.openxmlformats.org/officeDocument/2006/relationships/hyperlink" Id="rId279" Target="https://blog.character.ai/character-ai-launches-mobile-app-for-ios-and-android/" TargetMode="External" /><Relationship Type="http://schemas.openxmlformats.org/officeDocument/2006/relationships/hyperlink" Id="rId643" Target="https://commerce.utah.gov/ai/regulatory-relief/authorized-ai-pilots/doctronic/" TargetMode="External" /><Relationship Type="http://schemas.openxmlformats.org/officeDocument/2006/relationships/hyperlink" Id="rId181" Target="https://eur-lex.europa.eu/legal-content/EN/TXT/?uri=CELEX:52016IE5369" TargetMode="External" /><Relationship Type="http://schemas.openxmlformats.org/officeDocument/2006/relationships/hyperlink" Id="rId718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66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207" Target="https://www.aspeninstitute.org/publications/defining-technologies-of-our-time-artificial-intelligence/" TargetMode="External" /><Relationship Type="http://schemas.openxmlformats.org/officeDocument/2006/relationships/hyperlink" Id="rId213" Target="https://www.copyright.gov/ai/Copyright-and-Artificial-Intelligence-Part-2-Copyrightability-Report.pdf" TargetMode="External" /><Relationship Type="http://schemas.openxmlformats.org/officeDocument/2006/relationships/hyperlink" Id="rId179" Target="https://www.europarl.europa.eu/doceo/document/TA-8-2017-0051_EN.html" TargetMode="External" /><Relationship Type="http://schemas.openxmlformats.org/officeDocument/2006/relationships/hyperlink" Id="rId456" Target="https://www.faa.gov/documentLibrary/media/Advisory_Circular/AC_00-46F.pdf" TargetMode="External" /><Relationship Type="http://schemas.openxmlformats.org/officeDocument/2006/relationships/hyperlink" Id="rId451" Target="https://www.faa.gov/faa-aviation-safety-outreach/safety-management-system" TargetMode="External" /><Relationship Type="http://schemas.openxmlformats.org/officeDocument/2006/relationships/hyperlink" Id="rId319" Target="https://www.ftc.gov/legal-library/browse/ftc-policy-statement-deception" TargetMode="External" /><Relationship Type="http://schemas.openxmlformats.org/officeDocument/2006/relationships/hyperlink" Id="rId285" Target="https://www.ftc.gov/news-events/news/press-releases/2025/09/ftc-launches-inquiry-ai-chatbots-acting-companions" TargetMode="External" /><Relationship Type="http://schemas.openxmlformats.org/officeDocument/2006/relationships/hyperlink" Id="rId489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45" Target="https://www.justice.gov/criminal/criminal-fraud/page/file/937501/dl?inline=" TargetMode="External" /><Relationship Type="http://schemas.openxmlformats.org/officeDocument/2006/relationships/hyperlink" Id="rId711" Target="https://www.qiaowen.com/cn/details/0803/166cac21f6bf434e" TargetMode="External" /><Relationship Type="http://schemas.openxmlformats.org/officeDocument/2006/relationships/hyperlink" Id="rId183" Target="https://www.robotics-openletter.eu/" TargetMode="External" /><Relationship Type="http://schemas.openxmlformats.org/officeDocument/2006/relationships/hyperlink" Id="rId195" Target="https://www.uniformlaws.org/committees/community-home?CommunityKey=2c04b76c-2b7d-4399-977e-d5876ba7e034" TargetMode="External" /><Relationship Type="http://schemas.openxmlformats.org/officeDocument/2006/relationships/hyperlink" Id="rId420" Target="https://www.ussc.gov/guidelines/2025-guidelines-manual/annotated-2025-chapter-8" TargetMode="External" /><Relationship Type="http://schemas.openxmlformats.org/officeDocument/2006/relationships/hyperlink" Id="rId668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70" Target="https://www.whitehouse.gov/wp-content/uploads/2025/02/M-25-22-Driving-Efficient-Acquisition-of-Artificial-Intelligence-in-Government.pdf" TargetMode="External" /><Relationship Type="http://schemas.openxmlformats.org/officeDocument/2006/relationships/hyperlink" Id="rId630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24" Target="what-is-ai-for-cour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>Who Controls, Who Answers: Liability in the AI Control Stack</dc:title>
  <dc:creator/>
  <dc:language>en-US</dc:language>
  <cp:keywords/>
  <ns2:created xsi:type="dcterms:W3CDTF">2026-08-28T22:13:29Z</ns2:created>
  <ns2:modified xsi:type="dcterms:W3CDTF">2026-08-28T22:13:29Z</ns2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what-is-ai-for-courts.tex</vt:lpwstr>
  </property>
  <property fmtid="{D5CDD505-2E9C-101B-9397-08002B2CF9AE}" pid="4" name="viewport">
    <vt:lpwstr>width=device-width,initial-scale=1</vt:lpwstr>
  </property>
</Properties>
</file>