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C01733" w14:paraId="5E5787A5" wp14:textId="1E2DC255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GoBack" w:id="0"/>
      <w:bookmarkEnd w:id="0"/>
      <w:r w:rsidRPr="60C01733" w:rsidR="60C017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Основные</w:t>
      </w:r>
      <w:r w:rsidRPr="60C01733" w:rsidR="60C017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0C01733" w:rsidR="60C017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определения</w:t>
      </w:r>
    </w:p>
    <w:p w:rsidR="60C01733" w:rsidP="27C139BA" w:rsidRDefault="60C01733" w14:paraId="08C02FCC" w14:textId="5632E0B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7C139BA" w:rsidR="27C139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основе</w:t>
      </w:r>
      <w:r w:rsidRPr="27C139BA" w:rsidR="27C139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машинного обучения лежит теория вероятностей поэтому для продолжения работы над нейронными сетями необходимо освоить некоторые базовые определения.</w:t>
      </w:r>
    </w:p>
    <w:p w:rsidR="60C01733" w:rsidP="27C139BA" w:rsidRDefault="60C01733" w14:paraId="2870344B" w14:textId="0B8C828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0C01733" w:rsidP="27C139BA" w:rsidRDefault="60C01733" w14:paraId="023E2F41" w14:textId="2A7A82AE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бывают дискретные случа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ные величины с конечным или счетным набором исходов; каждому из своих исходов они присваивают неотрицательную веро­ятность, и вероятности исходов в сумме дают единицу;</w:t>
      </w:r>
    </w:p>
    <w:p w:rsidR="60C01733" w:rsidP="27C139BA" w:rsidRDefault="60C01733" w14:paraId="255413A6" w14:textId="7CC0761E">
      <w:pPr>
        <w:spacing w:line="360" w:lineRule="auto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ывают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одномерные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непрерывные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случа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ные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величины,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которых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набор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ис­ходов представляет собо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вещественную прямую R; тогда вероятности от­ дельных исходов превращаются в </w:t>
      </w:r>
      <w:r w:rsidRPr="27C139BA" w:rsidR="27C139B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функцию распределения F(a) = </w:t>
      </w:r>
      <w:proofErr w:type="gramStart"/>
      <w:r w:rsidRPr="27C139BA" w:rsidR="27C139B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р(</w:t>
      </w:r>
      <w:proofErr w:type="gramEnd"/>
      <w:r w:rsidRPr="27C139BA" w:rsidR="27C139B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х &lt; а)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ее производную, </w:t>
      </w:r>
      <w:r w:rsidRPr="27C139BA" w:rsidR="27C139B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плотность распределения:</w:t>
      </w:r>
    </w:p>
    <w:p w:rsidR="27C139BA" w:rsidP="27C139BA" w:rsidRDefault="27C139BA" w14:paraId="248E5BE5" w14:textId="2F1E164C">
      <w:pPr>
        <w:pStyle w:val="Normal"/>
        <w:spacing w:line="360" w:lineRule="auto"/>
        <w:jc w:val="center"/>
      </w:pPr>
      <w:r>
        <w:drawing>
          <wp:inline wp14:editId="294B9ECD" wp14:anchorId="6CAF4E72">
            <wp:extent cx="750535" cy="358951"/>
            <wp:effectExtent l="0" t="0" r="0" b="0"/>
            <wp:docPr id="1937706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e0bd44524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35" cy="3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139BA" w:rsidP="27C139BA" w:rsidRDefault="27C139BA" w14:paraId="6490C080" w14:textId="0BB6BDA4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теперь не сумма, а интеграл неотрицательной функции плотности должен быть равен единице:</w:t>
      </w:r>
    </w:p>
    <w:p w:rsidR="27C139BA" w:rsidP="27C139BA" w:rsidRDefault="27C139BA" w14:paraId="12A2F957" w14:textId="306218BB">
      <w:pPr>
        <w:pStyle w:val="Normal"/>
        <w:spacing w:line="360" w:lineRule="auto"/>
        <w:jc w:val="center"/>
        <w:rPr>
          <w:noProof w:val="0"/>
          <w:lang w:val="ru-RU"/>
        </w:rPr>
      </w:pPr>
      <w:r>
        <w:drawing>
          <wp:inline wp14:editId="3B194AD0" wp14:anchorId="3F9DC486">
            <wp:extent cx="2012950" cy="349250"/>
            <wp:effectExtent l="0" t="0" r="0" b="0"/>
            <wp:docPr id="1720407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a03d3d588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139BA" w:rsidP="27C139BA" w:rsidRDefault="27C139BA" w14:paraId="4DD3DC14" w14:textId="1E2818CF">
      <w:pPr>
        <w:spacing w:line="360" w:lineRule="auto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GB"/>
        </w:rPr>
      </w:pPr>
      <w:r w:rsidRPr="27C139BA" w:rsidR="27C139B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Совместная вероятность 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—это вероятность одновременного на­ступления двух событий,</w:t>
      </w:r>
      <w:r w:rsidRPr="27C139BA" w:rsidR="27C139B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proofErr w:type="gramStart"/>
      <w:r w:rsidRPr="27C139BA" w:rsidR="27C139B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GB"/>
        </w:rPr>
        <w:t>р(</w:t>
      </w:r>
      <w:proofErr w:type="gramEnd"/>
      <w:r w:rsidRPr="27C139BA" w:rsidR="27C139B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GB"/>
        </w:rPr>
        <w:t>х, у)</w:t>
      </w:r>
    </w:p>
    <w:p w:rsidR="27C139BA" w:rsidP="27C139BA" w:rsidRDefault="27C139BA" w14:paraId="4A9AFE99" w14:textId="726E6F39">
      <w:pPr>
        <w:pStyle w:val="Normal"/>
        <w:spacing w:line="360" w:lineRule="auto"/>
        <w:jc w:val="center"/>
      </w:pPr>
      <w:r>
        <w:drawing>
          <wp:inline wp14:editId="76E37D74" wp14:anchorId="2DBF1F35">
            <wp:extent cx="1150056" cy="197556"/>
            <wp:effectExtent l="0" t="0" r="0" b="0"/>
            <wp:docPr id="11746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ffbb76783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056" cy="1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139BA" w:rsidP="27C139BA" w:rsidRDefault="27C139BA" w14:paraId="16421753" w14:textId="17FC5249">
      <w:pPr>
        <w:spacing w:line="360" w:lineRule="auto"/>
        <w:jc w:val="left"/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</w:pPr>
      <w:r w:rsidRPr="27C139BA" w:rsidR="27C139BA"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  <w:t>Чтобы получить обратно из совместной вероятности вероятность того или ино­го исхода одной из случайных величин, нужно просуммировать по другой:</w:t>
      </w:r>
    </w:p>
    <w:p w:rsidR="27C139BA" w:rsidP="27C139BA" w:rsidRDefault="27C139BA" w14:paraId="5070CE96" w14:textId="06179F32">
      <w:pPr>
        <w:pStyle w:val="Normal"/>
        <w:spacing w:line="360" w:lineRule="auto"/>
        <w:jc w:val="center"/>
      </w:pPr>
      <w:r>
        <w:drawing>
          <wp:inline wp14:editId="5E060040" wp14:anchorId="753B3783">
            <wp:extent cx="1055879" cy="385680"/>
            <wp:effectExtent l="0" t="0" r="0" b="0"/>
            <wp:docPr id="13868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d22f99189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879" cy="3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139BA" w:rsidP="27C139BA" w:rsidRDefault="27C139BA" w14:paraId="704C7148" w14:textId="4F49080D">
      <w:pPr>
        <w:pStyle w:val="Normal"/>
        <w:spacing w:line="360" w:lineRule="auto"/>
        <w:jc w:val="center"/>
      </w:pPr>
    </w:p>
    <w:p w:rsidR="27C139BA" w:rsidP="27C139BA" w:rsidRDefault="27C139BA" w14:paraId="4C701115" w14:textId="4FD3E355">
      <w:pPr>
        <w:spacing w:line="360" w:lineRule="auto"/>
        <w:jc w:val="left"/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</w:pPr>
      <w:r w:rsidRPr="27C139BA" w:rsidR="27C139BA">
        <w:rPr>
          <w:rFonts w:ascii="TimesNewRomanPSMT" w:hAnsi="TimesNewRomanPSMT" w:eastAsia="TimesNewRomanPSMT" w:cs="TimesNewRomanPSMT"/>
          <w:noProof w:val="0"/>
          <w:sz w:val="28"/>
          <w:szCs w:val="28"/>
          <w:lang w:val="ru-RU"/>
        </w:rPr>
        <w:t>если рассмотреть ее в случае непрерывных случайных величин, получится, что мы фактически проецируем двумерное распределение, поверхность в трехмерном пространстве, на одну из осей, получая функцию от одной переменной:</w:t>
      </w:r>
    </w:p>
    <w:p w:rsidR="27C139BA" w:rsidP="27C139BA" w:rsidRDefault="27C139BA" w14:paraId="3F75A238" w14:textId="2680C316">
      <w:pPr>
        <w:pStyle w:val="Normal"/>
        <w:jc w:val="center"/>
      </w:pPr>
      <w:r>
        <w:drawing>
          <wp:inline wp14:editId="12337F13" wp14:anchorId="6D3B68AA">
            <wp:extent cx="1174126" cy="371475"/>
            <wp:effectExtent l="0" t="0" r="0" b="0"/>
            <wp:docPr id="25850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56ee40b8f4f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7412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86929" w:rsidP="0F686929" w:rsidRDefault="0F686929" w14:paraId="3DFA5077" w14:textId="32F6FCBA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Условная вероятность - вероятность наступления одного события, если известно, что произошло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другое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0F686929" w:rsidR="0F68692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p(x, y); </w:t>
      </w:r>
      <w:r w:rsidRPr="0F686929" w:rsidR="0F68692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ее определяют обычно формально так:</w:t>
      </w:r>
    </w:p>
    <w:p w:rsidR="0F686929" w:rsidP="0F686929" w:rsidRDefault="0F686929" w14:paraId="2D83664E" w14:textId="284555C3">
      <w:pPr>
        <w:pStyle w:val="Normal"/>
        <w:jc w:val="center"/>
      </w:pPr>
      <w:r w:rsidR="0F686929">
        <w:rPr/>
        <w:t xml:space="preserve"> </w:t>
      </w:r>
      <w:r>
        <w:drawing>
          <wp:inline wp14:editId="1F15CFC4" wp14:anchorId="110E35A2">
            <wp:extent cx="1476375" cy="485775"/>
            <wp:effectExtent l="0" t="0" r="0" b="0"/>
            <wp:docPr id="787110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e523f3ec4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86929" w:rsidP="0F686929" w:rsidRDefault="0F686929" w14:paraId="4825A18C" w14:textId="5854003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Аналогично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обычной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независимости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можно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определить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условную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независимость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x и y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условно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независимы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условии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z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F686929" w:rsidP="0F686929" w:rsidRDefault="0F686929" w14:paraId="02C4C484" w14:textId="64936D5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C501798" wp14:anchorId="42555E90">
            <wp:extent cx="2204830" cy="209550"/>
            <wp:effectExtent l="0" t="0" r="0" b="0"/>
            <wp:docPr id="1737401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056e446ea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86929" w:rsidP="0F686929" w:rsidRDefault="0F686929" w14:paraId="5D1316F1" w14:textId="66FC3D4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определению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условной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вероятности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</w:p>
    <w:p w:rsidR="0F686929" w:rsidP="0F686929" w:rsidRDefault="0F686929" w14:paraId="37BFC714" w14:textId="39D6DB36">
      <w:pPr>
        <w:pStyle w:val="Normal"/>
        <w:jc w:val="center"/>
      </w:pPr>
      <w:r>
        <w:drawing>
          <wp:inline wp14:editId="1F4C82AB" wp14:anchorId="4FEF3C60">
            <wp:extent cx="3028950" cy="228600"/>
            <wp:effectExtent l="0" t="0" r="0" b="0"/>
            <wp:docPr id="200326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32fb1c81c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86929" w:rsidP="0F686929" w:rsidRDefault="0F686929" w14:paraId="3E5D2632" w14:textId="0554675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теперь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можно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выразить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например</w:t>
      </w:r>
      <w:r w:rsidRPr="0F686929" w:rsidR="0F6869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F686929" w:rsidP="0F686929" w:rsidRDefault="0F686929" w14:paraId="38042AD7" w14:textId="448C2507">
      <w:pPr>
        <w:pStyle w:val="Normal"/>
        <w:jc w:val="center"/>
      </w:pPr>
      <w:r>
        <w:drawing>
          <wp:inline wp14:editId="3FB175FC" wp14:anchorId="759C5A89">
            <wp:extent cx="3943350" cy="581025"/>
            <wp:effectExtent l="0" t="0" r="0" b="0"/>
            <wp:docPr id="1666564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2373171d0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86929" w:rsidP="0F686929" w:rsidRDefault="0F686929" w14:paraId="6002F884" w14:textId="30A49D10">
      <w:pPr>
        <w:pStyle w:val="Normal"/>
        <w:jc w:val="center"/>
      </w:pPr>
      <w:proofErr w:type="spellStart"/>
      <w:r w:rsidR="0F686929">
        <w:rPr/>
        <w:t>Последня</w:t>
      </w:r>
      <w:proofErr w:type="spellEnd"/>
      <w:r w:rsidR="0F686929">
        <w:rPr/>
        <w:t xml:space="preserve"> </w:t>
      </w:r>
      <w:proofErr w:type="spellStart"/>
      <w:r w:rsidR="0F686929">
        <w:rPr/>
        <w:t>формула</w:t>
      </w:r>
      <w:proofErr w:type="spellEnd"/>
      <w:r w:rsidR="0F686929">
        <w:rPr/>
        <w:t xml:space="preserve"> - </w:t>
      </w:r>
      <w:proofErr w:type="spellStart"/>
      <w:r w:rsidR="0F686929">
        <w:rPr/>
        <w:t>всего</w:t>
      </w:r>
      <w:proofErr w:type="spellEnd"/>
      <w:r w:rsidR="0F686929">
        <w:rPr/>
        <w:t xml:space="preserve"> </w:t>
      </w:r>
      <w:proofErr w:type="spellStart"/>
      <w:r w:rsidR="0F686929">
        <w:rPr/>
        <w:t>лишь</w:t>
      </w:r>
      <w:proofErr w:type="spellEnd"/>
      <w:r w:rsidR="0F686929">
        <w:rPr/>
        <w:t xml:space="preserve"> </w:t>
      </w:r>
      <w:proofErr w:type="spellStart"/>
      <w:r w:rsidR="0F686929">
        <w:rPr/>
        <w:t>очень</w:t>
      </w:r>
      <w:proofErr w:type="spellEnd"/>
      <w:r w:rsidR="0F686929">
        <w:rPr/>
        <w:t xml:space="preserve"> </w:t>
      </w:r>
      <w:proofErr w:type="spellStart"/>
      <w:r w:rsidR="0F686929">
        <w:rPr/>
        <w:t>формальное</w:t>
      </w:r>
      <w:proofErr w:type="spellEnd"/>
      <w:r w:rsidR="0F686929">
        <w:rPr/>
        <w:t xml:space="preserve"> </w:t>
      </w:r>
      <w:proofErr w:type="spellStart"/>
      <w:r w:rsidR="0F686929">
        <w:rPr/>
        <w:t>определение</w:t>
      </w:r>
      <w:proofErr w:type="spellEnd"/>
      <w:r w:rsidR="0F686929">
        <w:rPr/>
        <w:t xml:space="preserve"> </w:t>
      </w:r>
      <w:proofErr w:type="spellStart"/>
      <w:r w:rsidR="0F686929">
        <w:rPr/>
        <w:t>условной</w:t>
      </w:r>
      <w:proofErr w:type="spellEnd"/>
      <w:r w:rsidR="0F686929">
        <w:rPr/>
        <w:t xml:space="preserve"> </w:t>
      </w:r>
      <w:proofErr w:type="spellStart"/>
      <w:r w:rsidR="0F686929">
        <w:rPr/>
        <w:t>вероятности</w:t>
      </w:r>
      <w:proofErr w:type="spellEnd"/>
      <w:r w:rsidR="0F686929">
        <w:rPr/>
        <w:t xml:space="preserve">, </w:t>
      </w:r>
      <w:proofErr w:type="spellStart"/>
      <w:r w:rsidR="0F686929">
        <w:rPr/>
        <w:t>но</w:t>
      </w:r>
      <w:proofErr w:type="spellEnd"/>
      <w:r w:rsidR="0F686929">
        <w:rPr/>
        <w:t xml:space="preserve"> </w:t>
      </w:r>
      <w:proofErr w:type="spellStart"/>
      <w:r w:rsidR="0F686929">
        <w:rPr/>
        <w:t>вместе</w:t>
      </w:r>
      <w:proofErr w:type="spellEnd"/>
      <w:r w:rsidR="0F686929">
        <w:rPr/>
        <w:t xml:space="preserve"> </w:t>
      </w:r>
      <w:proofErr w:type="spellStart"/>
      <w:r w:rsidR="0F686929">
        <w:rPr/>
        <w:t>тем</w:t>
      </w:r>
      <w:proofErr w:type="spellEnd"/>
      <w:r w:rsidR="0F686929">
        <w:rPr/>
        <w:t xml:space="preserve"> </w:t>
      </w:r>
      <w:proofErr w:type="spellStart"/>
      <w:r w:rsidR="0F686929">
        <w:rPr/>
        <w:t>это</w:t>
      </w:r>
      <w:proofErr w:type="spellEnd"/>
      <w:r w:rsidR="0F686929">
        <w:rPr/>
        <w:t xml:space="preserve"> </w:t>
      </w:r>
      <w:proofErr w:type="spellStart"/>
      <w:r w:rsidR="0F686929">
        <w:rPr/>
        <w:t>самая</w:t>
      </w:r>
      <w:proofErr w:type="spellEnd"/>
      <w:r w:rsidR="0F686929">
        <w:rPr/>
        <w:t xml:space="preserve"> главная ф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be1cb2cd1a14291"/>
      <w:footerReference w:type="default" r:id="R2cf7ac0d01dd4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7C139BA" w:rsidTr="27C139BA" w14:paraId="30D33638">
      <w:tc>
        <w:tcPr>
          <w:tcW w:w="3009" w:type="dxa"/>
          <w:tcMar/>
        </w:tcPr>
        <w:p w:rsidR="27C139BA" w:rsidP="27C139BA" w:rsidRDefault="27C139BA" w14:paraId="499A674A" w14:textId="319EE19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7C139BA" w:rsidP="27C139BA" w:rsidRDefault="27C139BA" w14:paraId="4CDBA4AF" w14:textId="23269E8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7C139BA" w:rsidP="27C139BA" w:rsidRDefault="27C139BA" w14:paraId="0596CAEC" w14:textId="01526FB9">
          <w:pPr>
            <w:pStyle w:val="Header"/>
            <w:bidi w:val="0"/>
            <w:ind w:right="-115"/>
            <w:jc w:val="right"/>
          </w:pPr>
        </w:p>
      </w:tc>
    </w:tr>
  </w:tbl>
  <w:p w:rsidR="27C139BA" w:rsidP="27C139BA" w:rsidRDefault="27C139BA" w14:paraId="7391DD7B" w14:textId="658BFE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7C139BA" w:rsidTr="27C139BA" w14:paraId="52B539AE">
      <w:tc>
        <w:tcPr>
          <w:tcW w:w="3009" w:type="dxa"/>
          <w:tcMar/>
        </w:tcPr>
        <w:p w:rsidR="27C139BA" w:rsidP="27C139BA" w:rsidRDefault="27C139BA" w14:paraId="650E58BA" w14:textId="58A5C5D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7C139BA" w:rsidP="27C139BA" w:rsidRDefault="27C139BA" w14:paraId="3F6AE807" w14:textId="4DD4172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7C139BA" w:rsidP="27C139BA" w:rsidRDefault="27C139BA" w14:paraId="31A21022" w14:textId="5786B916">
          <w:pPr>
            <w:pStyle w:val="Header"/>
            <w:bidi w:val="0"/>
            <w:ind w:right="-115"/>
            <w:jc w:val="right"/>
          </w:pPr>
        </w:p>
      </w:tc>
    </w:tr>
  </w:tbl>
  <w:p w:rsidR="27C139BA" w:rsidP="27C139BA" w:rsidRDefault="27C139BA" w14:paraId="0A5539B0" w14:textId="769776F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6A72FF"/>
  <w15:docId w15:val="{c8312295-e00b-4edc-9b73-b644e8db68f1}"/>
  <w:rsids>
    <w:rsidRoot w:val="78977E88"/>
    <w:rsid w:val="0F686929"/>
    <w:rsid w:val="27C139BA"/>
    <w:rsid w:val="60C01733"/>
    <w:rsid w:val="78977E88"/>
    <w:rsid w:val="7F6A7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0e0bd4452442b4" /><Relationship Type="http://schemas.openxmlformats.org/officeDocument/2006/relationships/image" Target="/media/image2.png" Id="R048a03d3d58847a9" /><Relationship Type="http://schemas.openxmlformats.org/officeDocument/2006/relationships/image" Target="/media/image3.png" Id="R76effbb767834a60" /><Relationship Type="http://schemas.openxmlformats.org/officeDocument/2006/relationships/image" Target="/media/image4.png" Id="R818d22f991894d53" /><Relationship Type="http://schemas.openxmlformats.org/officeDocument/2006/relationships/header" Target="/word/header.xml" Id="R8be1cb2cd1a14291" /><Relationship Type="http://schemas.openxmlformats.org/officeDocument/2006/relationships/footer" Target="/word/footer.xml" Id="R2cf7ac0d01dd4380" /><Relationship Type="http://schemas.openxmlformats.org/officeDocument/2006/relationships/image" Target="/media/image6.png" Id="R34756ee40b8f4f8c" /><Relationship Type="http://schemas.openxmlformats.org/officeDocument/2006/relationships/image" Target="/media/image7.png" Id="Rbb6e523f3ec44a05" /><Relationship Type="http://schemas.openxmlformats.org/officeDocument/2006/relationships/image" Target="/media/image8.png" Id="R3bb056e446ea410e" /><Relationship Type="http://schemas.openxmlformats.org/officeDocument/2006/relationships/image" Target="/media/image9.png" Id="R9c132fb1c81c41da" /><Relationship Type="http://schemas.openxmlformats.org/officeDocument/2006/relationships/image" Target="/media/imagea.png" Id="Rfb92373171d0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Островерхов</dc:creator>
  <keywords/>
  <dc:description/>
  <lastModifiedBy>Алексей Островерхов</lastModifiedBy>
  <revision>4</revision>
  <dcterms:created xsi:type="dcterms:W3CDTF">2019-04-14T20:55:39.9413758Z</dcterms:created>
  <dcterms:modified xsi:type="dcterms:W3CDTF">2019-04-14T20:12:56.0168741Z</dcterms:modified>
</coreProperties>
</file>