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ECE 30861 Syllabus</w:t>
      </w:r>
    </w:p>
    <w:p>
      <w:r>
        <w:t>Welcome to the course.</w:t>
      </w:r>
    </w:p>
    <w:p>
      <w:pPr>
        <w:pStyle w:val="Heading3"/>
      </w:pPr>
      <w:r>
        <w:t>Grading</w:t>
      </w:r>
    </w:p>
    <w:p>
      <w:r>
        <w:drawing>
          <wp:inline xmlns:a="http://schemas.openxmlformats.org/drawingml/2006/main" xmlns:pic="http://schemas.openxmlformats.org/drawingml/2006/picture">
            <wp:extent cx="76200" cy="76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76200" cy="76200"/>
            <wp:docPr id="2" name="Picture 2" descr="Bar chart of the grade distribu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Weight</w:t>
            </w:r>
          </w:p>
        </w:tc>
      </w:tr>
      <w:tr>
        <w:tc>
          <w:tcPr>
            <w:tcW w:type="dxa" w:w="4320"/>
          </w:tcPr>
          <w:p>
            <w:r>
              <w:t>Exams</w:t>
            </w:r>
          </w:p>
        </w:tc>
        <w:tc>
          <w:tcPr>
            <w:tcW w:type="dxa" w:w="4320"/>
          </w:tcPr>
          <w:p>
            <w:r>
              <w:t>60%</w:t>
            </w:r>
          </w:p>
        </w:tc>
      </w:tr>
      <w:tr>
        <w:tc>
          <w:tcPr>
            <w:tcW w:type="dxa" w:w="4320"/>
          </w:tcPr>
          <w:p>
            <w:r>
              <w:t>Labs</w:t>
            </w:r>
          </w:p>
        </w:tc>
        <w:tc>
          <w:tcPr>
            <w:tcW w:type="dxa" w:w="4320"/>
          </w:tcPr>
          <w:p>
            <w:r>
              <w:t>40%</w:t>
            </w:r>
          </w:p>
        </w:tc>
      </w:tr>
    </w:tbl>
    <w:p>
      <w:r>
        <w:t xml:space="preserve">For the rubric, </w:t>
      </w:r>
      <w:hyperlink r:id="rId10">
        <w:r>
          <w:t>click here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example.edu/rub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ECE 30861 Syllabus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