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44F1" w14:textId="77777777" w:rsidR="00EA7570" w:rsidRPr="0047280D" w:rsidRDefault="00C4506A">
      <w:pPr>
        <w:pStyle w:val="Ttulo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t>Registro de decisiones de arquitectura (ADR)</w:t>
      </w:r>
    </w:p>
    <w:p w14:paraId="29F19164" w14:textId="321DF4F3" w:rsidR="00EA7570" w:rsidRPr="0047280D" w:rsidRDefault="00C4506A">
      <w:pPr>
        <w:rPr>
          <w:lang w:val="es-MX"/>
        </w:rPr>
      </w:pPr>
      <w:r w:rsidRPr="0047280D">
        <w:rPr>
          <w:b/>
          <w:lang w:val="es-MX"/>
        </w:rPr>
        <w:t>Proyecto:</w:t>
      </w:r>
      <w:r w:rsidRPr="0047280D">
        <w:rPr>
          <w:lang w:val="es-MX"/>
        </w:rPr>
        <w:t xml:space="preserve"> AutoFix Pro</w:t>
      </w:r>
    </w:p>
    <w:p w14:paraId="336379E1" w14:textId="77777777" w:rsidR="00EA7570" w:rsidRPr="0047280D" w:rsidRDefault="00C4506A">
      <w:pPr>
        <w:rPr>
          <w:lang w:val="es-MX"/>
        </w:rPr>
      </w:pPr>
      <w:r w:rsidRPr="0047280D">
        <w:rPr>
          <w:b/>
          <w:lang w:val="es-MX"/>
        </w:rPr>
        <w:t>Materia:</w:t>
      </w:r>
      <w:r w:rsidRPr="0047280D">
        <w:rPr>
          <w:lang w:val="es-MX"/>
        </w:rPr>
        <w:t xml:space="preserve"> Componentes de Lógica de Negocio · FIME UANL · </w:t>
      </w:r>
      <w:r w:rsidRPr="0047280D">
        <w:rPr>
          <w:b/>
          <w:lang w:val="es-MX"/>
        </w:rPr>
        <w:t>Profesor:</w:t>
      </w:r>
      <w:r w:rsidRPr="0047280D">
        <w:rPr>
          <w:lang w:val="es-MX"/>
        </w:rPr>
        <w:t xml:space="preserve"> Miguel Ángel Gómez Marroquín</w:t>
      </w:r>
    </w:p>
    <w:p w14:paraId="0A476A55" w14:textId="77777777" w:rsidR="00EA7570" w:rsidRPr="0047280D" w:rsidRDefault="00C4506A">
      <w:pPr>
        <w:rPr>
          <w:color w:val="000000" w:themeColor="text1"/>
          <w:lang w:val="es-MX"/>
        </w:rPr>
      </w:pPr>
      <w:r w:rsidRPr="0047280D">
        <w:rPr>
          <w:color w:val="000000" w:themeColor="text1"/>
          <w:sz w:val="19"/>
          <w:lang w:val="es-MX"/>
        </w:rPr>
        <w:t xml:space="preserve">Equipo 6: </w:t>
      </w:r>
      <w:proofErr w:type="spellStart"/>
      <w:r w:rsidRPr="0047280D">
        <w:rPr>
          <w:color w:val="000000" w:themeColor="text1"/>
          <w:sz w:val="19"/>
          <w:lang w:val="es-MX"/>
        </w:rPr>
        <w:t>Jesus</w:t>
      </w:r>
      <w:proofErr w:type="spellEnd"/>
      <w:r w:rsidRPr="0047280D">
        <w:rPr>
          <w:color w:val="000000" w:themeColor="text1"/>
          <w:sz w:val="19"/>
          <w:lang w:val="es-MX"/>
        </w:rPr>
        <w:t xml:space="preserve"> Eduardo Moreno Osoria (2136063) · Osvaldo Salvador Cárdenas Mejorado (2141553) · Abraham Sandoval De León (2136604)</w:t>
      </w:r>
    </w:p>
    <w:p w14:paraId="70C6FE31" w14:textId="77777777" w:rsidR="00EA7570" w:rsidRPr="0047280D" w:rsidRDefault="00C4506A">
      <w:pPr>
        <w:rPr>
          <w:lang w:val="es-MX"/>
        </w:rPr>
      </w:pPr>
      <w:r w:rsidRPr="0047280D">
        <w:rPr>
          <w:lang w:val="es-MX"/>
        </w:rPr>
        <w:t>Este documento reúne las cinco decisiones de arquitectura del diseño de AutoFix Pro. Cada ADR sigue los campos que pide la guía (título, estado, contexto, alternativas, decisión, consecuencias y trazabilidad) y cita la evidencia de la Unidad 2 que la respalda. El informe de arquitectura presenta un resumen; aquí está el texto completo de cada decisión.</w:t>
      </w:r>
    </w:p>
    <w:p w14:paraId="1D128A4D" w14:textId="77777777" w:rsidR="00EA7570" w:rsidRPr="0047280D" w:rsidRDefault="00C4506A">
      <w:pPr>
        <w:pStyle w:val="Ttulo1"/>
        <w:rPr>
          <w:color w:val="000000" w:themeColor="text1"/>
        </w:rPr>
      </w:pPr>
      <w:proofErr w:type="spellStart"/>
      <w:r w:rsidRPr="0047280D">
        <w:rPr>
          <w:color w:val="000000" w:themeColor="text1"/>
        </w:rPr>
        <w:t>Resumen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5328"/>
        <w:gridCol w:w="1296"/>
        <w:gridCol w:w="2016"/>
      </w:tblGrid>
      <w:tr w:rsidR="00EA7570" w14:paraId="14CD0F52" w14:textId="77777777" w:rsidTr="0047280D">
        <w:trPr>
          <w:jc w:val="center"/>
        </w:trPr>
        <w:tc>
          <w:tcPr>
            <w:tcW w:w="1296" w:type="dxa"/>
            <w:shd w:val="clear" w:color="auto" w:fill="548DD4" w:themeFill="text2" w:themeFillTint="99"/>
          </w:tcPr>
          <w:p w14:paraId="6B50600C" w14:textId="77777777" w:rsidR="00EA7570" w:rsidRDefault="00C4506A">
            <w:r>
              <w:rPr>
                <w:b/>
                <w:color w:val="FFFFFF"/>
                <w:sz w:val="19"/>
              </w:rPr>
              <w:t>ADR</w:t>
            </w:r>
          </w:p>
        </w:tc>
        <w:tc>
          <w:tcPr>
            <w:tcW w:w="5328" w:type="dxa"/>
            <w:shd w:val="clear" w:color="auto" w:fill="548DD4" w:themeFill="text2" w:themeFillTint="99"/>
          </w:tcPr>
          <w:p w14:paraId="05818F6B" w14:textId="77777777" w:rsidR="00EA7570" w:rsidRDefault="00C4506A"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1296" w:type="dxa"/>
            <w:shd w:val="clear" w:color="auto" w:fill="548DD4" w:themeFill="text2" w:themeFillTint="99"/>
          </w:tcPr>
          <w:p w14:paraId="5667B471" w14:textId="77777777" w:rsidR="00EA7570" w:rsidRDefault="00C4506A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2016" w:type="dxa"/>
            <w:shd w:val="clear" w:color="auto" w:fill="548DD4" w:themeFill="text2" w:themeFillTint="99"/>
          </w:tcPr>
          <w:p w14:paraId="63823235" w14:textId="77777777" w:rsidR="00EA7570" w:rsidRDefault="00C4506A">
            <w:r>
              <w:rPr>
                <w:b/>
                <w:color w:val="FFFFFF"/>
                <w:sz w:val="19"/>
              </w:rPr>
              <w:t>Necesidades</w:t>
            </w:r>
          </w:p>
        </w:tc>
      </w:tr>
      <w:tr w:rsidR="00EA7570" w14:paraId="4D37F57B" w14:textId="77777777">
        <w:trPr>
          <w:jc w:val="center"/>
        </w:trPr>
        <w:tc>
          <w:tcPr>
            <w:tcW w:w="1296" w:type="dxa"/>
          </w:tcPr>
          <w:p w14:paraId="19D17E21" w14:textId="77777777" w:rsidR="00EA7570" w:rsidRDefault="00C4506A">
            <w:r>
              <w:rPr>
                <w:b/>
                <w:sz w:val="19"/>
              </w:rPr>
              <w:t>ADR-001</w:t>
            </w:r>
          </w:p>
        </w:tc>
        <w:tc>
          <w:tcPr>
            <w:tcW w:w="5328" w:type="dxa"/>
          </w:tcPr>
          <w:p w14:paraId="14E07A74" w14:textId="77777777" w:rsidR="00EA7570" w:rsidRPr="0047280D" w:rsidRDefault="00C4506A">
            <w:pPr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Domain Model como patrón de lógica de negocio</w:t>
            </w:r>
          </w:p>
        </w:tc>
        <w:tc>
          <w:tcPr>
            <w:tcW w:w="1296" w:type="dxa"/>
          </w:tcPr>
          <w:p w14:paraId="02C66C0B" w14:textId="77777777" w:rsidR="00EA7570" w:rsidRDefault="00C4506A">
            <w:proofErr w:type="spellStart"/>
            <w:r>
              <w:rPr>
                <w:sz w:val="19"/>
              </w:rPr>
              <w:t>Aceptada</w:t>
            </w:r>
            <w:proofErr w:type="spellEnd"/>
          </w:p>
        </w:tc>
        <w:tc>
          <w:tcPr>
            <w:tcW w:w="2016" w:type="dxa"/>
          </w:tcPr>
          <w:p w14:paraId="112B8271" w14:textId="77777777" w:rsidR="00EA7570" w:rsidRDefault="00C4506A">
            <w:r>
              <w:rPr>
                <w:sz w:val="19"/>
              </w:rPr>
              <w:t>N-02 a N-04, N-07, N-10, N-11</w:t>
            </w:r>
          </w:p>
        </w:tc>
      </w:tr>
      <w:tr w:rsidR="00EA7570" w14:paraId="18F5FA01" w14:textId="77777777">
        <w:trPr>
          <w:jc w:val="center"/>
        </w:trPr>
        <w:tc>
          <w:tcPr>
            <w:tcW w:w="1296" w:type="dxa"/>
          </w:tcPr>
          <w:p w14:paraId="76D144A6" w14:textId="77777777" w:rsidR="00EA7570" w:rsidRDefault="00C4506A">
            <w:r>
              <w:rPr>
                <w:b/>
                <w:sz w:val="19"/>
              </w:rPr>
              <w:t>ADR-002</w:t>
            </w:r>
          </w:p>
        </w:tc>
        <w:tc>
          <w:tcPr>
            <w:tcW w:w="5328" w:type="dxa"/>
          </w:tcPr>
          <w:p w14:paraId="554393C2" w14:textId="77777777" w:rsidR="00EA7570" w:rsidRPr="0047280D" w:rsidRDefault="00C4506A">
            <w:pPr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Límites de los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y Unidad de Trabajo para CU-03</w:t>
            </w:r>
          </w:p>
        </w:tc>
        <w:tc>
          <w:tcPr>
            <w:tcW w:w="1296" w:type="dxa"/>
          </w:tcPr>
          <w:p w14:paraId="1C885245" w14:textId="77777777" w:rsidR="00EA7570" w:rsidRDefault="00C4506A">
            <w:proofErr w:type="spellStart"/>
            <w:r>
              <w:rPr>
                <w:sz w:val="19"/>
              </w:rPr>
              <w:t>Aceptada</w:t>
            </w:r>
            <w:proofErr w:type="spellEnd"/>
          </w:p>
        </w:tc>
        <w:tc>
          <w:tcPr>
            <w:tcW w:w="2016" w:type="dxa"/>
          </w:tcPr>
          <w:p w14:paraId="34C8DDE9" w14:textId="77777777" w:rsidR="00EA7570" w:rsidRDefault="00C4506A">
            <w:r>
              <w:rPr>
                <w:sz w:val="19"/>
              </w:rPr>
              <w:t>N-03, N-06, N-10</w:t>
            </w:r>
          </w:p>
        </w:tc>
      </w:tr>
      <w:tr w:rsidR="00EA7570" w14:paraId="49798D20" w14:textId="77777777">
        <w:trPr>
          <w:jc w:val="center"/>
        </w:trPr>
        <w:tc>
          <w:tcPr>
            <w:tcW w:w="1296" w:type="dxa"/>
          </w:tcPr>
          <w:p w14:paraId="2F84C158" w14:textId="77777777" w:rsidR="00EA7570" w:rsidRDefault="00C4506A">
            <w:r>
              <w:rPr>
                <w:b/>
                <w:sz w:val="19"/>
              </w:rPr>
              <w:t>ADR-003</w:t>
            </w:r>
          </w:p>
        </w:tc>
        <w:tc>
          <w:tcPr>
            <w:tcW w:w="5328" w:type="dxa"/>
          </w:tcPr>
          <w:p w14:paraId="12FA23AA" w14:textId="77777777" w:rsidR="00EA7570" w:rsidRPr="0047280D" w:rsidRDefault="00C4506A">
            <w:pPr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Service Layer por caso de uso y CQRS básico</w:t>
            </w:r>
          </w:p>
        </w:tc>
        <w:tc>
          <w:tcPr>
            <w:tcW w:w="1296" w:type="dxa"/>
          </w:tcPr>
          <w:p w14:paraId="2136EA4E" w14:textId="77777777" w:rsidR="00EA7570" w:rsidRDefault="00C4506A">
            <w:proofErr w:type="spellStart"/>
            <w:r>
              <w:rPr>
                <w:sz w:val="19"/>
              </w:rPr>
              <w:t>Aceptada</w:t>
            </w:r>
            <w:proofErr w:type="spellEnd"/>
          </w:p>
        </w:tc>
        <w:tc>
          <w:tcPr>
            <w:tcW w:w="2016" w:type="dxa"/>
          </w:tcPr>
          <w:p w14:paraId="52C778FE" w14:textId="77777777" w:rsidR="00EA7570" w:rsidRDefault="00C4506A">
            <w:r>
              <w:rPr>
                <w:sz w:val="19"/>
              </w:rPr>
              <w:t>N-02 a N-05, N-08, N-10, N-13</w:t>
            </w:r>
          </w:p>
        </w:tc>
      </w:tr>
      <w:tr w:rsidR="00EA7570" w14:paraId="7DD52118" w14:textId="77777777">
        <w:trPr>
          <w:jc w:val="center"/>
        </w:trPr>
        <w:tc>
          <w:tcPr>
            <w:tcW w:w="1296" w:type="dxa"/>
          </w:tcPr>
          <w:p w14:paraId="5727F132" w14:textId="77777777" w:rsidR="00EA7570" w:rsidRDefault="00C4506A">
            <w:r>
              <w:rPr>
                <w:b/>
                <w:sz w:val="19"/>
              </w:rPr>
              <w:t>ADR-004</w:t>
            </w:r>
          </w:p>
        </w:tc>
        <w:tc>
          <w:tcPr>
            <w:tcW w:w="5328" w:type="dxa"/>
          </w:tcPr>
          <w:p w14:paraId="325CEC92" w14:textId="77777777" w:rsidR="00EA7570" w:rsidRPr="0047280D" w:rsidRDefault="00C4506A">
            <w:pPr>
              <w:rPr>
                <w:lang w:val="es-MX"/>
              </w:rPr>
            </w:pPr>
            <w:proofErr w:type="spellStart"/>
            <w:r w:rsidRPr="0047280D">
              <w:rPr>
                <w:sz w:val="19"/>
                <w:lang w:val="es-MX"/>
              </w:rPr>
              <w:t>Repository</w:t>
            </w:r>
            <w:proofErr w:type="spellEnd"/>
            <w:r w:rsidRPr="0047280D">
              <w:rPr>
                <w:sz w:val="19"/>
                <w:lang w:val="es-MX"/>
              </w:rPr>
              <w:t xml:space="preserve"> en términos del dominio; persistencia en memoria en esta fase y base de datos del Data Center en el proyecto final</w:t>
            </w:r>
          </w:p>
        </w:tc>
        <w:tc>
          <w:tcPr>
            <w:tcW w:w="1296" w:type="dxa"/>
          </w:tcPr>
          <w:p w14:paraId="31EC7BF9" w14:textId="77777777" w:rsidR="00EA7570" w:rsidRDefault="00C4506A">
            <w:proofErr w:type="spellStart"/>
            <w:r>
              <w:rPr>
                <w:sz w:val="19"/>
              </w:rPr>
              <w:t>Aceptada</w:t>
            </w:r>
            <w:proofErr w:type="spellEnd"/>
          </w:p>
        </w:tc>
        <w:tc>
          <w:tcPr>
            <w:tcW w:w="2016" w:type="dxa"/>
          </w:tcPr>
          <w:p w14:paraId="585CDE9D" w14:textId="77777777" w:rsidR="00EA7570" w:rsidRDefault="00C4506A">
            <w:r>
              <w:rPr>
                <w:sz w:val="19"/>
              </w:rPr>
              <w:t>N-01 a N-03, CE-01, CE-06</w:t>
            </w:r>
          </w:p>
        </w:tc>
      </w:tr>
      <w:tr w:rsidR="00EA7570" w14:paraId="42F5B586" w14:textId="77777777">
        <w:trPr>
          <w:jc w:val="center"/>
        </w:trPr>
        <w:tc>
          <w:tcPr>
            <w:tcW w:w="1296" w:type="dxa"/>
          </w:tcPr>
          <w:p w14:paraId="7463A3C8" w14:textId="77777777" w:rsidR="00EA7570" w:rsidRDefault="00C4506A">
            <w:r>
              <w:rPr>
                <w:b/>
                <w:sz w:val="19"/>
              </w:rPr>
              <w:t>ADR-005</w:t>
            </w:r>
          </w:p>
        </w:tc>
        <w:tc>
          <w:tcPr>
            <w:tcW w:w="5328" w:type="dxa"/>
          </w:tcPr>
          <w:p w14:paraId="2D8F187B" w14:textId="77777777" w:rsidR="00EA7570" w:rsidRPr="0047280D" w:rsidRDefault="00C4506A">
            <w:pPr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La regla de $15,000 MXN como política del dominio</w:t>
            </w:r>
          </w:p>
        </w:tc>
        <w:tc>
          <w:tcPr>
            <w:tcW w:w="1296" w:type="dxa"/>
          </w:tcPr>
          <w:p w14:paraId="65AB0504" w14:textId="77777777" w:rsidR="00EA7570" w:rsidRDefault="00C4506A">
            <w:proofErr w:type="spellStart"/>
            <w:r>
              <w:rPr>
                <w:sz w:val="19"/>
              </w:rPr>
              <w:t>Aceptada</w:t>
            </w:r>
            <w:proofErr w:type="spellEnd"/>
          </w:p>
        </w:tc>
        <w:tc>
          <w:tcPr>
            <w:tcW w:w="2016" w:type="dxa"/>
          </w:tcPr>
          <w:p w14:paraId="6CEC5E97" w14:textId="77777777" w:rsidR="00EA7570" w:rsidRDefault="00C4506A">
            <w:r>
              <w:rPr>
                <w:sz w:val="19"/>
              </w:rPr>
              <w:t>N-04, US-005, CA-007</w:t>
            </w:r>
          </w:p>
        </w:tc>
      </w:tr>
    </w:tbl>
    <w:p w14:paraId="6741BA75" w14:textId="77777777" w:rsidR="00EA7570" w:rsidRDefault="00C4506A">
      <w:r>
        <w:br w:type="page"/>
      </w:r>
    </w:p>
    <w:p w14:paraId="5F9B001B" w14:textId="77777777" w:rsidR="00EA7570" w:rsidRPr="0047280D" w:rsidRDefault="00C4506A">
      <w:pPr>
        <w:pStyle w:val="Ttulo1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lastRenderedPageBreak/>
        <w:t>ADR-001 — Domain Model como patrón de lógica de negocio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EA7570" w14:paraId="4D6DF127" w14:textId="77777777" w:rsidTr="0047280D">
        <w:trPr>
          <w:jc w:val="center"/>
        </w:trPr>
        <w:tc>
          <w:tcPr>
            <w:tcW w:w="1944" w:type="dxa"/>
            <w:shd w:val="clear" w:color="auto" w:fill="548DD4" w:themeFill="text2" w:themeFillTint="99"/>
          </w:tcPr>
          <w:p w14:paraId="585FF156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92" w:type="dxa"/>
            <w:shd w:val="clear" w:color="auto" w:fill="548DD4" w:themeFill="text2" w:themeFillTint="99"/>
          </w:tcPr>
          <w:p w14:paraId="73BA4ECD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A7570" w:rsidRPr="0047280D" w14:paraId="6434A6FA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DC9478D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w="7992" w:type="dxa"/>
          </w:tcPr>
          <w:p w14:paraId="7DCAB2A7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Usar Domain Model para el lado de escritura del proceso principal</w:t>
            </w:r>
          </w:p>
        </w:tc>
      </w:tr>
      <w:tr w:rsidR="00EA7570" w14:paraId="6C1CF714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52F6BDD4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92" w:type="dxa"/>
          </w:tcPr>
          <w:p w14:paraId="5EDD5544" w14:textId="77777777" w:rsidR="00EA7570" w:rsidRDefault="00C4506A">
            <w:pPr>
              <w:spacing w:after="60"/>
            </w:pPr>
            <w:r>
              <w:rPr>
                <w:sz w:val="19"/>
              </w:rPr>
              <w:t>Aceptada</w:t>
            </w:r>
          </w:p>
        </w:tc>
      </w:tr>
      <w:tr w:rsidR="00EA7570" w14:paraId="2E3BAC8B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E3FB141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992" w:type="dxa"/>
          </w:tcPr>
          <w:p w14:paraId="5C7FCF2C" w14:textId="77777777" w:rsidR="00EA7570" w:rsidRDefault="00C4506A">
            <w:pPr>
              <w:spacing w:after="60"/>
            </w:pPr>
            <w:r w:rsidRPr="0047280D">
              <w:rPr>
                <w:sz w:val="19"/>
                <w:lang w:val="es-MX"/>
              </w:rPr>
              <w:t xml:space="preserve">El proceso cotización → autorización → refacciones → entrega tiene 12 estados de orden y 6 de cotización (Glosario, «Estados del sistema»), nueve restricciones de proceso (BRD) y criterios de rechazo explícitos (CA-007, CA-009, CA-012, CA-020, CA-029, CA-042). Varias reglas dependen del estado y cruzan conceptos (cotización, orden, cliente). </w:t>
            </w:r>
            <w:r>
              <w:rPr>
                <w:sz w:val="19"/>
              </w:rPr>
              <w:t xml:space="preserve">Es un </w:t>
            </w:r>
            <w:proofErr w:type="spellStart"/>
            <w:r>
              <w:rPr>
                <w:sz w:val="19"/>
              </w:rPr>
              <w:t>proyecto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universitario</w:t>
            </w:r>
            <w:proofErr w:type="spellEnd"/>
            <w:r>
              <w:rPr>
                <w:sz w:val="19"/>
              </w:rPr>
              <w:t xml:space="preserve"> con alcance acotado.</w:t>
            </w:r>
          </w:p>
        </w:tc>
      </w:tr>
      <w:tr w:rsidR="00EA7570" w:rsidRPr="0047280D" w14:paraId="332D6BB5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42571701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Alternativas</w:t>
            </w:r>
          </w:p>
        </w:tc>
        <w:tc>
          <w:tcPr>
            <w:tcW w:w="7992" w:type="dxa"/>
          </w:tcPr>
          <w:p w14:paraId="221A5848" w14:textId="77777777" w:rsidR="00EA7570" w:rsidRPr="0047280D" w:rsidRDefault="00C4506A">
            <w:pPr>
              <w:spacing w:after="60"/>
              <w:rPr>
                <w:lang w:val="es-MX"/>
              </w:rPr>
            </w:pPr>
            <w:proofErr w:type="spellStart"/>
            <w:r w:rsidRPr="0047280D">
              <w:rPr>
                <w:b/>
                <w:sz w:val="19"/>
                <w:lang w:val="es-MX"/>
              </w:rPr>
              <w:t>Transaction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Script:</w:t>
            </w:r>
            <w:r w:rsidRPr="0047280D">
              <w:rPr>
                <w:sz w:val="19"/>
                <w:lang w:val="es-MX"/>
              </w:rPr>
              <w:t xml:space="preserve"> el más rápido, pero repetiría las validaciones de estado en cada caso de uso y no impediría que una función se salte una regla.</w:t>
            </w:r>
          </w:p>
          <w:p w14:paraId="67B9909B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Table Module:</w:t>
            </w:r>
            <w:r w:rsidRPr="0047280D">
              <w:rPr>
                <w:sz w:val="19"/>
                <w:lang w:val="es-MX"/>
              </w:rPr>
              <w:t xml:space="preserve"> agrupa por tabla, pero las reglas que cruzan orden, cotización y cliente no tienen un lugar natural.</w:t>
            </w:r>
          </w:p>
          <w:p w14:paraId="54ED6AF7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Domain Model:</w:t>
            </w:r>
            <w:r w:rsidRPr="0047280D">
              <w:rPr>
                <w:sz w:val="19"/>
                <w:lang w:val="es-MX"/>
              </w:rPr>
              <w:t xml:space="preserve"> cada regla vive en el objeto que protege sus datos; requiere más clases.</w:t>
            </w:r>
          </w:p>
        </w:tc>
      </w:tr>
      <w:tr w:rsidR="00EA7570" w:rsidRPr="0047280D" w14:paraId="7C5AEA5F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7089E0C2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7992" w:type="dxa"/>
          </w:tcPr>
          <w:p w14:paraId="748062CB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Domain Model para los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Orden de Servicio, Cotización y Cliente. Las consultas de lectura (CQRS </w:t>
            </w:r>
            <w:proofErr w:type="spellStart"/>
            <w:r w:rsidRPr="0047280D">
              <w:rPr>
                <w:sz w:val="19"/>
                <w:lang w:val="es-MX"/>
              </w:rPr>
              <w:t>Queries</w:t>
            </w:r>
            <w:proofErr w:type="spellEnd"/>
            <w:r w:rsidRPr="0047280D">
              <w:rPr>
                <w:sz w:val="19"/>
                <w:lang w:val="es-MX"/>
              </w:rPr>
              <w:t xml:space="preserve">) se resuelven con un lector simple, al estilo </w:t>
            </w:r>
            <w:proofErr w:type="spellStart"/>
            <w:r w:rsidRPr="0047280D">
              <w:rPr>
                <w:sz w:val="19"/>
                <w:lang w:val="es-MX"/>
              </w:rPr>
              <w:t>Transaction</w:t>
            </w:r>
            <w:proofErr w:type="spellEnd"/>
            <w:r w:rsidRPr="0047280D">
              <w:rPr>
                <w:sz w:val="19"/>
                <w:lang w:val="es-MX"/>
              </w:rPr>
              <w:t xml:space="preserve"> Script, porque solo arman vistas.</w:t>
            </w:r>
          </w:p>
        </w:tc>
      </w:tr>
      <w:tr w:rsidR="00EA7570" w:rsidRPr="0047280D" w14:paraId="65B016B2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46DE3C9E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Consecuencias</w:t>
            </w:r>
            <w:proofErr w:type="spellEnd"/>
          </w:p>
        </w:tc>
        <w:tc>
          <w:tcPr>
            <w:tcW w:w="7992" w:type="dxa"/>
          </w:tcPr>
          <w:p w14:paraId="56C847D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Las reglas se escriben una sola vez y se prueban sin base de datos (20 pruebas).</w:t>
            </w:r>
          </w:p>
          <w:p w14:paraId="5C79307D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Los nombres del código son los del Glosario.</w:t>
            </w:r>
          </w:p>
          <w:p w14:paraId="3046116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(−) Más clases y mapeo entre los datos de entrada y el dominio.</w:t>
            </w:r>
          </w:p>
          <w:p w14:paraId="0B15E4F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(−) CU-03 modifica dos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y necesita Unidad de Trabajo (ADR-002).</w:t>
            </w:r>
          </w:p>
          <w:p w14:paraId="61FDEE6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Trabajo posterior: extender el modelo a recepción, diagnóstico y caja.</w:t>
            </w:r>
          </w:p>
        </w:tc>
      </w:tr>
      <w:tr w:rsidR="00EA7570" w14:paraId="644F2484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F63A1BA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Trazabilidad</w:t>
            </w:r>
            <w:proofErr w:type="spellEnd"/>
          </w:p>
        </w:tc>
        <w:tc>
          <w:tcPr>
            <w:tcW w:w="7992" w:type="dxa"/>
          </w:tcPr>
          <w:p w14:paraId="1C40281A" w14:textId="77777777" w:rsidR="00EA7570" w:rsidRDefault="00C4506A">
            <w:pPr>
              <w:spacing w:after="60"/>
            </w:pPr>
            <w:r>
              <w:rPr>
                <w:sz w:val="19"/>
              </w:rPr>
              <w:t>N-02, N-03, N-04, N-07, N-10, N-11 · US-004, US-005, US-006, US-010, US-016, US-024 · CA-005, CA-007, CA-010, CA-020, CA-029, CA-042 · BPMN Fases 2 a 6</w:t>
            </w:r>
          </w:p>
        </w:tc>
      </w:tr>
    </w:tbl>
    <w:p w14:paraId="4B38C933" w14:textId="77777777" w:rsidR="00EA7570" w:rsidRDefault="00C4506A">
      <w:r>
        <w:br w:type="page"/>
      </w:r>
    </w:p>
    <w:p w14:paraId="5C8B7CEC" w14:textId="77777777" w:rsidR="00EA7570" w:rsidRPr="0047280D" w:rsidRDefault="00C4506A">
      <w:pPr>
        <w:pStyle w:val="Ttulo1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lastRenderedPageBreak/>
        <w:t xml:space="preserve">ADR-002 — Límites de los </w:t>
      </w:r>
      <w:proofErr w:type="spellStart"/>
      <w:r w:rsidRPr="0047280D">
        <w:rPr>
          <w:color w:val="000000" w:themeColor="text1"/>
          <w:lang w:val="es-MX"/>
        </w:rPr>
        <w:t>Aggregates</w:t>
      </w:r>
      <w:proofErr w:type="spellEnd"/>
      <w:r w:rsidRPr="0047280D">
        <w:rPr>
          <w:color w:val="000000" w:themeColor="text1"/>
          <w:lang w:val="es-MX"/>
        </w:rPr>
        <w:t xml:space="preserve"> y Unidad de Trabajo para CU-03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EA7570" w14:paraId="365F4B13" w14:textId="77777777" w:rsidTr="0047280D">
        <w:trPr>
          <w:jc w:val="center"/>
        </w:trPr>
        <w:tc>
          <w:tcPr>
            <w:tcW w:w="1944" w:type="dxa"/>
            <w:shd w:val="clear" w:color="auto" w:fill="548DD4" w:themeFill="text2" w:themeFillTint="99"/>
          </w:tcPr>
          <w:p w14:paraId="6E4449F1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92" w:type="dxa"/>
            <w:shd w:val="clear" w:color="auto" w:fill="548DD4" w:themeFill="text2" w:themeFillTint="99"/>
          </w:tcPr>
          <w:p w14:paraId="4CD58515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A7570" w:rsidRPr="0047280D" w14:paraId="6258FF58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0CFE695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w="7992" w:type="dxa"/>
          </w:tcPr>
          <w:p w14:paraId="42CD8AF7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Orden de Servicio y Cotización como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separados; la Solicitud de Compra dentro de la Orden</w:t>
            </w:r>
          </w:p>
        </w:tc>
      </w:tr>
      <w:tr w:rsidR="00EA7570" w14:paraId="251AA21E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B48C191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92" w:type="dxa"/>
          </w:tcPr>
          <w:p w14:paraId="01368F0D" w14:textId="77777777" w:rsidR="00EA7570" w:rsidRDefault="00C4506A">
            <w:pPr>
              <w:spacing w:after="60"/>
            </w:pPr>
            <w:r>
              <w:rPr>
                <w:sz w:val="19"/>
              </w:rPr>
              <w:t>Aceptada</w:t>
            </w:r>
          </w:p>
        </w:tc>
      </w:tr>
      <w:tr w:rsidR="00EA7570" w:rsidRPr="0047280D" w14:paraId="0A9D95E1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9CA1BD0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992" w:type="dxa"/>
          </w:tcPr>
          <w:p w14:paraId="2999C16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Una orden puede tener varias cotizaciones (inicial v.1 y adicionales v.2+; US-009). El Gerente revisa cotizaciones sin tocar la orden (US-005). La decisión del cliente cambia la cotización y crea los trabajos de la orden (CA-010). La orden debe estar «En Espera de Refacción» mientras exista una solicitud «Solicitada» (CA-019, CA-022).</w:t>
            </w:r>
          </w:p>
        </w:tc>
      </w:tr>
      <w:tr w:rsidR="00EA7570" w:rsidRPr="0047280D" w14:paraId="7C066417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5A8B8176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Alternativas</w:t>
            </w:r>
            <w:proofErr w:type="spellEnd"/>
          </w:p>
        </w:tc>
        <w:tc>
          <w:tcPr>
            <w:tcW w:w="7992" w:type="dxa"/>
          </w:tcPr>
          <w:p w14:paraId="34F26E36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 xml:space="preserve">A) Un solo </w:t>
            </w:r>
            <w:proofErr w:type="spellStart"/>
            <w:r w:rsidRPr="0047280D">
              <w:rPr>
                <w:b/>
                <w:sz w:val="19"/>
                <w:lang w:val="es-MX"/>
              </w:rPr>
              <w:t>Aggregate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Orden con sus cotizaciones dentro:</w:t>
            </w:r>
            <w:r w:rsidRPr="0047280D">
              <w:rPr>
                <w:sz w:val="19"/>
                <w:lang w:val="es-MX"/>
              </w:rPr>
              <w:t xml:space="preserve"> consistencia total, pero un objeto enorme y el Gerente tendría que cargar toda la orden.</w:t>
            </w:r>
          </w:p>
          <w:p w14:paraId="537AE3C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 xml:space="preserve">B) Cotización separada y Solicitud de Compra como </w:t>
            </w:r>
            <w:proofErr w:type="spellStart"/>
            <w:r w:rsidRPr="0047280D">
              <w:rPr>
                <w:b/>
                <w:sz w:val="19"/>
                <w:lang w:val="es-MX"/>
              </w:rPr>
              <w:t>Aggregate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propio:</w:t>
            </w:r>
            <w:r w:rsidRPr="0047280D">
              <w:rPr>
                <w:sz w:val="19"/>
                <w:lang w:val="es-MX"/>
              </w:rPr>
              <w:t xml:space="preserve"> Compras independiente, pero el invariante de «En Espera de Refacción» quedaría entre dos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>.</w:t>
            </w:r>
          </w:p>
          <w:p w14:paraId="2C816B8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C) Cotización separada y Solicitud dentro de la Orden (elegida).</w:t>
            </w:r>
          </w:p>
        </w:tc>
      </w:tr>
      <w:tr w:rsidR="00EA7570" w:rsidRPr="0047280D" w14:paraId="131439C7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1C3ACEF4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7992" w:type="dxa"/>
          </w:tcPr>
          <w:p w14:paraId="17221F37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Opción C. La relación entre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es solo por identidad (</w:t>
            </w:r>
            <w:proofErr w:type="spellStart"/>
            <w:r w:rsidRPr="0047280D">
              <w:rPr>
                <w:sz w:val="19"/>
                <w:lang w:val="es-MX"/>
              </w:rPr>
              <w:t>numero_orden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id_cliente</w:t>
            </w:r>
            <w:proofErr w:type="spellEnd"/>
            <w:r w:rsidRPr="0047280D">
              <w:rPr>
                <w:sz w:val="19"/>
                <w:lang w:val="es-MX"/>
              </w:rPr>
              <w:t xml:space="preserve">). Cuando un caso de uso modifica dos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 xml:space="preserve"> (CU-03, y CU-01 al crear la cotización y marcar la orden), ambos cambios se confirman en la misma Unidad de Trabajo.</w:t>
            </w:r>
          </w:p>
        </w:tc>
      </w:tr>
      <w:tr w:rsidR="00EA7570" w:rsidRPr="0047280D" w14:paraId="12F582B7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9F954FF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Consecuencias</w:t>
            </w:r>
            <w:proofErr w:type="spellEnd"/>
          </w:p>
        </w:tc>
        <w:tc>
          <w:tcPr>
            <w:tcW w:w="7992" w:type="dxa"/>
          </w:tcPr>
          <w:p w14:paraId="3D3E7BFA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(+) Cada </w:t>
            </w:r>
            <w:proofErr w:type="spellStart"/>
            <w:r w:rsidRPr="0047280D">
              <w:rPr>
                <w:sz w:val="19"/>
                <w:lang w:val="es-MX"/>
              </w:rPr>
              <w:t>Aggregate</w:t>
            </w:r>
            <w:proofErr w:type="spellEnd"/>
            <w:r w:rsidRPr="0047280D">
              <w:rPr>
                <w:sz w:val="19"/>
                <w:lang w:val="es-MX"/>
              </w:rPr>
              <w:t xml:space="preserve"> es pequeño y protege sus invariantes.</w:t>
            </w:r>
          </w:p>
          <w:p w14:paraId="2126E84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La regla de la espera de refacciones se cumple en una sola transacción.</w:t>
            </w:r>
          </w:p>
          <w:p w14:paraId="6CA9F06A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(−) CU-03 rompe la recomendación de «un </w:t>
            </w:r>
            <w:proofErr w:type="spellStart"/>
            <w:r w:rsidRPr="0047280D">
              <w:rPr>
                <w:sz w:val="19"/>
                <w:lang w:val="es-MX"/>
              </w:rPr>
              <w:t>Aggregate</w:t>
            </w:r>
            <w:proofErr w:type="spellEnd"/>
            <w:r w:rsidRPr="0047280D">
              <w:rPr>
                <w:sz w:val="19"/>
                <w:lang w:val="es-MX"/>
              </w:rPr>
              <w:t xml:space="preserve"> por transacción»; lo aceptamos porque el BRD exige evidencia consistente de la autorización (CE-01) y la Unidad de Trabajo lo garantiza (prueba test_ca029_en_flotilla_el_conductor_no_puede_autorizar).</w:t>
            </w:r>
          </w:p>
          <w:p w14:paraId="4E78FFAE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(−) Compras consulta las solicitudes a través del lector, no de un repositorio propio.</w:t>
            </w:r>
          </w:p>
        </w:tc>
      </w:tr>
      <w:tr w:rsidR="00EA7570" w14:paraId="192A6FD7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6FA46B69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Trazabilidad</w:t>
            </w:r>
            <w:proofErr w:type="spellEnd"/>
          </w:p>
        </w:tc>
        <w:tc>
          <w:tcPr>
            <w:tcW w:w="7992" w:type="dxa"/>
          </w:tcPr>
          <w:p w14:paraId="11B99F8C" w14:textId="77777777" w:rsidR="00EA7570" w:rsidRDefault="00C4506A">
            <w:pPr>
              <w:spacing w:after="60"/>
            </w:pPr>
            <w:r>
              <w:rPr>
                <w:sz w:val="19"/>
              </w:rPr>
              <w:t>N-03, N-06, N-10 · US-006, US-009, US-010, US-011 · CA-010, CA-019, CA-022 · BPMN Fases 3 y 4</w:t>
            </w:r>
          </w:p>
        </w:tc>
      </w:tr>
    </w:tbl>
    <w:p w14:paraId="0C114481" w14:textId="77777777" w:rsidR="00EA7570" w:rsidRDefault="00C4506A">
      <w:r>
        <w:br w:type="page"/>
      </w:r>
    </w:p>
    <w:p w14:paraId="0D7DC196" w14:textId="77777777" w:rsidR="00EA7570" w:rsidRPr="0047280D" w:rsidRDefault="00C4506A">
      <w:pPr>
        <w:pStyle w:val="Ttulo1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lastRenderedPageBreak/>
        <w:t>ADR-003 — Service Layer por caso de uso y CQRS básico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EA7570" w14:paraId="0B58CF7F" w14:textId="77777777" w:rsidTr="0047280D">
        <w:trPr>
          <w:jc w:val="center"/>
        </w:trPr>
        <w:tc>
          <w:tcPr>
            <w:tcW w:w="1944" w:type="dxa"/>
            <w:shd w:val="clear" w:color="auto" w:fill="548DD4" w:themeFill="text2" w:themeFillTint="99"/>
          </w:tcPr>
          <w:p w14:paraId="2C785E3A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92" w:type="dxa"/>
            <w:shd w:val="clear" w:color="auto" w:fill="548DD4" w:themeFill="text2" w:themeFillTint="99"/>
          </w:tcPr>
          <w:p w14:paraId="20C39C88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A7570" w:rsidRPr="0047280D" w14:paraId="7B00A78D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691CF68D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w="7992" w:type="dxa"/>
          </w:tcPr>
          <w:p w14:paraId="172B8100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Un </w:t>
            </w:r>
            <w:proofErr w:type="spellStart"/>
            <w:r w:rsidRPr="0047280D">
              <w:rPr>
                <w:sz w:val="19"/>
                <w:lang w:val="es-MX"/>
              </w:rPr>
              <w:t>Application</w:t>
            </w:r>
            <w:proofErr w:type="spellEnd"/>
            <w:r w:rsidRPr="0047280D">
              <w:rPr>
                <w:sz w:val="19"/>
                <w:lang w:val="es-MX"/>
              </w:rPr>
              <w:t xml:space="preserve"> Service por caso de uso; </w:t>
            </w:r>
            <w:proofErr w:type="spellStart"/>
            <w:r w:rsidRPr="0047280D">
              <w:rPr>
                <w:sz w:val="19"/>
                <w:lang w:val="es-MX"/>
              </w:rPr>
              <w:t>Commands</w:t>
            </w:r>
            <w:proofErr w:type="spellEnd"/>
            <w:r w:rsidRPr="0047280D">
              <w:rPr>
                <w:sz w:val="19"/>
                <w:lang w:val="es-MX"/>
              </w:rPr>
              <w:t xml:space="preserve"> y </w:t>
            </w:r>
            <w:proofErr w:type="spellStart"/>
            <w:r w:rsidRPr="0047280D">
              <w:rPr>
                <w:sz w:val="19"/>
                <w:lang w:val="es-MX"/>
              </w:rPr>
              <w:t>Queries</w:t>
            </w:r>
            <w:proofErr w:type="spellEnd"/>
            <w:r w:rsidRPr="0047280D">
              <w:rPr>
                <w:sz w:val="19"/>
                <w:lang w:val="es-MX"/>
              </w:rPr>
              <w:t xml:space="preserve"> separados sin bases de datos distintas</w:t>
            </w:r>
          </w:p>
        </w:tc>
      </w:tr>
      <w:tr w:rsidR="00EA7570" w14:paraId="72739C2C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6328C228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92" w:type="dxa"/>
          </w:tcPr>
          <w:p w14:paraId="2DAD7523" w14:textId="77777777" w:rsidR="00EA7570" w:rsidRDefault="00C4506A">
            <w:pPr>
              <w:spacing w:after="60"/>
            </w:pPr>
            <w:r>
              <w:rPr>
                <w:sz w:val="19"/>
              </w:rPr>
              <w:t>Aceptada</w:t>
            </w:r>
          </w:p>
        </w:tc>
      </w:tr>
      <w:tr w:rsidR="00EA7570" w:rsidRPr="0047280D" w14:paraId="0DE20258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583B49BB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992" w:type="dxa"/>
          </w:tcPr>
          <w:p w14:paraId="75886D9C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Los cinco casos de uso tienen actores distintos (Asesor, Gerente, Técnico). Los paneles de Compras, del Gerente y la consulta del cliente (US-011, US-005, US-021) solo leen y cruzan varias órdenes. La guía pide que la Service Layer coordine sin absorber reglas.</w:t>
            </w:r>
          </w:p>
        </w:tc>
      </w:tr>
      <w:tr w:rsidR="00EA7570" w:rsidRPr="0047280D" w14:paraId="567451CE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3280A96F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Alternativas</w:t>
            </w:r>
            <w:proofErr w:type="spellEnd"/>
          </w:p>
        </w:tc>
        <w:tc>
          <w:tcPr>
            <w:tcW w:w="7992" w:type="dxa"/>
          </w:tcPr>
          <w:p w14:paraId="0CF0DB66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Un único ServicioDeOrdenes:</w:t>
            </w:r>
            <w:r w:rsidRPr="0047280D">
              <w:rPr>
                <w:sz w:val="19"/>
                <w:lang w:val="es-MX"/>
              </w:rPr>
              <w:t xml:space="preserve"> menos archivos, pero mezcla actores y crece sin control.</w:t>
            </w:r>
          </w:p>
          <w:p w14:paraId="0F1D83E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Reglas en los servicios (</w:t>
            </w:r>
            <w:proofErr w:type="spellStart"/>
            <w:r w:rsidRPr="0047280D">
              <w:rPr>
                <w:b/>
                <w:sz w:val="19"/>
                <w:lang w:val="es-MX"/>
              </w:rPr>
              <w:t>Transaction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Script disfrazado):</w:t>
            </w:r>
            <w:r w:rsidRPr="0047280D">
              <w:rPr>
                <w:sz w:val="19"/>
                <w:lang w:val="es-MX"/>
              </w:rPr>
              <w:t xml:space="preserve"> contradice ADR-001.</w:t>
            </w:r>
          </w:p>
          <w:p w14:paraId="7A597F4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CQRS completo con base de lectura separada:</w:t>
            </w:r>
            <w:r w:rsidRPr="0047280D">
              <w:rPr>
                <w:sz w:val="19"/>
                <w:lang w:val="es-MX"/>
              </w:rPr>
              <w:t xml:space="preserve"> excesivo para el volumen de un taller.</w:t>
            </w:r>
          </w:p>
        </w:tc>
      </w:tr>
      <w:tr w:rsidR="00EA7570" w14:paraId="0225C359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477340A6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7992" w:type="dxa"/>
          </w:tcPr>
          <w:p w14:paraId="2B8400F7" w14:textId="77777777" w:rsidR="00EA7570" w:rsidRDefault="00C4506A">
            <w:pPr>
              <w:spacing w:after="60"/>
            </w:pPr>
            <w:r w:rsidRPr="0047280D">
              <w:rPr>
                <w:sz w:val="19"/>
                <w:lang w:val="es-MX"/>
              </w:rPr>
              <w:t>Cinco servicios (</w:t>
            </w:r>
            <w:proofErr w:type="spellStart"/>
            <w:r w:rsidRPr="0047280D">
              <w:rPr>
                <w:sz w:val="19"/>
                <w:lang w:val="es-MX"/>
              </w:rPr>
              <w:t>ServicioDeCotizacion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ServicioDeAprobacionGerencial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ServicioDeAutorizacion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ServicioDeRefacciones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ServicioDeEntrega</w:t>
            </w:r>
            <w:proofErr w:type="spellEnd"/>
            <w:r w:rsidRPr="0047280D">
              <w:rPr>
                <w:sz w:val="19"/>
                <w:lang w:val="es-MX"/>
              </w:rPr>
              <w:t xml:space="preserve">), cada uno con un método que recibe un Command. Las consultas usan </w:t>
            </w:r>
            <w:proofErr w:type="spellStart"/>
            <w:r w:rsidRPr="0047280D">
              <w:rPr>
                <w:sz w:val="19"/>
                <w:lang w:val="es-MX"/>
              </w:rPr>
              <w:t>Queries</w:t>
            </w:r>
            <w:proofErr w:type="spellEnd"/>
            <w:r w:rsidRPr="0047280D">
              <w:rPr>
                <w:sz w:val="19"/>
                <w:lang w:val="es-MX"/>
              </w:rPr>
              <w:t xml:space="preserve"> con su manejador y la interfaz </w:t>
            </w:r>
            <w:proofErr w:type="spellStart"/>
            <w:r w:rsidRPr="0047280D">
              <w:rPr>
                <w:sz w:val="19"/>
                <w:lang w:val="es-MX"/>
              </w:rPr>
              <w:t>LectorDeOrdenes</w:t>
            </w:r>
            <w:proofErr w:type="spellEnd"/>
            <w:r w:rsidRPr="0047280D">
              <w:rPr>
                <w:sz w:val="19"/>
                <w:lang w:val="es-MX"/>
              </w:rPr>
              <w:t xml:space="preserve">, y devuelven vistas (DTO) propias. </w:t>
            </w:r>
            <w:proofErr w:type="spellStart"/>
            <w:r>
              <w:rPr>
                <w:sz w:val="19"/>
              </w:rPr>
              <w:t>Mismo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almacenamiento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lectura</w:t>
            </w:r>
            <w:proofErr w:type="spellEnd"/>
            <w:r>
              <w:rPr>
                <w:sz w:val="19"/>
              </w:rPr>
              <w:t xml:space="preserve"> y escritura.</w:t>
            </w:r>
          </w:p>
        </w:tc>
      </w:tr>
      <w:tr w:rsidR="00EA7570" w:rsidRPr="0047280D" w14:paraId="488BC3B1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7DC3E8F9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Consecuencias</w:t>
            </w:r>
          </w:p>
        </w:tc>
        <w:tc>
          <w:tcPr>
            <w:tcW w:w="7992" w:type="dxa"/>
          </w:tcPr>
          <w:p w14:paraId="5FCD88C6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Cada servicio tiene una sola razón para cambiar (SOLID-S).</w:t>
            </w:r>
          </w:p>
          <w:p w14:paraId="6B050F7C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(+) Las vistas no exponen los </w:t>
            </w:r>
            <w:proofErr w:type="spellStart"/>
            <w:r w:rsidRPr="0047280D">
              <w:rPr>
                <w:sz w:val="19"/>
                <w:lang w:val="es-MX"/>
              </w:rPr>
              <w:t>Aggregates</w:t>
            </w:r>
            <w:proofErr w:type="spellEnd"/>
            <w:r w:rsidRPr="0047280D">
              <w:rPr>
                <w:sz w:val="19"/>
                <w:lang w:val="es-MX"/>
              </w:rPr>
              <w:t>; la consulta del cliente no revela datos si el folio y las placas no coinciden (CA-038).</w:t>
            </w:r>
          </w:p>
          <w:p w14:paraId="3C2FF60B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(−) Más clases pequeñas.</w:t>
            </w:r>
          </w:p>
          <w:p w14:paraId="16FED05A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Trabajo posterior: agregar las consultas del Gerente (US-017, US-018) al mismo lector.</w:t>
            </w:r>
          </w:p>
        </w:tc>
      </w:tr>
      <w:tr w:rsidR="00EA7570" w14:paraId="7E5115FC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34DF4394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Trazabilidad</w:t>
            </w:r>
            <w:proofErr w:type="spellEnd"/>
          </w:p>
        </w:tc>
        <w:tc>
          <w:tcPr>
            <w:tcW w:w="7992" w:type="dxa"/>
          </w:tcPr>
          <w:p w14:paraId="74305C47" w14:textId="77777777" w:rsidR="00EA7570" w:rsidRDefault="00C4506A">
            <w:pPr>
              <w:spacing w:after="60"/>
            </w:pPr>
            <w:r>
              <w:rPr>
                <w:sz w:val="19"/>
              </w:rPr>
              <w:t>N-02 a N-05, N-08, N-10, N-13 · US-005, US-011, US-017, US-018, US-021 · CA-007, CA-021, CA-037, CA-038</w:t>
            </w:r>
          </w:p>
        </w:tc>
      </w:tr>
    </w:tbl>
    <w:p w14:paraId="07C5710B" w14:textId="77777777" w:rsidR="00EA7570" w:rsidRDefault="00C4506A">
      <w:r>
        <w:br w:type="page"/>
      </w:r>
    </w:p>
    <w:p w14:paraId="3C8E564A" w14:textId="77777777" w:rsidR="00EA7570" w:rsidRPr="0047280D" w:rsidRDefault="00C4506A">
      <w:pPr>
        <w:pStyle w:val="Ttulo1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lastRenderedPageBreak/>
        <w:t xml:space="preserve">ADR-004 — </w:t>
      </w:r>
      <w:proofErr w:type="spellStart"/>
      <w:r w:rsidRPr="0047280D">
        <w:rPr>
          <w:color w:val="000000" w:themeColor="text1"/>
          <w:lang w:val="es-MX"/>
        </w:rPr>
        <w:t>Repository</w:t>
      </w:r>
      <w:proofErr w:type="spellEnd"/>
      <w:r w:rsidRPr="0047280D">
        <w:rPr>
          <w:color w:val="000000" w:themeColor="text1"/>
          <w:lang w:val="es-MX"/>
        </w:rPr>
        <w:t xml:space="preserve"> en términos del dominio; persistencia en memoria en esta fase y base de datos del Data Center en el proyecto final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EA7570" w14:paraId="1E5B182B" w14:textId="77777777" w:rsidTr="0047280D">
        <w:trPr>
          <w:jc w:val="center"/>
        </w:trPr>
        <w:tc>
          <w:tcPr>
            <w:tcW w:w="1944" w:type="dxa"/>
            <w:shd w:val="clear" w:color="auto" w:fill="548DD4" w:themeFill="text2" w:themeFillTint="99"/>
          </w:tcPr>
          <w:p w14:paraId="3B911D90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92" w:type="dxa"/>
            <w:shd w:val="clear" w:color="auto" w:fill="548DD4" w:themeFill="text2" w:themeFillTint="99"/>
          </w:tcPr>
          <w:p w14:paraId="4927FE7F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A7570" w:rsidRPr="0047280D" w14:paraId="185838B4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7BAEEC8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w="7992" w:type="dxa"/>
          </w:tcPr>
          <w:p w14:paraId="49673B3C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Interfaces de </w:t>
            </w:r>
            <w:proofErr w:type="spellStart"/>
            <w:r w:rsidRPr="0047280D">
              <w:rPr>
                <w:sz w:val="19"/>
                <w:lang w:val="es-MX"/>
              </w:rPr>
              <w:t>Repository</w:t>
            </w:r>
            <w:proofErr w:type="spellEnd"/>
            <w:r w:rsidRPr="0047280D">
              <w:rPr>
                <w:sz w:val="19"/>
                <w:lang w:val="es-MX"/>
              </w:rPr>
              <w:t xml:space="preserve"> en el dominio; implementación en memoria para validar el diseño; la base de datos del Data Center en la implementación</w:t>
            </w:r>
          </w:p>
        </w:tc>
      </w:tr>
      <w:tr w:rsidR="00EA7570" w14:paraId="3DFCAF12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B8404F2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92" w:type="dxa"/>
          </w:tcPr>
          <w:p w14:paraId="62BE6A30" w14:textId="77777777" w:rsidR="00EA7570" w:rsidRDefault="00C4506A">
            <w:pPr>
              <w:spacing w:after="60"/>
            </w:pPr>
            <w:r>
              <w:rPr>
                <w:sz w:val="19"/>
              </w:rPr>
              <w:t>Aceptada</w:t>
            </w:r>
          </w:p>
        </w:tc>
      </w:tr>
      <w:tr w:rsidR="00EA7570" w:rsidRPr="0047280D" w14:paraId="6F71C16F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1D51424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992" w:type="dxa"/>
          </w:tcPr>
          <w:p w14:paraId="06727150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El caso es ficticio y la guía indica que en esta unidad no es necesario construir bases de datos. Para el proyecto final, el profesor proporcionará un Data Center; el gestor de base de datos todavía no está definido. El BRD exige guardar digitalmente las autorizaciones (CE-01) y los documentos generados.</w:t>
            </w:r>
          </w:p>
        </w:tc>
      </w:tr>
      <w:tr w:rsidR="00EA7570" w:rsidRPr="0047280D" w14:paraId="184A6732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7A16A214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Alternativas</w:t>
            </w:r>
            <w:proofErr w:type="spellEnd"/>
          </w:p>
        </w:tc>
        <w:tc>
          <w:tcPr>
            <w:tcW w:w="7992" w:type="dxa"/>
          </w:tcPr>
          <w:p w14:paraId="5154C2B0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Elegir ya un gestor y acceder a él desde los servicios:</w:t>
            </w:r>
            <w:r w:rsidRPr="0047280D">
              <w:rPr>
                <w:sz w:val="19"/>
                <w:lang w:val="es-MX"/>
              </w:rPr>
              <w:t xml:space="preserve"> amarra el diseño a una tecnología que aún no conocemos.</w:t>
            </w:r>
          </w:p>
          <w:p w14:paraId="3BBDC9A8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>Usar un ORM dentro del dominio:</w:t>
            </w:r>
            <w:r w:rsidRPr="0047280D">
              <w:rPr>
                <w:sz w:val="19"/>
                <w:lang w:val="es-MX"/>
              </w:rPr>
              <w:t xml:space="preserve"> mezcla las reglas del negocio con detalles del </w:t>
            </w:r>
            <w:proofErr w:type="spellStart"/>
            <w:r w:rsidRPr="0047280D">
              <w:rPr>
                <w:sz w:val="19"/>
                <w:lang w:val="es-MX"/>
              </w:rPr>
              <w:t>framework</w:t>
            </w:r>
            <w:proofErr w:type="spellEnd"/>
            <w:r w:rsidRPr="0047280D">
              <w:rPr>
                <w:sz w:val="19"/>
                <w:lang w:val="es-MX"/>
              </w:rPr>
              <w:t>.</w:t>
            </w:r>
          </w:p>
          <w:p w14:paraId="7AEE0533" w14:textId="77777777" w:rsidR="00EA7570" w:rsidRPr="0047280D" w:rsidRDefault="00C4506A">
            <w:pPr>
              <w:spacing w:after="60"/>
              <w:rPr>
                <w:lang w:val="es-MX"/>
              </w:rPr>
            </w:pPr>
            <w:proofErr w:type="spellStart"/>
            <w:r w:rsidRPr="0047280D">
              <w:rPr>
                <w:b/>
                <w:sz w:val="19"/>
                <w:lang w:val="es-MX"/>
              </w:rPr>
              <w:t>Repository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+ Unidad de Trabajo como interfaces, con implementación en memoria por ahora (elegida).</w:t>
            </w:r>
          </w:p>
        </w:tc>
      </w:tr>
      <w:tr w:rsidR="00EA7570" w:rsidRPr="0047280D" w14:paraId="372E42CF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7965B1C4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7992" w:type="dxa"/>
          </w:tcPr>
          <w:p w14:paraId="4D61ACC8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Los repositorios (</w:t>
            </w:r>
            <w:proofErr w:type="spellStart"/>
            <w:r w:rsidRPr="0047280D">
              <w:rPr>
                <w:sz w:val="19"/>
                <w:lang w:val="es-MX"/>
              </w:rPr>
              <w:t>RepositorioDeOrdenes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RepositorioDeCotizaciones</w:t>
            </w:r>
            <w:proofErr w:type="spellEnd"/>
            <w:r w:rsidRPr="0047280D">
              <w:rPr>
                <w:sz w:val="19"/>
                <w:lang w:val="es-MX"/>
              </w:rPr>
              <w:t xml:space="preserve">, </w:t>
            </w:r>
            <w:proofErr w:type="spellStart"/>
            <w:r w:rsidRPr="0047280D">
              <w:rPr>
                <w:sz w:val="19"/>
                <w:lang w:val="es-MX"/>
              </w:rPr>
              <w:t>RepositorioDeClientes</w:t>
            </w:r>
            <w:proofErr w:type="spellEnd"/>
            <w:r w:rsidRPr="0047280D">
              <w:rPr>
                <w:sz w:val="19"/>
                <w:lang w:val="es-MX"/>
              </w:rPr>
              <w:t xml:space="preserve">) son interfaces del dominio con métodos de negocio (obtener, agregar, guardar, </w:t>
            </w:r>
            <w:proofErr w:type="spellStart"/>
            <w:r w:rsidRPr="0047280D">
              <w:rPr>
                <w:sz w:val="19"/>
                <w:lang w:val="es-MX"/>
              </w:rPr>
              <w:t>siguiente_numero</w:t>
            </w:r>
            <w:proofErr w:type="spellEnd"/>
            <w:r w:rsidRPr="0047280D">
              <w:rPr>
                <w:sz w:val="19"/>
                <w:lang w:val="es-MX"/>
              </w:rPr>
              <w:t>). En esta fase se implementan en memoria. En el proyecto final se crearán implementaciones para la base de datos del Data Center, sin cambiar el dominio ni la aplicación.</w:t>
            </w:r>
          </w:p>
        </w:tc>
      </w:tr>
      <w:tr w:rsidR="00EA7570" w:rsidRPr="0047280D" w14:paraId="2A75CA8E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4C5C3FD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Consecuencias</w:t>
            </w:r>
            <w:proofErr w:type="spellEnd"/>
          </w:p>
        </w:tc>
        <w:tc>
          <w:tcPr>
            <w:tcW w:w="7992" w:type="dxa"/>
          </w:tcPr>
          <w:p w14:paraId="31FC6AA5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El diseño no depende de un gestor que todavía no conocemos.</w:t>
            </w:r>
          </w:p>
          <w:p w14:paraId="3B941C73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Cuando el Data Center esté disponible, solo se agrega código en la capa de infraestructura.</w:t>
            </w:r>
          </w:p>
          <w:p w14:paraId="3C143FD2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(−) En esta fase los datos no se conservan al cerrar el programa; es aceptable porque solo se valida el diseño.</w:t>
            </w:r>
          </w:p>
          <w:p w14:paraId="6FE11F2C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Trabajo posterior: implementar los repositorios del Data Center cumpliendo el mismo contrato (por ejemplo, </w:t>
            </w:r>
            <w:proofErr w:type="gramStart"/>
            <w:r w:rsidRPr="0047280D">
              <w:rPr>
                <w:sz w:val="19"/>
                <w:lang w:val="es-MX"/>
              </w:rPr>
              <w:t>obtener(</w:t>
            </w:r>
            <w:proofErr w:type="gramEnd"/>
            <w:r w:rsidRPr="0047280D">
              <w:rPr>
                <w:sz w:val="19"/>
                <w:lang w:val="es-MX"/>
              </w:rPr>
              <w:t xml:space="preserve">) responde con </w:t>
            </w:r>
            <w:proofErr w:type="spellStart"/>
            <w:r w:rsidRPr="0047280D">
              <w:rPr>
                <w:sz w:val="19"/>
                <w:lang w:val="es-MX"/>
              </w:rPr>
              <w:t>OrdenNoEncontrada</w:t>
            </w:r>
            <w:proofErr w:type="spellEnd"/>
            <w:r w:rsidRPr="0047280D">
              <w:rPr>
                <w:sz w:val="19"/>
                <w:lang w:val="es-MX"/>
              </w:rPr>
              <w:t xml:space="preserve"> si no existe).</w:t>
            </w:r>
          </w:p>
        </w:tc>
      </w:tr>
      <w:tr w:rsidR="00EA7570" w:rsidRPr="0047280D" w14:paraId="3860E06A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03E86EE6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Trazabilidad</w:t>
            </w:r>
            <w:proofErr w:type="spellEnd"/>
          </w:p>
        </w:tc>
        <w:tc>
          <w:tcPr>
            <w:tcW w:w="7992" w:type="dxa"/>
          </w:tcPr>
          <w:p w14:paraId="06F321B5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N-01 a N-03 · CE-01, CE-06 · BRD, Restricciones técnicas (almacenar digitalmente documentos)</w:t>
            </w:r>
          </w:p>
        </w:tc>
      </w:tr>
    </w:tbl>
    <w:p w14:paraId="778E1D2B" w14:textId="77777777" w:rsidR="00EA7570" w:rsidRPr="0047280D" w:rsidRDefault="00C4506A">
      <w:pPr>
        <w:rPr>
          <w:lang w:val="es-MX"/>
        </w:rPr>
      </w:pPr>
      <w:r w:rsidRPr="0047280D">
        <w:rPr>
          <w:lang w:val="es-MX"/>
        </w:rPr>
        <w:br w:type="page"/>
      </w:r>
    </w:p>
    <w:p w14:paraId="2201F295" w14:textId="77777777" w:rsidR="00EA7570" w:rsidRPr="0047280D" w:rsidRDefault="00C4506A">
      <w:pPr>
        <w:pStyle w:val="Ttulo1"/>
        <w:rPr>
          <w:color w:val="000000" w:themeColor="text1"/>
          <w:lang w:val="es-MX"/>
        </w:rPr>
      </w:pPr>
      <w:r w:rsidRPr="0047280D">
        <w:rPr>
          <w:color w:val="000000" w:themeColor="text1"/>
          <w:lang w:val="es-MX"/>
        </w:rPr>
        <w:lastRenderedPageBreak/>
        <w:t>ADR-005 — La regla de $15,000 MXN como política del dominio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EA7570" w14:paraId="2F90ED4F" w14:textId="77777777" w:rsidTr="0047280D">
        <w:trPr>
          <w:jc w:val="center"/>
        </w:trPr>
        <w:tc>
          <w:tcPr>
            <w:tcW w:w="1944" w:type="dxa"/>
            <w:shd w:val="clear" w:color="auto" w:fill="548DD4" w:themeFill="text2" w:themeFillTint="99"/>
          </w:tcPr>
          <w:p w14:paraId="3FC410A0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92" w:type="dxa"/>
            <w:shd w:val="clear" w:color="auto" w:fill="548DD4" w:themeFill="text2" w:themeFillTint="99"/>
          </w:tcPr>
          <w:p w14:paraId="5FBEA370" w14:textId="77777777" w:rsidR="00EA7570" w:rsidRDefault="00C4506A">
            <w:pPr>
              <w:spacing w:after="6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A7570" w:rsidRPr="0047280D" w14:paraId="72EAA8C4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65ECBF92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w="7992" w:type="dxa"/>
          </w:tcPr>
          <w:p w14:paraId="467E3601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Modelar la aprobación gerencial como </w:t>
            </w:r>
            <w:proofErr w:type="spellStart"/>
            <w:r w:rsidRPr="0047280D">
              <w:rPr>
                <w:sz w:val="19"/>
                <w:lang w:val="es-MX"/>
              </w:rPr>
              <w:t>PoliticaDeAprobacionGerencial</w:t>
            </w:r>
            <w:proofErr w:type="spellEnd"/>
            <w:r w:rsidRPr="0047280D">
              <w:rPr>
                <w:sz w:val="19"/>
                <w:lang w:val="es-MX"/>
              </w:rPr>
              <w:t xml:space="preserve"> inyectable</w:t>
            </w:r>
          </w:p>
        </w:tc>
      </w:tr>
      <w:tr w:rsidR="00EA7570" w14:paraId="0641FF15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F595054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92" w:type="dxa"/>
          </w:tcPr>
          <w:p w14:paraId="106B7A5D" w14:textId="77777777" w:rsidR="00EA7570" w:rsidRDefault="00C4506A">
            <w:pPr>
              <w:spacing w:after="60"/>
            </w:pPr>
            <w:r>
              <w:rPr>
                <w:sz w:val="19"/>
              </w:rPr>
              <w:t>Aceptada</w:t>
            </w:r>
          </w:p>
        </w:tc>
      </w:tr>
      <w:tr w:rsidR="00EA7570" w:rsidRPr="0047280D" w14:paraId="77596878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CE36C12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992" w:type="dxa"/>
          </w:tcPr>
          <w:p w14:paraId="2BB5C528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El BRD establece que la cotización inicial mayor a $15,000 MXN requiere aprobación del Gerente antes de presentarse, y en la Unidad 2 se decidió que no aplica a las cotizaciones adicionales. Es la regla con más probabilidad de cambiar (monto o alcance).</w:t>
            </w:r>
          </w:p>
        </w:tc>
      </w:tr>
      <w:tr w:rsidR="00EA7570" w:rsidRPr="0047280D" w14:paraId="63E3C37B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3C09B4BC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Alternativas</w:t>
            </w:r>
            <w:proofErr w:type="spellEnd"/>
          </w:p>
        </w:tc>
        <w:tc>
          <w:tcPr>
            <w:tcW w:w="7992" w:type="dxa"/>
          </w:tcPr>
          <w:p w14:paraId="5B6774ED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 xml:space="preserve">Condicional en </w:t>
            </w:r>
            <w:proofErr w:type="spellStart"/>
            <w:r w:rsidRPr="0047280D">
              <w:rPr>
                <w:b/>
                <w:sz w:val="19"/>
                <w:lang w:val="es-MX"/>
              </w:rPr>
              <w:t>ServicioDeCotizacion</w:t>
            </w:r>
            <w:proofErr w:type="spellEnd"/>
            <w:r w:rsidRPr="0047280D">
              <w:rPr>
                <w:b/>
                <w:sz w:val="19"/>
                <w:lang w:val="es-MX"/>
              </w:rPr>
              <w:t>:</w:t>
            </w:r>
            <w:r w:rsidRPr="0047280D">
              <w:rPr>
                <w:sz w:val="19"/>
                <w:lang w:val="es-MX"/>
              </w:rPr>
              <w:t xml:space="preserve"> la aplicación decidiría el negocio.</w:t>
            </w:r>
          </w:p>
          <w:p w14:paraId="2AFD7FC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 xml:space="preserve">Constante dentro de </w:t>
            </w:r>
            <w:proofErr w:type="spellStart"/>
            <w:r w:rsidRPr="0047280D">
              <w:rPr>
                <w:b/>
                <w:sz w:val="19"/>
                <w:lang w:val="es-MX"/>
              </w:rPr>
              <w:t>Cotizacion</w:t>
            </w:r>
            <w:proofErr w:type="spellEnd"/>
            <w:r w:rsidRPr="0047280D">
              <w:rPr>
                <w:b/>
                <w:sz w:val="19"/>
                <w:lang w:val="es-MX"/>
              </w:rPr>
              <w:t>:</w:t>
            </w:r>
            <w:r w:rsidRPr="0047280D">
              <w:rPr>
                <w:sz w:val="19"/>
                <w:lang w:val="es-MX"/>
              </w:rPr>
              <w:t xml:space="preserve"> funciona, pero cada política nueva edita la clase.</w:t>
            </w:r>
          </w:p>
          <w:p w14:paraId="5A1B499C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b/>
                <w:sz w:val="19"/>
                <w:lang w:val="es-MX"/>
              </w:rPr>
              <w:t xml:space="preserve">Interfaz de política inyectada en </w:t>
            </w:r>
            <w:proofErr w:type="spellStart"/>
            <w:r w:rsidRPr="0047280D">
              <w:rPr>
                <w:b/>
                <w:sz w:val="19"/>
                <w:lang w:val="es-MX"/>
              </w:rPr>
              <w:t>Cotizacion.generar</w:t>
            </w:r>
            <w:proofErr w:type="spellEnd"/>
            <w:r w:rsidRPr="0047280D">
              <w:rPr>
                <w:b/>
                <w:sz w:val="19"/>
                <w:lang w:val="es-MX"/>
              </w:rPr>
              <w:t xml:space="preserve"> (elegida).</w:t>
            </w:r>
          </w:p>
        </w:tc>
      </w:tr>
      <w:tr w:rsidR="00EA7570" w14:paraId="6303EBE7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33CF2F69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7992" w:type="dxa"/>
          </w:tcPr>
          <w:p w14:paraId="2E5A8DF0" w14:textId="77777777" w:rsidR="00EA7570" w:rsidRDefault="00C4506A">
            <w:pPr>
              <w:spacing w:after="60"/>
            </w:pPr>
            <w:proofErr w:type="spellStart"/>
            <w:r w:rsidRPr="0047280D">
              <w:rPr>
                <w:sz w:val="19"/>
                <w:lang w:val="es-MX"/>
              </w:rPr>
              <w:t>PoliticaDeAprobacionGerencial</w:t>
            </w:r>
            <w:proofErr w:type="spellEnd"/>
            <w:r w:rsidRPr="0047280D">
              <w:rPr>
                <w:sz w:val="19"/>
                <w:lang w:val="es-MX"/>
              </w:rPr>
              <w:t xml:space="preserve"> (interfaz) con la implementación </w:t>
            </w:r>
            <w:proofErr w:type="spellStart"/>
            <w:proofErr w:type="gramStart"/>
            <w:r w:rsidRPr="0047280D">
              <w:rPr>
                <w:sz w:val="19"/>
                <w:lang w:val="es-MX"/>
              </w:rPr>
              <w:t>PoliticaPorMontoDeCotizacionInicial</w:t>
            </w:r>
            <w:proofErr w:type="spellEnd"/>
            <w:r w:rsidRPr="0047280D">
              <w:rPr>
                <w:sz w:val="19"/>
                <w:lang w:val="es-MX"/>
              </w:rPr>
              <w:t>(</w:t>
            </w:r>
            <w:proofErr w:type="gramEnd"/>
            <w:r w:rsidRPr="0047280D">
              <w:rPr>
                <w:sz w:val="19"/>
                <w:lang w:val="es-MX"/>
              </w:rPr>
              <w:t xml:space="preserve">umbral = $15,000). </w:t>
            </w:r>
            <w:proofErr w:type="spellStart"/>
            <w:r>
              <w:rPr>
                <w:sz w:val="19"/>
              </w:rPr>
              <w:t>Cotizacion.generar</w:t>
            </w:r>
            <w:proofErr w:type="spellEnd"/>
            <w:r>
              <w:rPr>
                <w:sz w:val="19"/>
              </w:rPr>
              <w:t xml:space="preserve"> la consulta y decide el estado inicial.</w:t>
            </w:r>
          </w:p>
        </w:tc>
      </w:tr>
      <w:tr w:rsidR="00EA7570" w:rsidRPr="0047280D" w14:paraId="66A36819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87DF435" w14:textId="77777777" w:rsidR="00EA7570" w:rsidRDefault="00C4506A">
            <w:pPr>
              <w:spacing w:after="60"/>
            </w:pPr>
            <w:r>
              <w:rPr>
                <w:b/>
                <w:sz w:val="19"/>
              </w:rPr>
              <w:t>Consecuencias</w:t>
            </w:r>
          </w:p>
        </w:tc>
        <w:tc>
          <w:tcPr>
            <w:tcW w:w="7992" w:type="dxa"/>
          </w:tcPr>
          <w:p w14:paraId="030E4F5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Cumple Open/</w:t>
            </w:r>
            <w:proofErr w:type="spellStart"/>
            <w:r w:rsidRPr="0047280D">
              <w:rPr>
                <w:sz w:val="19"/>
                <w:lang w:val="es-MX"/>
              </w:rPr>
              <w:t>Closed</w:t>
            </w:r>
            <w:proofErr w:type="spellEnd"/>
            <w:r w:rsidRPr="0047280D">
              <w:rPr>
                <w:sz w:val="19"/>
                <w:lang w:val="es-MX"/>
              </w:rPr>
              <w:t>: otra política es una clase nueva.</w:t>
            </w:r>
          </w:p>
          <w:p w14:paraId="5705F439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(+) La regla se prueba de forma aislada (test_ca007).</w:t>
            </w:r>
          </w:p>
          <w:p w14:paraId="1A771D15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>(−) Una abstracción más que explicar.</w:t>
            </w:r>
          </w:p>
        </w:tc>
      </w:tr>
      <w:tr w:rsidR="00EA7570" w:rsidRPr="0047280D" w14:paraId="241D4E5A" w14:textId="77777777">
        <w:trPr>
          <w:jc w:val="center"/>
        </w:trPr>
        <w:tc>
          <w:tcPr>
            <w:tcW w:w="1944" w:type="dxa"/>
            <w:shd w:val="clear" w:color="auto" w:fill="EAF0F7"/>
          </w:tcPr>
          <w:p w14:paraId="25DD6D23" w14:textId="77777777" w:rsidR="00EA7570" w:rsidRDefault="00C4506A">
            <w:pPr>
              <w:spacing w:after="60"/>
            </w:pPr>
            <w:proofErr w:type="spellStart"/>
            <w:r>
              <w:rPr>
                <w:b/>
                <w:sz w:val="19"/>
              </w:rPr>
              <w:t>Trazabilidad</w:t>
            </w:r>
            <w:proofErr w:type="spellEnd"/>
          </w:p>
        </w:tc>
        <w:tc>
          <w:tcPr>
            <w:tcW w:w="7992" w:type="dxa"/>
          </w:tcPr>
          <w:p w14:paraId="3AB09A54" w14:textId="77777777" w:rsidR="00EA7570" w:rsidRPr="0047280D" w:rsidRDefault="00C4506A">
            <w:pPr>
              <w:spacing w:after="60"/>
              <w:rPr>
                <w:lang w:val="es-MX"/>
              </w:rPr>
            </w:pPr>
            <w:r w:rsidRPr="0047280D">
              <w:rPr>
                <w:sz w:val="19"/>
                <w:lang w:val="es-MX"/>
              </w:rPr>
              <w:t xml:space="preserve">N-04 · US-005 · CA-007, CA-016 · BRD, Restricciones de proceso · BPMN </w:t>
            </w:r>
            <w:proofErr w:type="spellStart"/>
            <w:r w:rsidRPr="0047280D">
              <w:rPr>
                <w:sz w:val="19"/>
                <w:lang w:val="es-MX"/>
              </w:rPr>
              <w:t>gateway</w:t>
            </w:r>
            <w:proofErr w:type="spellEnd"/>
            <w:r w:rsidRPr="0047280D">
              <w:rPr>
                <w:sz w:val="19"/>
                <w:lang w:val="es-MX"/>
              </w:rPr>
              <w:t xml:space="preserve"> «¿Monto mayor a $15,000 MXN?»</w:t>
            </w:r>
          </w:p>
        </w:tc>
      </w:tr>
    </w:tbl>
    <w:p w14:paraId="13539143" w14:textId="77777777" w:rsidR="00C4506A" w:rsidRPr="0047280D" w:rsidRDefault="00C4506A">
      <w:pPr>
        <w:rPr>
          <w:lang w:val="es-MX"/>
        </w:rPr>
      </w:pPr>
    </w:p>
    <w:sectPr w:rsidR="00C4506A" w:rsidRPr="0047280D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2104" w14:textId="77777777" w:rsidR="00C4506A" w:rsidRDefault="00C4506A">
      <w:pPr>
        <w:spacing w:after="0" w:line="240" w:lineRule="auto"/>
      </w:pPr>
      <w:r>
        <w:separator/>
      </w:r>
    </w:p>
  </w:endnote>
  <w:endnote w:type="continuationSeparator" w:id="0">
    <w:p w14:paraId="6989C31F" w14:textId="77777777" w:rsidR="00C4506A" w:rsidRDefault="00C4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8BCB" w14:textId="77777777" w:rsidR="00EA7570" w:rsidRPr="0047280D" w:rsidRDefault="00C4506A">
    <w:pPr>
      <w:pStyle w:val="Piedepgina"/>
      <w:rPr>
        <w:lang w:val="es-MX"/>
      </w:rPr>
    </w:pPr>
    <w:r w:rsidRPr="0047280D">
      <w:rPr>
        <w:color w:val="595959"/>
        <w:sz w:val="16"/>
        <w:lang w:val="es-MX"/>
      </w:rPr>
      <w:t xml:space="preserve">AutoFix Pro · Registro de decisiones de arquitectura · Equipo 6 · página </w:t>
    </w:r>
    <w:r>
      <w:rPr>
        <w:color w:val="595959"/>
        <w:sz w:val="16"/>
      </w:rPr>
      <w:fldChar w:fldCharType="begin"/>
    </w:r>
    <w:r w:rsidRPr="0047280D">
      <w:rPr>
        <w:color w:val="595959"/>
        <w:sz w:val="16"/>
        <w:lang w:val="es-MX"/>
      </w:rPr>
      <w:instrText>PAGE</w:instrText>
    </w:r>
    <w:r w:rsidR="0047280D">
      <w:rPr>
        <w:color w:val="595959"/>
        <w:sz w:val="16"/>
      </w:rPr>
      <w:fldChar w:fldCharType="separate"/>
    </w:r>
    <w:r w:rsidR="0047280D" w:rsidRPr="0047280D">
      <w:rPr>
        <w:noProof/>
        <w:color w:val="595959"/>
        <w:sz w:val="16"/>
        <w:lang w:val="es-MX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2E82" w14:textId="77777777" w:rsidR="00C4506A" w:rsidRDefault="00C4506A">
      <w:pPr>
        <w:spacing w:after="0" w:line="240" w:lineRule="auto"/>
      </w:pPr>
      <w:r>
        <w:separator/>
      </w:r>
    </w:p>
  </w:footnote>
  <w:footnote w:type="continuationSeparator" w:id="0">
    <w:p w14:paraId="00CB98F9" w14:textId="77777777" w:rsidR="00C4506A" w:rsidRDefault="00C45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128223">
    <w:abstractNumId w:val="8"/>
  </w:num>
  <w:num w:numId="2" w16cid:durableId="1941717702">
    <w:abstractNumId w:val="6"/>
  </w:num>
  <w:num w:numId="3" w16cid:durableId="2055620804">
    <w:abstractNumId w:val="5"/>
  </w:num>
  <w:num w:numId="4" w16cid:durableId="585892625">
    <w:abstractNumId w:val="4"/>
  </w:num>
  <w:num w:numId="5" w16cid:durableId="9379627">
    <w:abstractNumId w:val="7"/>
  </w:num>
  <w:num w:numId="6" w16cid:durableId="196084100">
    <w:abstractNumId w:val="3"/>
  </w:num>
  <w:num w:numId="7" w16cid:durableId="425080475">
    <w:abstractNumId w:val="2"/>
  </w:num>
  <w:num w:numId="8" w16cid:durableId="987634646">
    <w:abstractNumId w:val="1"/>
  </w:num>
  <w:num w:numId="9" w16cid:durableId="136278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80D"/>
    <w:rsid w:val="0062459F"/>
    <w:rsid w:val="00AA1D8D"/>
    <w:rsid w:val="00B47730"/>
    <w:rsid w:val="00C4506A"/>
    <w:rsid w:val="00CB0664"/>
    <w:rsid w:val="00EA7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87643"/>
  <w14:defaultImageDpi w14:val="300"/>
  <w15:docId w15:val="{5DAD48C0-0AF1-4C16-91CE-7812F47D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1423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decisiones de arquitectura (ADR) — AutoFix Pro</dc:title>
  <dc:subject/>
  <dc:creator>Equipo 6</dc:creator>
  <cp:keywords/>
  <dc:description>generated by python-docx</dc:description>
  <cp:lastModifiedBy>OSVALDO SALVADOR CARDENAS MEJORADO</cp:lastModifiedBy>
  <cp:revision>2</cp:revision>
  <cp:lastPrinted>2026-10-12T00:00:00Z</cp:lastPrinted>
  <dcterms:created xsi:type="dcterms:W3CDTF">2026-10-12T00:00:00Z</dcterms:created>
  <dcterms:modified xsi:type="dcterms:W3CDTF">2026-10-12T00:00:00Z</dcterms:modified>
  <cp:category/>
</cp:coreProperties>
</file>