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left"/>
      </w:pPr>
      <w:r>
        <w:rPr>
          <w:rFonts w:ascii="Arial" w:cs="Arial" w:eastAsia="Arial" w:hAnsi="Arial"/>
          <w:b/>
          <w:bCs/>
          <w:color w:val="C9A84C"/>
          <w:sz w:val="18"/>
          <w:szCs w:val="18"/>
        </w:rPr>
        <w:t xml:space="preserve">ARGUMENTARIO ESTRATÉGICO</w:t>
      </w:r>
    </w:p>
    <w:p>
      <w:pPr>
        <w:pBdr>
          <w:bottom w:val="thick" w:color="1F3864" w:sz="8" w:space="8"/>
        </w:pBdr>
        <w:spacing w:after="120" w:before="0"/>
        <w:jc w:val="left"/>
      </w:pPr>
      <w:r>
        <w:rPr>
          <w:rFonts w:ascii="Arial" w:cs="Arial" w:eastAsia="Arial" w:hAnsi="Arial"/>
          <w:b/>
          <w:bCs/>
          <w:color w:val="1F3864"/>
          <w:sz w:val="52"/>
          <w:szCs w:val="52"/>
        </w:rPr>
        <w:t xml:space="preserve">Rengo frente a su futuro</w:t>
      </w:r>
    </w:p>
    <w:p>
      <w:pPr>
        <w:spacing w:after="60" w:before="200"/>
      </w:pPr>
      <w:r>
        <w:rPr>
          <w:rFonts w:ascii="Arial" w:cs="Arial" w:eastAsia="Arial" w:hAnsi="Arial"/>
          <w:color w:val="595959"/>
          <w:sz w:val="26"/>
          <w:szCs w:val="26"/>
        </w:rPr>
        <w:t xml:space="preserve">Plan de Desarrollo Comunal 2025–2035</w:t>
      </w:r>
    </w:p>
    <w:p>
      <w:pPr>
        <w:spacing w:after="0" w:before="0"/>
      </w:pPr>
      <w:r>
        <w:rPr>
          <w:rFonts w:ascii="Arial" w:cs="Arial" w:eastAsia="Arial" w:hAnsi="Arial"/>
          <w:color w:val="AAAAAA"/>
          <w:sz w:val="20"/>
          <w:szCs w:val="20"/>
        </w:rPr>
        <w:t xml:space="preserve">Versión 3  ·  Abril 2026</w:t>
      </w:r>
    </w:p>
    <w:p>
      <w:pPr>
        <w:spacing w:after="0" w:before="800"/>
      </w:pPr>
      <w:r>
        <w:t xml:space="preserve"/>
      </w:r>
    </w:p>
    <w:p>
      <w:pPr>
        <w:pBdr>
          <w:left w:val="thick" w:color="C9A84C" w:sz="12" w:space="8"/>
        </w:pBdr>
        <w:spacing w:after="240" w:before="240"/>
        <w:ind w:left="720" w:right="720"/>
        <w:jc w:val="center"/>
      </w:pPr>
      <w:r>
        <w:rPr>
          <w:rFonts w:ascii="Georgia" w:cs="Georgia" w:eastAsia="Georgia" w:hAnsi="Georgia"/>
          <w:i/>
          <w:iCs/>
          <w:color w:val="1F3864"/>
          <w:sz w:val="23"/>
          <w:szCs w:val="23"/>
        </w:rPr>
        <w:t xml:space="preserve">La pregunta no es si Rengo puede. La pregunta es si este PLADECO será el marco que organice todo eso en una transformación verificable.</w:t>
      </w:r>
    </w:p>
    <w:p>
      <w:pPr>
        <w:spacing w:after="0" w:before="400"/>
      </w:pPr>
      <w:r>
        <w:t xml:space="preserve"/>
      </w:r>
    </w:p>
    <w:p>
      <w:pPr>
        <w:spacing w:after="60" w:before="0"/>
      </w:pPr>
      <w:r>
        <w:rPr>
          <w:rFonts w:ascii="Arial" w:cs="Arial" w:eastAsia="Arial" w:hAnsi="Arial"/>
          <w:color w:val="595959"/>
          <w:sz w:val="18"/>
          <w:szCs w:val="18"/>
        </w:rPr>
        <w:t xml:space="preserve">Alcalde: Enrique Del Barrio Hernández</w:t>
      </w:r>
    </w:p>
    <w:p>
      <w:pPr>
        <w:spacing w:after="60" w:before="0"/>
      </w:pPr>
      <w:r>
        <w:rPr>
          <w:rFonts w:ascii="Arial" w:cs="Arial" w:eastAsia="Arial" w:hAnsi="Arial"/>
          <w:color w:val="595959"/>
          <w:sz w:val="18"/>
          <w:szCs w:val="18"/>
        </w:rPr>
        <w:t xml:space="preserve">Director SECPLAC: Daniel Castillo Campos</w:t>
      </w:r>
    </w:p>
    <w:p>
      <w:pPr>
        <w:spacing w:after="60" w:before="0"/>
      </w:pPr>
      <w:r>
        <w:rPr>
          <w:rFonts w:ascii="Arial" w:cs="Arial" w:eastAsia="Arial" w:hAnsi="Arial"/>
          <w:color w:val="595959"/>
          <w:sz w:val="18"/>
          <w:szCs w:val="18"/>
        </w:rPr>
        <w:t xml:space="preserve">Encargado PLADECO: Osvaldo Mañán Arce</w:t>
      </w:r>
    </w:p>
    <w:p>
      <w:pPr>
        <w:pageBreakBefore/>
      </w:pPr>
      <w:r>
        <w:t xml:space="preserve"/>
      </w:r>
    </w:p>
    <w:p>
      <w:pPr>
        <w:pBdr>
          <w:bottom w:val="single" w:color="C9A84C" w:sz="4" w:space="6"/>
        </w:pBdr>
        <w:spacing w:after="120" w:before="360"/>
      </w:pPr>
      <w:r>
        <w:rPr>
          <w:rFonts w:ascii="Arial" w:cs="Arial" w:eastAsia="Arial" w:hAnsi="Arial"/>
          <w:b/>
          <w:bCs/>
          <w:caps w:val="false"/>
          <w:color w:val="1F3864"/>
          <w:sz w:val="20"/>
          <w:szCs w:val="20"/>
        </w:rPr>
        <w:t xml:space="preserve">LA PREGUNTA QUE ESTE PLAN NO PUEDE ELUDIR</w:t>
      </w:r>
    </w:p>
    <w:p>
      <w:pPr>
        <w:spacing w:after="0" w:before="80"/>
      </w:pPr>
      <w:r>
        <w:t xml:space="preserve"/>
      </w:r>
    </w:p>
    <w:p>
      <w:pPr>
        <w:spacing w:after="180" w:before="0" w:line="320"/>
        <w:jc w:val="both"/>
      </w:pPr>
      <w:r>
        <w:rPr>
          <w:rFonts w:ascii="Georgia" w:cs="Georgia" w:eastAsia="Georgia" w:hAnsi="Georgia"/>
          <w:color w:val="595959"/>
          <w:sz w:val="22"/>
          <w:szCs w:val="22"/>
        </w:rPr>
        <w:t xml:space="preserve">Hay una pregunta que este PLADECO no puede eludir, y no es técnica. Es la pregunta que se hace una madre en Rosario cuando lleva a su hijo al consultorio más cercano y descubre que está a cuarenta minutos en micro. Es la que se hace un adulto mayor en el sector rural cuando anochece y no hay iluminación en la calle. Es la que se hacen los propios jóvenes de Rengo —el cien por ciento de ellos, según el diagnóstico participativo más amplio que ha realizado la comuna— cuando no encuentran nada positivo que decir de la ciudad donde nacieron.</w:t>
      </w:r>
    </w:p>
    <w:p>
      <w:pPr>
        <w:spacing w:after="180" w:before="0" w:line="320"/>
        <w:jc w:val="both"/>
      </w:pPr>
      <w:r>
        <w:rPr>
          <w:rFonts w:ascii="Georgia" w:cs="Georgia" w:eastAsia="Georgia" w:hAnsi="Georgia"/>
          <w:color w:val="595959"/>
          <w:sz w:val="22"/>
          <w:szCs w:val="22"/>
        </w:rPr>
        <w:t xml:space="preserve">La pregunta no es cuántas empresas tiene Rengo ni cuánto ha crecido su patrimonio. La pregunta es por qué una comuna que lidera en casi todos los indicadores institucionales de la región no logra que sus propios habitantes se sientan bien viviendo en ella. Esa tensión es el punto de partida real de este plan, y todo lo que sigue debe leerse desde ahí.</w:t>
      </w:r>
    </w:p>
    <w:p>
      <w:pPr>
        <w:spacing w:after="0" w:before="160"/>
      </w:pPr>
      <w:r>
        <w:t xml:space="preserve"/>
      </w:r>
    </w:p>
    <w:p>
      <w:pPr>
        <w:pBdr>
          <w:bottom w:val="single" w:color="C9A84C" w:sz="4" w:space="6"/>
        </w:pBdr>
        <w:spacing w:after="120" w:before="360"/>
      </w:pPr>
      <w:r>
        <w:rPr>
          <w:rFonts w:ascii="Arial" w:cs="Arial" w:eastAsia="Arial" w:hAnsi="Arial"/>
          <w:b/>
          <w:bCs/>
          <w:caps w:val="false"/>
          <w:color w:val="1F3864"/>
          <w:sz w:val="20"/>
          <w:szCs w:val="20"/>
        </w:rPr>
        <w:t xml:space="preserve">UNA BASE REAL: RENGO NO PARTE DE CERO</w:t>
      </w:r>
    </w:p>
    <w:p>
      <w:pPr>
        <w:spacing w:after="0" w:before="80"/>
      </w:pPr>
      <w:r>
        <w:t xml:space="preserve"/>
      </w:r>
    </w:p>
    <w:p>
      <w:pPr>
        <w:spacing w:after="180" w:before="0" w:line="320"/>
        <w:jc w:val="both"/>
      </w:pPr>
      <w:r>
        <w:rPr>
          <w:rFonts w:ascii="Georgia" w:cs="Georgia" w:eastAsia="Georgia" w:hAnsi="Georgia"/>
          <w:color w:val="595959"/>
          <w:sz w:val="22"/>
          <w:szCs w:val="22"/>
        </w:rPr>
        <w:t xml:space="preserve">Rengo llega al 2025 con activos que la mayoría de los municipios de la provincia nunca ha tenido. Es la primera base empresarial de Cachapoal, con 4.829 empresas formales que superan incluso a Rancagua. Su patrimonio pasó de números rojos —una deuda de mil cuatrocientos millones de pesos— a un superávit de más de nueve mil millones en once años. Tiene el índice de transparencia más alto de la región, casi dieciséis puntos por encima del promedio nacional. Y es el único municipio de la Provincia con un Plan de Acción ante el Cambio Climático aprobado, instrumento que apenas el 6,4% de las comunas del país ha podido construir.</w:t>
      </w:r>
    </w:p>
    <w:p>
      <w:pPr>
        <w:spacing w:after="180" w:before="0" w:line="320"/>
        <w:jc w:val="both"/>
      </w:pPr>
      <w:r>
        <w:rPr>
          <w:rFonts w:ascii="Georgia" w:cs="Georgia" w:eastAsia="Georgia" w:hAnsi="Georgia"/>
          <w:color w:val="595959"/>
          <w:sz w:val="22"/>
          <w:szCs w:val="22"/>
        </w:rPr>
        <w:t xml:space="preserve">Estos no son adornos retóricos. Son activos institucionales, financieros y ambientales con respaldo documental verificable, que le dan al PLADECO una base de sustentación real. El municipio que recibe este plan no es el mismo que recibió el anterior: una década de trabajo institucional produjo una transformación financiera, de transparencia y de capacidad técnica que no puede ignorarse. Un diagnóstico que solo enumera brechas sin reconocer esa base produce planes defensivos cuando debería producir planes de desarrollo.</w:t>
      </w:r>
    </w:p>
    <w:p>
      <w:pPr>
        <w:spacing w:after="180" w:before="0" w:line="320"/>
        <w:jc w:val="both"/>
      </w:pPr>
      <w:r>
        <w:rPr>
          <w:rFonts w:ascii="Georgia" w:cs="Georgia" w:eastAsia="Georgia" w:hAnsi="Georgia"/>
          <w:color w:val="595959"/>
          <w:sz w:val="22"/>
          <w:szCs w:val="22"/>
        </w:rPr>
        <w:t xml:space="preserve">La inversión en SECPLAN creció un novecientos por ciento en diez años. El sistema de salud primaria atiende casi el doble de consultas que el promedio regional. La conectividad territorial mejoró de manera estructural con la llegada del Metrotren. Hay 330 organizaciones comunitarias vigentes y más de la mitad de la ciudadanía participa en alguna agrupación. Estos son los cimientos sobre los que se construye el próximo decenio, y lo que hace posible aspirar a algo más que la corrección de déficits.</w:t>
      </w:r>
    </w:p>
    <w:p>
      <w:pPr>
        <w:spacing w:after="0" w:before="160"/>
      </w:pPr>
      <w:r>
        <w:t xml:space="preserve"/>
      </w:r>
    </w:p>
    <w:p>
      <w:pPr>
        <w:pBdr>
          <w:bottom w:val="single" w:color="C9A84C" w:sz="4" w:space="6"/>
        </w:pBdr>
        <w:spacing w:after="120" w:before="360"/>
      </w:pPr>
      <w:r>
        <w:rPr>
          <w:rFonts w:ascii="Arial" w:cs="Arial" w:eastAsia="Arial" w:hAnsi="Arial"/>
          <w:b/>
          <w:bCs/>
          <w:caps w:val="false"/>
          <w:color w:val="1F3864"/>
          <w:sz w:val="20"/>
          <w:szCs w:val="20"/>
        </w:rPr>
        <w:t xml:space="preserve">LA PARADOJA QUE EL DIAGNÓSTICO NO PUEDE OMITIR</w:t>
      </w:r>
    </w:p>
    <w:p>
      <w:pPr>
        <w:spacing w:after="0" w:before="80"/>
      </w:pPr>
      <w:r>
        <w:t xml:space="preserve"/>
      </w:r>
    </w:p>
    <w:p>
      <w:pPr>
        <w:spacing w:after="180" w:before="0" w:line="320"/>
        <w:jc w:val="both"/>
      </w:pPr>
      <w:r>
        <w:rPr>
          <w:rFonts w:ascii="Georgia" w:cs="Georgia" w:eastAsia="Georgia" w:hAnsi="Georgia"/>
          <w:color w:val="595959"/>
          <w:sz w:val="22"/>
          <w:szCs w:val="22"/>
        </w:rPr>
        <w:t xml:space="preserve">Sin embargo, esos activos coexisten con una contradicción que atraviesa todo el diagnóstico. El municipio con la mayor transparencia de la región tiene la mitad de sus instrumentos de gestión formalizados en decreto pero sin implementación verificable en la práctica. Tiene un Plan de Acción ante el Cambio Climático —el más avanzado de la provincia— sin presupuesto asignado ni nadie con responsabilidad formal de ejecutarlo. Tiene un protocolo de protección laboral que no fue actualizado cuando la ley cambió en agosto de 2024, acumulando desde entonces un riesgo legal que crece cada mes sin que se haya tomado ninguna decisión al respecto.</w:t>
      </w:r>
    </w:p>
    <w:p>
      <w:pPr>
        <w:spacing w:after="180" w:before="0" w:line="320"/>
        <w:jc w:val="both"/>
      </w:pPr>
      <w:r>
        <w:rPr>
          <w:rFonts w:ascii="Georgia" w:cs="Georgia" w:eastAsia="Georgia" w:hAnsi="Georgia"/>
          <w:color w:val="595959"/>
          <w:sz w:val="22"/>
          <w:szCs w:val="22"/>
        </w:rPr>
        <w:t xml:space="preserve">Tiene además un organismo de participación ciudadana —el COSOC— que la ley exige y que lleva tiempo sin sesionar. Esa inactividad no es un detalle administrativo: priva al PLADECO del respaldo participativo que lo blindaría ante cualquier cuestionamiento ciudadano o institucional, y convierte un proceso diagnóstico de más de trescientas personas consultadas en un ejercicio técnicamente impugnable si no se canaliza a través del mecanismo que la ley establece.</w:t>
      </w:r>
    </w:p>
    <w:p>
      <w:pPr>
        <w:spacing w:after="180" w:before="0" w:line="320"/>
        <w:jc w:val="both"/>
      </w:pPr>
      <w:r>
        <w:rPr>
          <w:rFonts w:ascii="Georgia" w:cs="Georgia" w:eastAsia="Georgia" w:hAnsi="Georgia"/>
          <w:color w:val="595959"/>
          <w:sz w:val="22"/>
          <w:szCs w:val="22"/>
        </w:rPr>
        <w:t xml:space="preserve">La propia Secretaria Municipal calificó la coordinación interdepartamental como nula. El plan anterior alcanzó apenas un cuarenta por ciento de cumplimiento. Por cada cien pesos comprometidos en inversión, sesenta y nueve no llegaron a la comunidad. Y el 48% de los funcionarios municipales no percibe que su trabajo sea relevante para la vida de los habitantes. Estos datos no hablan de mala voluntad: hablan de una arquitectura institucional que no se diseñó para ejecutar lo que declara.</w:t>
      </w:r>
    </w:p>
    <w:p>
      <w:pPr>
        <w:pBdr>
          <w:left w:val="thick" w:color="C9A84C" w:sz="12" w:space="8"/>
        </w:pBdr>
        <w:spacing w:after="240" w:before="240"/>
        <w:ind w:left="720" w:right="720"/>
        <w:jc w:val="center"/>
      </w:pPr>
      <w:r>
        <w:rPr>
          <w:rFonts w:ascii="Georgia" w:cs="Georgia" w:eastAsia="Georgia" w:hAnsi="Georgia"/>
          <w:i/>
          <w:iCs/>
          <w:color w:val="1F3864"/>
          <w:sz w:val="23"/>
          <w:szCs w:val="23"/>
        </w:rPr>
        <w:t xml:space="preserve">El municipio con la transparencia más alta de la región tiene el 50% de sus instrumentos en papel. Esa es la paradoja central que este PLADECO debe resolver.</w:t>
      </w:r>
    </w:p>
    <w:p>
      <w:pPr>
        <w:spacing w:after="180" w:before="0" w:line="320"/>
        <w:jc w:val="both"/>
      </w:pPr>
      <w:r>
        <w:rPr>
          <w:rFonts w:ascii="Georgia" w:cs="Georgia" w:eastAsia="Georgia" w:hAnsi="Georgia"/>
          <w:color w:val="595959"/>
          <w:sz w:val="22"/>
          <w:szCs w:val="22"/>
        </w:rPr>
        <w:t xml:space="preserve">Y hay algo más profundo aún. Rengo lidera en indicadores institucionales, pero el cien por ciento de sus niños, niñas y adolescentes evalúa negativamente a la comuna como lugar para vivir. El 70% de la ciudadanía identifica la inseguridad como su problema número uno. Los delitos contra la vida crecieron un 126% en veinte años. El 66% de los encuestados percibe que la identidad comunal se está diluyendo. La brecha de inversión entre el área urbana y el área rural es de ocho a uno. Rosario, con doce mil habitantes, opera sin la infraestructura que su escala demanda. Los adultos mayores rurales enfrentan una doble exclusión: por edad y por distancia geográfica de los servicios.</w:t>
      </w:r>
    </w:p>
    <w:p>
      <w:pPr>
        <w:spacing w:after="180" w:before="0" w:line="320"/>
        <w:jc w:val="both"/>
      </w:pPr>
      <w:r>
        <w:rPr>
          <w:rFonts w:ascii="Georgia" w:cs="Georgia" w:eastAsia="Georgia" w:hAnsi="Georgia"/>
          <w:color w:val="595959"/>
          <w:sz w:val="22"/>
          <w:szCs w:val="22"/>
        </w:rPr>
        <w:t xml:space="preserve">Esta disociación entre métricas institucionales positivas y percepción ciudadana negativa es el problema político más profundo que enfrenta la administración municipal. La legitimidad de un gobierno local no descansa en sus indicadores de gestión: descansa en la experiencia cotidiana de quienes viven en el territorio. Mientras esa brecha persista, el liderazgo formal de Rengo es un activo sin destinatario.</w:t>
      </w:r>
    </w:p>
    <w:p>
      <w:pPr>
        <w:spacing w:after="0" w:before="160"/>
      </w:pPr>
      <w:r>
        <w:t xml:space="preserve"/>
      </w:r>
    </w:p>
    <w:p>
      <w:pPr>
        <w:pBdr>
          <w:bottom w:val="single" w:color="C9A84C" w:sz="4" w:space="6"/>
        </w:pBdr>
        <w:spacing w:after="120" w:before="360"/>
      </w:pPr>
      <w:r>
        <w:rPr>
          <w:rFonts w:ascii="Arial" w:cs="Arial" w:eastAsia="Arial" w:hAnsi="Arial"/>
          <w:b/>
          <w:bCs/>
          <w:caps w:val="false"/>
          <w:color w:val="1F3864"/>
          <w:sz w:val="20"/>
          <w:szCs w:val="20"/>
        </w:rPr>
        <w:t xml:space="preserve">LOS RIESGOS SON CONCRETOS Y TIENEN SOLUCIÓN TÉCNICA</w:t>
      </w:r>
    </w:p>
    <w:p>
      <w:pPr>
        <w:spacing w:after="0" w:before="80"/>
      </w:pPr>
      <w:r>
        <w:t xml:space="preserve"/>
      </w:r>
    </w:p>
    <w:p>
      <w:pPr>
        <w:spacing w:after="180" w:before="0" w:line="320"/>
        <w:jc w:val="both"/>
      </w:pPr>
      <w:r>
        <w:rPr>
          <w:rFonts w:ascii="Georgia" w:cs="Georgia" w:eastAsia="Georgia" w:hAnsi="Georgia"/>
          <w:color w:val="595959"/>
          <w:sz w:val="22"/>
          <w:szCs w:val="22"/>
        </w:rPr>
        <w:t xml:space="preserve">La característica común de las brechas más urgentes que enfrenta el municipio no es su complejidad: es que todas tienen solución técnica conocida, costo bajo y ventana de corrección acotada. Actualizar el protocolo de protección laboral conforme a la ley vigente es una decisión que se toma en treinta días con recursos internos. Convocar al COSOC, organizar sus elecciones y abrir su primera sesión es un trámite administrativo ejecutable en menos de tres meses. Diseñar un tablero de seguimiento que le informe al Concejo cada trimestre cómo va el plan es trabajo técnico disponible.</w:t>
      </w:r>
    </w:p>
    <w:p>
      <w:pPr>
        <w:spacing w:after="180" w:before="0" w:line="320"/>
        <w:jc w:val="both"/>
      </w:pPr>
      <w:r>
        <w:rPr>
          <w:rFonts w:ascii="Georgia" w:cs="Georgia" w:eastAsia="Georgia" w:hAnsi="Georgia"/>
          <w:color w:val="595959"/>
          <w:sz w:val="22"/>
          <w:szCs w:val="22"/>
        </w:rPr>
        <w:t xml:space="preserve">La brecha en captación de fondos externos es quizás el ejemplo más revelador. Rengo capta el 6,28% de su financiamiento desde fuentes externas; los municipios comparables de la región captan casi el doble. Esa diferencia representa aproximadamente mil doscientos millones de pesos adicionales al año, alcanzables no con más presupuesto propio, sino con una unidad de formulación dedicada. El problema no es de recursos; es de arquitectura. Y esa es precisamente la lección que el diagnóstico repite en distintos registros: las brechas de Rengo no son brechas de capacidad, son brechas de organización.</w:t>
      </w:r>
    </w:p>
    <w:p>
      <w:pPr>
        <w:spacing w:after="180" w:before="0" w:line="320"/>
        <w:jc w:val="both"/>
      </w:pPr>
      <w:r>
        <w:rPr>
          <w:rFonts w:ascii="Georgia" w:cs="Georgia" w:eastAsia="Georgia" w:hAnsi="Georgia"/>
          <w:color w:val="595959"/>
          <w:sz w:val="22"/>
          <w:szCs w:val="22"/>
        </w:rPr>
        <w:t xml:space="preserve">Cada mes sin protocolo de acoso actualizado acumula pasivo legal creciente. Cada mes sin COSOC debilita la legitimidad jurídica del PLADECO. Cada mes sin sistema de monitoreo consolida la brecha de ejecución que convirtió el plan anterior en un documento de buenas intenciones. La inacción no es neutral: tiene un costo que se paga en reputación institucional, en recursos no captados y, sobre todo, en servicios que no llegan a las personas que los necesitan.</w:t>
      </w:r>
    </w:p>
    <w:p>
      <w:pPr>
        <w:spacing w:after="0" w:before="160"/>
      </w:pPr>
      <w:r>
        <w:t xml:space="preserve"/>
      </w:r>
    </w:p>
    <w:p>
      <w:pPr>
        <w:pBdr>
          <w:bottom w:val="single" w:color="C9A84C" w:sz="4" w:space="6"/>
        </w:pBdr>
        <w:spacing w:after="120" w:before="360"/>
      </w:pPr>
      <w:r>
        <w:rPr>
          <w:rFonts w:ascii="Arial" w:cs="Arial" w:eastAsia="Arial" w:hAnsi="Arial"/>
          <w:b/>
          <w:bCs/>
          <w:caps w:val="false"/>
          <w:color w:val="1F3864"/>
          <w:sz w:val="20"/>
          <w:szCs w:val="20"/>
        </w:rPr>
        <w:t xml:space="preserve">LA VENTANA QUE NO SE REPITE</w:t>
      </w:r>
    </w:p>
    <w:p>
      <w:pPr>
        <w:spacing w:after="0" w:before="80"/>
      </w:pPr>
      <w:r>
        <w:t xml:space="preserve"/>
      </w:r>
    </w:p>
    <w:p>
      <w:pPr>
        <w:spacing w:after="180" w:before="0" w:line="320"/>
        <w:jc w:val="both"/>
      </w:pPr>
      <w:r>
        <w:rPr>
          <w:rFonts w:ascii="Georgia" w:cs="Georgia" w:eastAsia="Georgia" w:hAnsi="Georgia"/>
          <w:color w:val="595959"/>
          <w:sz w:val="22"/>
          <w:szCs w:val="22"/>
        </w:rPr>
        <w:t xml:space="preserve">Los instrumentos de planificación estratégica tienen una propiedad que los distingue de los instrumentos operativos: son ventanas de oportunidad institucional, no simples documentos de gestión. El PLADECO 2025-2035 es la única instancia en diez años en que la institucionalidad municipal puede redefinir su arquitectura de gobernanza interna. Los doce instrumentos de gestión que hoy operan como islas —sin indicadores comunes, sin coherencia entre el Plan de Compras, el Presupuesto, el Plan de Capacitación y el PACCC— pueden articularse bajo una lógica compartida solo si hay un instrumento con el rango normativo suficiente para exigirlo. Ese instrumento es este plan.</w:t>
      </w:r>
    </w:p>
    <w:p>
      <w:pPr>
        <w:spacing w:after="180" w:before="0" w:line="320"/>
        <w:jc w:val="both"/>
      </w:pPr>
      <w:r>
        <w:rPr>
          <w:rFonts w:ascii="Georgia" w:cs="Georgia" w:eastAsia="Georgia" w:hAnsi="Georgia"/>
          <w:color w:val="595959"/>
          <w:sz w:val="22"/>
          <w:szCs w:val="22"/>
        </w:rPr>
        <w:t xml:space="preserve">La ventana es, además, excepcionalmente propicia. La normativa vigente obliga a articular el PLADECO con el Plan Regulador Comunal y con el PACCC, lo que abre acceso a financiamiento climático internacional al que municipios sin esa articulación no pueden postular. La Estrategia Regional de Desarrollo identifica a Rengo como nodo prioritario, con trece articulaciones de nivel alto disponibles para canalizar recursos del Fondo Nacional de Desarrollo Regional. El diagnóstico participativo más amplio que ha hecho la comuna en su historia está disponible ahora como el sustento empírico más robusto que un plan municipal puede tener. Y el inicio de un nuevo ciclo de gestión ofrece la credibilidad institucional para impulsar reformas de arquitectura que en períodos consolidados generan resistencia.</w:t>
      </w:r>
    </w:p>
    <w:p>
      <w:pPr>
        <w:spacing w:after="180" w:before="0" w:line="320"/>
        <w:jc w:val="both"/>
      </w:pPr>
      <w:r>
        <w:rPr>
          <w:rFonts w:ascii="Georgia" w:cs="Georgia" w:eastAsia="Georgia" w:hAnsi="Georgia"/>
          <w:color w:val="595959"/>
          <w:sz w:val="22"/>
          <w:szCs w:val="22"/>
        </w:rPr>
        <w:t xml:space="preserve">Estos cuatro factores —normativo, financiero, participativo y político— convergen en 2025 y 2026. No convergirán de nuevo antes de 2035. Planificar sin aprovecharlos no es prudencia: es una oportunidad desperdiciada con consecuencias que se medirán en la próxima generación.</w:t>
      </w:r>
    </w:p>
    <w:p>
      <w:pPr>
        <w:spacing w:after="0" w:before="160"/>
      </w:pPr>
      <w:r>
        <w:t xml:space="preserve"/>
      </w:r>
    </w:p>
    <w:p>
      <w:pPr>
        <w:pBdr>
          <w:bottom w:val="single" w:color="C9A84C" w:sz="4" w:space="6"/>
        </w:pBdr>
        <w:spacing w:after="120" w:before="360"/>
      </w:pPr>
      <w:r>
        <w:rPr>
          <w:rFonts w:ascii="Arial" w:cs="Arial" w:eastAsia="Arial" w:hAnsi="Arial"/>
          <w:b/>
          <w:bCs/>
          <w:caps w:val="false"/>
          <w:color w:val="1F3864"/>
          <w:sz w:val="20"/>
          <w:szCs w:val="20"/>
        </w:rPr>
        <w:t xml:space="preserve">EL DESAFÍO POLÍTICO QUE ESTE PLAN DEBE RESPONDER</w:t>
      </w:r>
    </w:p>
    <w:p>
      <w:pPr>
        <w:spacing w:after="0" w:before="80"/>
      </w:pPr>
      <w:r>
        <w:t xml:space="preserve"/>
      </w:r>
    </w:p>
    <w:p>
      <w:pPr>
        <w:spacing w:after="180" w:before="0" w:line="320"/>
        <w:jc w:val="both"/>
      </w:pPr>
      <w:r>
        <w:rPr>
          <w:rFonts w:ascii="Georgia" w:cs="Georgia" w:eastAsia="Georgia" w:hAnsi="Georgia"/>
          <w:color w:val="595959"/>
          <w:sz w:val="22"/>
          <w:szCs w:val="22"/>
        </w:rPr>
        <w:t xml:space="preserve">Rengo tiene los activos para actuar, tiene los riesgos identificados con sus soluciones técnicas y tiene una ventana normativa, política y financiera que no se repetirá en el horizonte previsible. Lo que falta no es diagnóstico ni recursos: es la decisión de qué arquitectura institucional se inscribe en este plan, cómo se implementa con indicadores verificables y a quién se le rinde cuentas trimestralmente.</w:t>
      </w:r>
    </w:p>
    <w:p>
      <w:pPr>
        <w:spacing w:after="180" w:before="0" w:line="320"/>
        <w:jc w:val="both"/>
      </w:pPr>
      <w:r>
        <w:rPr>
          <w:rFonts w:ascii="Georgia" w:cs="Georgia" w:eastAsia="Georgia" w:hAnsi="Georgia"/>
          <w:color w:val="595959"/>
          <w:sz w:val="22"/>
          <w:szCs w:val="22"/>
        </w:rPr>
        <w:t xml:space="preserve">La respuesta a esa pregunta no está en los gráficos ni en las tablas. Está en la madre de Rosario que necesita un consultorio más cerca. En el adulto mayor que merece una calle iluminada. En el joven que todavía vive en Rengo y todavía puede cambiar de opinión sobre su ciudad. El PLADECO no se mide por la elegancia de su marco teórico: se mide por la magnitud de su contribución al bienestar efectivo de las personas que habitan este territorio.</w:t>
      </w:r>
    </w:p>
    <w:p>
      <w:pPr>
        <w:pBdr>
          <w:left w:val="thick" w:color="C9A84C" w:sz="12" w:space="8"/>
        </w:pBdr>
        <w:spacing w:after="240" w:before="240"/>
        <w:ind w:left="720" w:right="720"/>
        <w:jc w:val="center"/>
      </w:pPr>
      <w:r>
        <w:rPr>
          <w:rFonts w:ascii="Georgia" w:cs="Georgia" w:eastAsia="Georgia" w:hAnsi="Georgia"/>
          <w:i/>
          <w:iCs/>
          <w:color w:val="1F3864"/>
          <w:sz w:val="23"/>
          <w:szCs w:val="23"/>
        </w:rPr>
        <w:t xml:space="preserve">La pregunta no es si Rengo puede. La pregunta es si este PLADECO será el marco que organice esa capacidad en una transformación que la gente pueda sentir.</w:t>
      </w:r>
    </w:p>
    <w:p>
      <w:pPr>
        <w:spacing w:after="180" w:before="0" w:line="320"/>
        <w:jc w:val="both"/>
      </w:pPr>
      <w:r>
        <w:rPr>
          <w:rFonts w:ascii="Georgia" w:cs="Georgia" w:eastAsia="Georgia" w:hAnsi="Georgia"/>
          <w:color w:val="595959"/>
          <w:sz w:val="22"/>
          <w:szCs w:val="22"/>
        </w:rPr>
        <w:t xml:space="preserve">Ese es el argumento. Y también es el compromiso.</w:t>
      </w:r>
    </w:p>
    <w:p>
      <w:pPr>
        <w:spacing w:after="0" w:before="400"/>
      </w:pPr>
      <w:r>
        <w:t xml:space="preserve"/>
      </w:r>
    </w:p>
    <w:p>
      <w:pPr>
        <w:pBdr>
          <w:top w:val="single" w:color="D0D0D0" w:sz="2" w:space="6"/>
        </w:pBdr>
        <w:spacing w:after="60" w:before="240"/>
      </w:pPr>
      <w:r>
        <w:rPr>
          <w:rFonts w:ascii="Arial" w:cs="Arial" w:eastAsia="Arial" w:hAnsi="Arial"/>
          <w:b/>
          <w:bCs/>
          <w:color w:val="1F3864"/>
          <w:sz w:val="18"/>
          <w:szCs w:val="18"/>
        </w:rPr>
        <w:t xml:space="preserve">Nota metodológica</w:t>
      </w:r>
    </w:p>
    <w:p>
      <w:pPr>
        <w:spacing w:after="120" w:before="0" w:line="280"/>
        <w:jc w:val="both"/>
      </w:pPr>
      <w:r>
        <w:rPr>
          <w:rFonts w:ascii="Georgia" w:cs="Georgia" w:eastAsia="Georgia" w:hAnsi="Georgia"/>
          <w:color w:val="888888"/>
          <w:sz w:val="18"/>
          <w:szCs w:val="18"/>
        </w:rPr>
        <w:t xml:space="preserve">Los argumentos contenidos en este documento se construyen sobre evidencia empírica extraída del diagnóstico FODA integral de Rengo (2026), basado en 12 fuentes documentales y datos estadísticos oficiales: SII 2023, SINIM 2024, CEAD, INE Censo 2024, CPLT 2024, BIP 2025 y PACCC IDOM 2026. El diagnóstico participativo incluyó más de 300 personas consultadas, 77 juntas de vecinos, 40 entrevistas etnográficas en profundidad y tres encuestas ciudadanas (n=119, n=116, n=21 NNA). La convergencia entre fuentes diagnósticas y Programa de Gobierno alcanzó un índice del 97,9%.</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tabs>
        <w:tab w:val="right" w:pos="9026"/>
      </w:tabs>
      <w:spacing w:before="0"/>
    </w:pPr>
    <w:r>
      <w:rPr>
        <w:rFonts w:ascii="Arial" w:cs="Arial" w:eastAsia="Arial" w:hAnsi="Arial"/>
        <w:color w:val="888888"/>
        <w:sz w:val="16"/>
        <w:szCs w:val="16"/>
      </w:rPr>
      <w:t xml:space="preserve">Municipalidad de Rengo  ·  Dirección SECPLAC</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tabs>
        <w:tab w:val="right" w:pos="9026"/>
      </w:tabs>
      <w:spacing w:after="0"/>
    </w:pPr>
    <w:r>
      <w:rPr>
        <w:rFonts w:ascii="Arial" w:cs="Arial" w:eastAsia="Arial" w:hAnsi="Arial"/>
        <w:b/>
        <w:bCs/>
        <w:color w:val="1F3864"/>
        <w:sz w:val="16"/>
        <w:szCs w:val="16"/>
      </w:rPr>
      <w:t xml:space="preserve">PLADECO RENGO 2025–2035</w:t>
    </w:r>
    <w:r>
      <w:rPr>
        <w:rFonts w:ascii="Arial" w:cs="Arial" w:eastAsia="Arial" w:hAnsi="Arial"/>
        <w:sz w:val="16"/>
        <w:szCs w:val="16"/>
      </w:rPr>
      <w:t xml:space="preserve">	</w:t>
    </w:r>
    <w:r>
      <w:rPr>
        <w:rFonts w:ascii="Arial" w:cs="Arial" w:eastAsia="Arial" w:hAnsi="Arial"/>
        <w:color w:val="888888"/>
        <w:sz w:val="16"/>
        <w:szCs w:val="16"/>
      </w:rPr>
      <w:t xml:space="preserve">Argumentario Estratégico — Versión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2026-04-20T15:48:22.253Z</dcterms:created>
  <dcterms:modified xsi:type="dcterms:W3CDTF">2026-04-20T15:48:22.254Z</dcterms:modified>
</cp:coreProperties>
</file>

<file path=docProps/custom.xml><?xml version="1.0" encoding="utf-8"?>
<Properties xmlns="http://schemas.openxmlformats.org/officeDocument/2006/custom-properties" xmlns:vt="http://schemas.openxmlformats.org/officeDocument/2006/docPropsVTypes"/>
</file>