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A029" w14:textId="77777777" w:rsidR="00BC7009" w:rsidRDefault="00BC7009"/>
    <w:p w14:paraId="0511A02A" w14:textId="77777777" w:rsidR="00BC7009" w:rsidRDefault="00000000">
      <w:pPr>
        <w:spacing w:after="80"/>
        <w:jc w:val="center"/>
      </w:pPr>
      <w:r>
        <w:rPr>
          <w:b/>
          <w:bCs/>
          <w:color w:val="002060"/>
          <w:sz w:val="36"/>
          <w:szCs w:val="36"/>
        </w:rPr>
        <w:t>Analisis Ejecutivo: Red de Articulacion Institucional</w:t>
      </w:r>
    </w:p>
    <w:p w14:paraId="0511A02B" w14:textId="77777777" w:rsidR="00BC7009" w:rsidRDefault="00000000">
      <w:pPr>
        <w:spacing w:after="80"/>
        <w:jc w:val="center"/>
      </w:pPr>
      <w:r>
        <w:rPr>
          <w:b/>
          <w:bCs/>
          <w:color w:val="002060"/>
          <w:sz w:val="36"/>
          <w:szCs w:val="36"/>
        </w:rPr>
        <w:t>PLADECO Rengo 2025-2035</w:t>
      </w:r>
    </w:p>
    <w:p w14:paraId="0511A02C" w14:textId="77777777" w:rsidR="00BC7009" w:rsidRDefault="00000000">
      <w:pPr>
        <w:pBdr>
          <w:bottom w:val="single" w:sz="8" w:space="8" w:color="002060"/>
        </w:pBdr>
        <w:spacing w:after="80"/>
        <w:jc w:val="center"/>
      </w:pPr>
      <w:r>
        <w:rPr>
          <w:color w:val="065A82"/>
          <w:sz w:val="24"/>
          <w:szCs w:val="24"/>
        </w:rPr>
        <w:t>Analisis de Redes Sociales (SNA) — Arquitectura de Gobernanza para 176 Politicas</w:t>
      </w:r>
    </w:p>
    <w:p w14:paraId="0511A02D" w14:textId="77777777" w:rsidR="00BC7009" w:rsidRDefault="00000000">
      <w:pPr>
        <w:spacing w:before="160" w:after="400"/>
        <w:jc w:val="center"/>
      </w:pPr>
      <w:r>
        <w:rPr>
          <w:color w:val="444444"/>
        </w:rPr>
        <w:t>Municipalidad de Rengo  |  SECPLAC  |  Abril 2026</w:t>
      </w:r>
    </w:p>
    <w:p w14:paraId="0511A02E" w14:textId="77777777" w:rsidR="00BC7009" w:rsidRDefault="00000000">
      <w:pPr>
        <w:pBdr>
          <w:bottom w:val="single" w:sz="6" w:space="4" w:color="065A82"/>
        </w:pBdr>
        <w:spacing w:before="360" w:after="200"/>
      </w:pPr>
      <w:r>
        <w:rPr>
          <w:b/>
          <w:bCs/>
          <w:color w:val="065A82"/>
          <w:sz w:val="28"/>
          <w:szCs w:val="28"/>
        </w:rPr>
        <w:t>1. Proposito del Analisis SNA</w:t>
      </w:r>
    </w:p>
    <w:p w14:paraId="0511A02F" w14:textId="77777777" w:rsidR="00BC7009" w:rsidRDefault="00000000">
      <w:pPr>
        <w:spacing w:after="120" w:line="276" w:lineRule="auto"/>
        <w:jc w:val="both"/>
      </w:pPr>
      <w:r>
        <w:rPr>
          <w:color w:val="000000"/>
        </w:rPr>
        <w:t xml:space="preserve">El Analisis de Redes Sociales (SNA) aplicado al PLADECO cartografia la arquitectura relacional entre las unidades municipales, los objetivos estrategicos y los actores externos que configuran la gobernanza del plan. A diferencia de los organigramas tradicionales que muestran jerarquias formales, el SNA revela los </w:t>
      </w:r>
      <w:r>
        <w:rPr>
          <w:b/>
          <w:bCs/>
          <w:color w:val="000000"/>
        </w:rPr>
        <w:t>patrones reales de coordinacion</w:t>
      </w:r>
      <w:r>
        <w:rPr>
          <w:color w:val="000000"/>
        </w:rPr>
        <w:t xml:space="preserve">, identifica cuellos de botella y expone los </w:t>
      </w:r>
      <w:r>
        <w:rPr>
          <w:b/>
          <w:bCs/>
          <w:color w:val="000000"/>
        </w:rPr>
        <w:t>huecos estructurales</w:t>
      </w:r>
      <w:r>
        <w:rPr>
          <w:color w:val="000000"/>
        </w:rPr>
        <w:t xml:space="preserve"> (Burt, 1992) donde las conexiones institucionales estan ausentes o son insuficientes. Este enfoque permite visualizar como fluyen —o se estancan— los recursos, la informacion y la autoridad a traves de la red institucional.</w:t>
      </w:r>
    </w:p>
    <w:p w14:paraId="0511A030" w14:textId="77777777" w:rsidR="00BC7009" w:rsidRDefault="00000000">
      <w:pPr>
        <w:spacing w:after="120" w:line="276" w:lineRule="auto"/>
        <w:jc w:val="both"/>
      </w:pPr>
      <w:r>
        <w:rPr>
          <w:color w:val="000000"/>
        </w:rPr>
        <w:t xml:space="preserve">El presente analisis se sustenta en el estudio de </w:t>
      </w:r>
      <w:r>
        <w:rPr>
          <w:b/>
          <w:bCs/>
          <w:color w:val="000000"/>
        </w:rPr>
        <w:t>Etnografia Institucional</w:t>
      </w:r>
      <w:r>
        <w:rPr>
          <w:color w:val="000000"/>
        </w:rPr>
        <w:t xml:space="preserve"> (Smith, 2005) realizado entre enero y marzo de 2025, que incluyo mas de 40 entrevistas semiestructuradas distribuidas en cuatro dominios: social, institucional-operativo, institucional-directivo y politico. La triangulacion de estos datos cualitativos con las metricas cuantitativas de la red (55 nodos, 76 aristas, densidad 0.051) permite una lectura robusta de las fortalezas y vulnerabilidades de la arquitectura de gobernanza que sustenta las 176 politicas del PLADECO.</w:t>
      </w:r>
    </w:p>
    <w:p w14:paraId="0511A031" w14:textId="77777777" w:rsidR="00BC7009" w:rsidRDefault="00BC7009">
      <w:pPr>
        <w:spacing w:before="300"/>
      </w:pPr>
    </w:p>
    <w:p w14:paraId="0511A032" w14:textId="77777777" w:rsidR="00BC7009" w:rsidRDefault="00000000">
      <w:pPr>
        <w:jc w:val="center"/>
      </w:pPr>
      <w:r>
        <w:rPr>
          <w:noProof/>
        </w:rPr>
        <w:lastRenderedPageBreak/>
        <w:drawing>
          <wp:inline distT="0" distB="0" distL="0" distR="0" wp14:anchorId="0511A0FD" wp14:editId="0511A0FE">
            <wp:extent cx="7915275" cy="7934325"/>
            <wp:effectExtent l="0" t="0" r="0" b="0"/>
            <wp:docPr id="1" name="G19_SNA" descr="Grafo de red de articulacion institucional PLADECO Rengo 2025-2035 con 55 nodos y 76 aristas" title="Red SNA Articulacion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915275" cy="7934325"/>
                    </a:xfrm>
                    <a:prstGeom prst="rect">
                      <a:avLst/>
                    </a:prstGeom>
                  </pic:spPr>
                </pic:pic>
              </a:graphicData>
            </a:graphic>
          </wp:inline>
        </w:drawing>
      </w:r>
    </w:p>
    <w:p w14:paraId="0511A033" w14:textId="77777777" w:rsidR="00BC7009" w:rsidRDefault="00000000">
      <w:pPr>
        <w:pBdr>
          <w:bottom w:val="single" w:sz="2" w:space="6" w:color="B0B8C4"/>
        </w:pBdr>
        <w:spacing w:before="80" w:after="300"/>
        <w:jc w:val="center"/>
      </w:pPr>
      <w:r>
        <w:rPr>
          <w:b/>
          <w:bCs/>
          <w:i/>
          <w:iCs/>
          <w:color w:val="444444"/>
          <w:sz w:val="20"/>
          <w:szCs w:val="20"/>
        </w:rPr>
        <w:t xml:space="preserve">Figura: </w:t>
      </w:r>
      <w:r>
        <w:rPr>
          <w:i/>
          <w:iCs/>
          <w:color w:val="444444"/>
          <w:sz w:val="20"/>
          <w:szCs w:val="20"/>
        </w:rPr>
        <w:t>Red de Articulacion Institucional PLADECO Rengo 2025-2035 — 55 nodos × 76 aristas × 3 tipos de vinculos</w:t>
      </w:r>
    </w:p>
    <w:p w14:paraId="0511A034" w14:textId="77777777" w:rsidR="00BC7009" w:rsidRDefault="00000000">
      <w:pPr>
        <w:pBdr>
          <w:bottom w:val="single" w:sz="6" w:space="4" w:color="065A82"/>
        </w:pBdr>
        <w:spacing w:before="360" w:after="200"/>
      </w:pPr>
      <w:r>
        <w:rPr>
          <w:b/>
          <w:bCs/>
          <w:color w:val="065A82"/>
          <w:sz w:val="28"/>
          <w:szCs w:val="28"/>
        </w:rPr>
        <w:t>2. Estructura de la Red</w:t>
      </w:r>
    </w:p>
    <w:p w14:paraId="0511A035" w14:textId="77777777" w:rsidR="00BC7009" w:rsidRDefault="00000000">
      <w:pPr>
        <w:spacing w:after="120" w:line="276" w:lineRule="auto"/>
        <w:jc w:val="both"/>
      </w:pPr>
      <w:r>
        <w:rPr>
          <w:color w:val="000000"/>
        </w:rPr>
        <w:lastRenderedPageBreak/>
        <w:t>La red de articulacion institucional se organiza en tres capas funcionales diferenciadas, cada una con un rol especifico en la arquitectura de gobernanza del PLADECO. La comprension de estas capas es esencial para interpretar las metricas de centralidad y los hallazgos estrategicos que se presentan en las secciones siguientes.</w:t>
      </w:r>
    </w:p>
    <w:p w14:paraId="0511A036" w14:textId="77777777" w:rsidR="00BC7009" w:rsidRDefault="00000000">
      <w:pPr>
        <w:spacing w:before="280" w:after="120"/>
      </w:pPr>
      <w:r>
        <w:rPr>
          <w:b/>
          <w:bCs/>
          <w:color w:val="065A82"/>
          <w:sz w:val="24"/>
          <w:szCs w:val="24"/>
        </w:rPr>
        <w:t>Capa 1 — Unidades Municipales (13 nodos, cuadrados)</w:t>
      </w:r>
    </w:p>
    <w:p w14:paraId="0511A037" w14:textId="77777777" w:rsidR="00BC7009" w:rsidRDefault="00000000">
      <w:pPr>
        <w:spacing w:after="120" w:line="276" w:lineRule="auto"/>
        <w:jc w:val="both"/>
      </w:pPr>
      <w:r>
        <w:rPr>
          <w:color w:val="000000"/>
        </w:rPr>
        <w:t xml:space="preserve">Las 13 unidades municipales conforman el nucleo operativo de la red: </w:t>
      </w:r>
      <w:r>
        <w:rPr>
          <w:b/>
          <w:bCs/>
          <w:color w:val="000000"/>
        </w:rPr>
        <w:t>SECPLAN, DIDECO, DAEM, Depto. Salud, DSP, DOM, Aseo y Ornato, DAF, RRHH, Informatica, Juridica, Alcaldia y Contraloria Interna</w:t>
      </w:r>
      <w:r>
        <w:rPr>
          <w:color w:val="000000"/>
        </w:rPr>
        <w:t xml:space="preserve">. La etnografia institucional confirmo que cinco de estas unidades (DIDECO, SECPLAN, DOM, Depto. Salud y DSP) concentran mas del </w:t>
      </w:r>
      <w:r>
        <w:rPr>
          <w:b/>
          <w:bCs/>
          <w:color w:val="000000"/>
        </w:rPr>
        <w:t>70% de las citas operativas</w:t>
      </w:r>
      <w:r>
        <w:rPr>
          <w:color w:val="000000"/>
        </w:rPr>
        <w:t xml:space="preserve">, evidenciando una marcada concentracion de carga de trabajo. El municipio cuenta con 939 funcionarios (3.o a nivel regional), pero solo un </w:t>
      </w:r>
      <w:r>
        <w:rPr>
          <w:b/>
          <w:bCs/>
          <w:color w:val="000000"/>
        </w:rPr>
        <w:t>34.5% de profesionalizacion (26.o de 33 comunas)</w:t>
      </w:r>
      <w:r>
        <w:rPr>
          <w:color w:val="000000"/>
        </w:rPr>
        <w:t>, lo que limita la capacidad de absorcion de las funciones que el PLADECO demanda.</w:t>
      </w:r>
    </w:p>
    <w:p w14:paraId="0511A038" w14:textId="77777777" w:rsidR="00BC7009" w:rsidRDefault="00000000">
      <w:pPr>
        <w:spacing w:before="280" w:after="120"/>
      </w:pPr>
      <w:r>
        <w:rPr>
          <w:b/>
          <w:bCs/>
          <w:color w:val="065A82"/>
          <w:sz w:val="24"/>
          <w:szCs w:val="24"/>
        </w:rPr>
        <w:t>Capa 2 — 32 Objetivos Estrategicos (nodos circulares, coloreados por eje)</w:t>
      </w:r>
    </w:p>
    <w:p w14:paraId="0511A039" w14:textId="77777777" w:rsidR="00BC7009" w:rsidRDefault="00000000">
      <w:pPr>
        <w:spacing w:after="120" w:line="276" w:lineRule="auto"/>
        <w:jc w:val="both"/>
      </w:pPr>
      <w:r>
        <w:rPr>
          <w:color w:val="000000"/>
        </w:rPr>
        <w:t xml:space="preserve">El tamano de cada nodo es proporcional al numero de acciones asociadas. Los nodos de mayor tamano son: </w:t>
      </w:r>
      <w:r>
        <w:rPr>
          <w:b/>
          <w:bCs/>
          <w:color w:val="000000"/>
        </w:rPr>
        <w:t>OE 6.6 Cuentas Publicas (9 acciones)</w:t>
      </w:r>
      <w:r>
        <w:rPr>
          <w:color w:val="000000"/>
        </w:rPr>
        <w:t>, OE 6.2 RRHH (6 acciones) y OE 6.4 Unidad de Medio Ambiente (5 acciones). El agrupamiento por color revela las 6 comunidades temicas correspondientes a los ejes del PLADECO: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4989"/>
        <w:gridCol w:w="2722"/>
      </w:tblGrid>
      <w:tr w:rsidR="00BC7009" w14:paraId="0511A03D" w14:textId="77777777">
        <w:tblPrEx>
          <w:tblCellMar>
            <w:top w:w="0" w:type="dxa"/>
            <w:bottom w:w="0" w:type="dxa"/>
          </w:tblCellMar>
        </w:tblPrEx>
        <w:tc>
          <w:tcPr>
            <w:tcW w:w="1361" w:type="dxa"/>
            <w:tcBorders>
              <w:top w:val="single" w:sz="1" w:space="0" w:color="B0B8C4"/>
              <w:left w:val="single" w:sz="1" w:space="0" w:color="B0B8C4"/>
              <w:bottom w:val="single" w:sz="1" w:space="0" w:color="B0B8C4"/>
              <w:right w:val="single" w:sz="1" w:space="0" w:color="B0B8C4"/>
            </w:tcBorders>
            <w:shd w:val="clear" w:color="auto" w:fill="002060"/>
            <w:tcMar>
              <w:top w:w="60" w:type="dxa"/>
              <w:left w:w="100" w:type="dxa"/>
              <w:bottom w:w="60" w:type="dxa"/>
              <w:right w:w="100" w:type="dxa"/>
            </w:tcMar>
          </w:tcPr>
          <w:p w14:paraId="0511A03A" w14:textId="77777777" w:rsidR="00BC7009" w:rsidRDefault="00000000">
            <w:pPr>
              <w:jc w:val="center"/>
            </w:pPr>
            <w:r>
              <w:rPr>
                <w:b/>
                <w:bCs/>
                <w:color w:val="FFFFFF"/>
                <w:sz w:val="20"/>
                <w:szCs w:val="20"/>
              </w:rPr>
              <w:t>Color</w:t>
            </w:r>
          </w:p>
        </w:tc>
        <w:tc>
          <w:tcPr>
            <w:tcW w:w="4990" w:type="dxa"/>
            <w:tcBorders>
              <w:top w:val="single" w:sz="1" w:space="0" w:color="B0B8C4"/>
              <w:left w:val="single" w:sz="1" w:space="0" w:color="B0B8C4"/>
              <w:bottom w:val="single" w:sz="1" w:space="0" w:color="B0B8C4"/>
              <w:right w:val="single" w:sz="1" w:space="0" w:color="B0B8C4"/>
            </w:tcBorders>
            <w:shd w:val="clear" w:color="auto" w:fill="002060"/>
            <w:tcMar>
              <w:top w:w="60" w:type="dxa"/>
              <w:left w:w="100" w:type="dxa"/>
              <w:bottom w:w="60" w:type="dxa"/>
              <w:right w:w="100" w:type="dxa"/>
            </w:tcMar>
          </w:tcPr>
          <w:p w14:paraId="0511A03B" w14:textId="77777777" w:rsidR="00BC7009" w:rsidRDefault="00000000">
            <w:pPr>
              <w:jc w:val="center"/>
            </w:pPr>
            <w:r>
              <w:rPr>
                <w:b/>
                <w:bCs/>
                <w:color w:val="FFFFFF"/>
                <w:sz w:val="20"/>
                <w:szCs w:val="20"/>
              </w:rPr>
              <w:t>Eje Tematico</w:t>
            </w:r>
          </w:p>
        </w:tc>
        <w:tc>
          <w:tcPr>
            <w:tcW w:w="2722" w:type="dxa"/>
            <w:tcBorders>
              <w:top w:val="single" w:sz="1" w:space="0" w:color="B0B8C4"/>
              <w:left w:val="single" w:sz="1" w:space="0" w:color="B0B8C4"/>
              <w:bottom w:val="single" w:sz="1" w:space="0" w:color="B0B8C4"/>
              <w:right w:val="single" w:sz="1" w:space="0" w:color="B0B8C4"/>
            </w:tcBorders>
            <w:shd w:val="clear" w:color="auto" w:fill="002060"/>
            <w:tcMar>
              <w:top w:w="60" w:type="dxa"/>
              <w:left w:w="100" w:type="dxa"/>
              <w:bottom w:w="60" w:type="dxa"/>
              <w:right w:w="100" w:type="dxa"/>
            </w:tcMar>
          </w:tcPr>
          <w:p w14:paraId="0511A03C" w14:textId="77777777" w:rsidR="00BC7009" w:rsidRDefault="00000000">
            <w:pPr>
              <w:jc w:val="center"/>
            </w:pPr>
            <w:r>
              <w:rPr>
                <w:b/>
                <w:bCs/>
                <w:color w:val="FFFFFF"/>
                <w:sz w:val="20"/>
                <w:szCs w:val="20"/>
              </w:rPr>
              <w:t>Acciones</w:t>
            </w:r>
          </w:p>
        </w:tc>
      </w:tr>
      <w:tr w:rsidR="00BC7009" w14:paraId="0511A041" w14:textId="77777777">
        <w:tblPrEx>
          <w:tblCellMar>
            <w:top w:w="0" w:type="dxa"/>
            <w:bottom w:w="0" w:type="dxa"/>
          </w:tblCellMar>
        </w:tblPrEx>
        <w:tc>
          <w:tcPr>
            <w:tcW w:w="1361"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3E" w14:textId="77777777" w:rsidR="00BC7009" w:rsidRDefault="00000000">
            <w:r>
              <w:rPr>
                <w:color w:val="000000"/>
                <w:sz w:val="20"/>
                <w:szCs w:val="20"/>
              </w:rPr>
              <w:t>Berry</w:t>
            </w:r>
          </w:p>
        </w:tc>
        <w:tc>
          <w:tcPr>
            <w:tcW w:w="4990"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3F" w14:textId="77777777" w:rsidR="00BC7009" w:rsidRDefault="00000000">
            <w:r>
              <w:rPr>
                <w:color w:val="000000"/>
                <w:sz w:val="20"/>
                <w:szCs w:val="20"/>
              </w:rPr>
              <w:t>Eje 1: Desarrollo Social y Comunitario</w:t>
            </w:r>
          </w:p>
        </w:tc>
        <w:tc>
          <w:tcPr>
            <w:tcW w:w="2722"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40" w14:textId="77777777" w:rsidR="00BC7009" w:rsidRDefault="00000000">
            <w:pPr>
              <w:jc w:val="center"/>
            </w:pPr>
            <w:r>
              <w:rPr>
                <w:color w:val="000000"/>
                <w:sz w:val="20"/>
                <w:szCs w:val="20"/>
              </w:rPr>
              <w:t>51 acciones</w:t>
            </w:r>
          </w:p>
        </w:tc>
      </w:tr>
      <w:tr w:rsidR="00BC7009" w14:paraId="0511A045" w14:textId="77777777">
        <w:tblPrEx>
          <w:tblCellMar>
            <w:top w:w="0" w:type="dxa"/>
            <w:bottom w:w="0" w:type="dxa"/>
          </w:tblCellMar>
        </w:tblPrEx>
        <w:tc>
          <w:tcPr>
            <w:tcW w:w="1361"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42" w14:textId="77777777" w:rsidR="00BC7009" w:rsidRDefault="00000000">
            <w:r>
              <w:rPr>
                <w:color w:val="000000"/>
                <w:sz w:val="20"/>
                <w:szCs w:val="20"/>
              </w:rPr>
              <w:t>Verde</w:t>
            </w:r>
          </w:p>
        </w:tc>
        <w:tc>
          <w:tcPr>
            <w:tcW w:w="4990"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43" w14:textId="77777777" w:rsidR="00BC7009" w:rsidRDefault="00000000">
            <w:r>
              <w:rPr>
                <w:color w:val="000000"/>
                <w:sz w:val="20"/>
                <w:szCs w:val="20"/>
              </w:rPr>
              <w:t>Eje 2: Medio Ambiente y Sustentabilidad</w:t>
            </w:r>
          </w:p>
        </w:tc>
        <w:tc>
          <w:tcPr>
            <w:tcW w:w="2722"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44" w14:textId="77777777" w:rsidR="00BC7009" w:rsidRDefault="00000000">
            <w:pPr>
              <w:jc w:val="center"/>
            </w:pPr>
            <w:r>
              <w:rPr>
                <w:color w:val="000000"/>
                <w:sz w:val="20"/>
                <w:szCs w:val="20"/>
              </w:rPr>
              <w:t>17 acciones</w:t>
            </w:r>
          </w:p>
        </w:tc>
      </w:tr>
      <w:tr w:rsidR="00BC7009" w14:paraId="0511A049" w14:textId="77777777">
        <w:tblPrEx>
          <w:tblCellMar>
            <w:top w:w="0" w:type="dxa"/>
            <w:bottom w:w="0" w:type="dxa"/>
          </w:tblCellMar>
        </w:tblPrEx>
        <w:tc>
          <w:tcPr>
            <w:tcW w:w="1361"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46" w14:textId="77777777" w:rsidR="00BC7009" w:rsidRDefault="00000000">
            <w:r>
              <w:rPr>
                <w:color w:val="000000"/>
                <w:sz w:val="20"/>
                <w:szCs w:val="20"/>
              </w:rPr>
              <w:t>Ambar</w:t>
            </w:r>
          </w:p>
        </w:tc>
        <w:tc>
          <w:tcPr>
            <w:tcW w:w="4990"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47" w14:textId="77777777" w:rsidR="00BC7009" w:rsidRDefault="00000000">
            <w:r>
              <w:rPr>
                <w:color w:val="000000"/>
                <w:sz w:val="20"/>
                <w:szCs w:val="20"/>
              </w:rPr>
              <w:t>Eje 3: Educacion, Cultura y Patrimonio</w:t>
            </w:r>
          </w:p>
        </w:tc>
        <w:tc>
          <w:tcPr>
            <w:tcW w:w="2722"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48" w14:textId="77777777" w:rsidR="00BC7009" w:rsidRDefault="00000000">
            <w:pPr>
              <w:jc w:val="center"/>
            </w:pPr>
            <w:r>
              <w:rPr>
                <w:color w:val="000000"/>
                <w:sz w:val="20"/>
                <w:szCs w:val="20"/>
              </w:rPr>
              <w:t>14 acciones</w:t>
            </w:r>
          </w:p>
        </w:tc>
      </w:tr>
      <w:tr w:rsidR="00BC7009" w14:paraId="0511A04D" w14:textId="77777777">
        <w:tblPrEx>
          <w:tblCellMar>
            <w:top w:w="0" w:type="dxa"/>
            <w:bottom w:w="0" w:type="dxa"/>
          </w:tblCellMar>
        </w:tblPrEx>
        <w:tc>
          <w:tcPr>
            <w:tcW w:w="1361"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4A" w14:textId="77777777" w:rsidR="00BC7009" w:rsidRDefault="00000000">
            <w:r>
              <w:rPr>
                <w:color w:val="000000"/>
                <w:sz w:val="20"/>
                <w:szCs w:val="20"/>
              </w:rPr>
              <w:t>Terracota</w:t>
            </w:r>
          </w:p>
        </w:tc>
        <w:tc>
          <w:tcPr>
            <w:tcW w:w="4990"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4B" w14:textId="77777777" w:rsidR="00BC7009" w:rsidRDefault="00000000">
            <w:r>
              <w:rPr>
                <w:color w:val="000000"/>
                <w:sz w:val="20"/>
                <w:szCs w:val="20"/>
              </w:rPr>
              <w:t>Eje 4: Desarrollo Economico y Territorial</w:t>
            </w:r>
          </w:p>
        </w:tc>
        <w:tc>
          <w:tcPr>
            <w:tcW w:w="2722"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4C" w14:textId="77777777" w:rsidR="00BC7009" w:rsidRDefault="00000000">
            <w:pPr>
              <w:jc w:val="center"/>
            </w:pPr>
            <w:r>
              <w:rPr>
                <w:color w:val="000000"/>
                <w:sz w:val="20"/>
                <w:szCs w:val="20"/>
              </w:rPr>
              <w:t>33 acciones</w:t>
            </w:r>
          </w:p>
        </w:tc>
      </w:tr>
      <w:tr w:rsidR="00BC7009" w14:paraId="0511A051" w14:textId="77777777">
        <w:tblPrEx>
          <w:tblCellMar>
            <w:top w:w="0" w:type="dxa"/>
            <w:bottom w:w="0" w:type="dxa"/>
          </w:tblCellMar>
        </w:tblPrEx>
        <w:tc>
          <w:tcPr>
            <w:tcW w:w="1361"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4E" w14:textId="77777777" w:rsidR="00BC7009" w:rsidRDefault="00000000">
            <w:r>
              <w:rPr>
                <w:color w:val="000000"/>
                <w:sz w:val="20"/>
                <w:szCs w:val="20"/>
              </w:rPr>
              <w:t>Rojo</w:t>
            </w:r>
          </w:p>
        </w:tc>
        <w:tc>
          <w:tcPr>
            <w:tcW w:w="4990"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4F" w14:textId="77777777" w:rsidR="00BC7009" w:rsidRDefault="00000000">
            <w:r>
              <w:rPr>
                <w:color w:val="000000"/>
                <w:sz w:val="20"/>
                <w:szCs w:val="20"/>
              </w:rPr>
              <w:t>Eje 5: Infraestructura y Conectividad</w:t>
            </w:r>
          </w:p>
        </w:tc>
        <w:tc>
          <w:tcPr>
            <w:tcW w:w="2722"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50" w14:textId="77777777" w:rsidR="00BC7009" w:rsidRDefault="00000000">
            <w:pPr>
              <w:jc w:val="center"/>
            </w:pPr>
            <w:r>
              <w:rPr>
                <w:color w:val="000000"/>
                <w:sz w:val="20"/>
                <w:szCs w:val="20"/>
              </w:rPr>
              <w:t>28 acciones</w:t>
            </w:r>
          </w:p>
        </w:tc>
      </w:tr>
      <w:tr w:rsidR="00BC7009" w14:paraId="0511A055" w14:textId="77777777">
        <w:tblPrEx>
          <w:tblCellMar>
            <w:top w:w="0" w:type="dxa"/>
            <w:bottom w:w="0" w:type="dxa"/>
          </w:tblCellMar>
        </w:tblPrEx>
        <w:tc>
          <w:tcPr>
            <w:tcW w:w="1361"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52" w14:textId="77777777" w:rsidR="00BC7009" w:rsidRDefault="00000000">
            <w:r>
              <w:rPr>
                <w:color w:val="000000"/>
                <w:sz w:val="20"/>
                <w:szCs w:val="20"/>
              </w:rPr>
              <w:t>Teal</w:t>
            </w:r>
          </w:p>
        </w:tc>
        <w:tc>
          <w:tcPr>
            <w:tcW w:w="4990"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53" w14:textId="77777777" w:rsidR="00BC7009" w:rsidRDefault="00000000">
            <w:r>
              <w:rPr>
                <w:color w:val="000000"/>
                <w:sz w:val="20"/>
                <w:szCs w:val="20"/>
              </w:rPr>
              <w:t>Eje 6: Gobernanza e Institucionalidad</w:t>
            </w:r>
          </w:p>
        </w:tc>
        <w:tc>
          <w:tcPr>
            <w:tcW w:w="2722"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54" w14:textId="77777777" w:rsidR="00BC7009" w:rsidRDefault="00000000">
            <w:pPr>
              <w:jc w:val="center"/>
            </w:pPr>
            <w:r>
              <w:rPr>
                <w:color w:val="000000"/>
                <w:sz w:val="20"/>
                <w:szCs w:val="20"/>
              </w:rPr>
              <w:t>33 acciones</w:t>
            </w:r>
          </w:p>
        </w:tc>
      </w:tr>
    </w:tbl>
    <w:p w14:paraId="0511A056" w14:textId="77777777" w:rsidR="00BC7009" w:rsidRDefault="00BC7009">
      <w:pPr>
        <w:spacing w:after="120"/>
      </w:pPr>
    </w:p>
    <w:p w14:paraId="0511A057" w14:textId="77777777" w:rsidR="00BC7009" w:rsidRDefault="00000000">
      <w:pPr>
        <w:spacing w:before="280" w:after="120"/>
      </w:pPr>
      <w:r>
        <w:rPr>
          <w:b/>
          <w:bCs/>
          <w:color w:val="065A82"/>
          <w:sz w:val="24"/>
          <w:szCs w:val="24"/>
        </w:rPr>
        <w:t>Capa 3 — Actores Externos (10 nodos, diamantes)</w:t>
      </w:r>
    </w:p>
    <w:p w14:paraId="0511A058" w14:textId="77777777" w:rsidR="00BC7009" w:rsidRDefault="00000000">
      <w:pPr>
        <w:spacing w:after="120" w:line="276" w:lineRule="auto"/>
        <w:jc w:val="both"/>
      </w:pPr>
      <w:r>
        <w:rPr>
          <w:color w:val="000000"/>
        </w:rPr>
        <w:t xml:space="preserve">Los 10 actores externos representan la arquitectura de </w:t>
      </w:r>
      <w:r>
        <w:rPr>
          <w:b/>
          <w:bCs/>
          <w:color w:val="000000"/>
        </w:rPr>
        <w:t>gobernanza multinivel</w:t>
      </w:r>
      <w:r>
        <w:rPr>
          <w:color w:val="000000"/>
        </w:rPr>
        <w:t xml:space="preserve"> (Marks &amp; Hooghe, 2003) que el PLADECO debe navegar para acceder a financiamiento sectorial y regional: </w:t>
      </w:r>
      <w:r>
        <w:rPr>
          <w:b/>
          <w:bCs/>
          <w:color w:val="000000"/>
        </w:rPr>
        <w:t>GORE O'Higgins, SERNATUR, SENCE, MINVU, MOP/DOH, MINSAL, SENAPRED, CORFO, COSOC y CGR</w:t>
      </w:r>
      <w:r>
        <w:rPr>
          <w:color w:val="000000"/>
        </w:rPr>
        <w:t>. Estos actores proporcionan recursos FNDR, sectoriales y de fiscalizacion que son criticos para la viabilidad financiera de las 176 politicas.</w:t>
      </w:r>
    </w:p>
    <w:p w14:paraId="0511A059" w14:textId="77777777" w:rsidR="00BC7009" w:rsidRDefault="00000000">
      <w:r>
        <w:br w:type="page"/>
      </w:r>
    </w:p>
    <w:p w14:paraId="0511A05A" w14:textId="77777777" w:rsidR="00BC7009" w:rsidRDefault="00000000">
      <w:pPr>
        <w:pBdr>
          <w:bottom w:val="single" w:sz="6" w:space="4" w:color="065A82"/>
        </w:pBdr>
        <w:spacing w:before="360" w:after="200"/>
      </w:pPr>
      <w:r>
        <w:rPr>
          <w:b/>
          <w:bCs/>
          <w:color w:val="065A82"/>
          <w:sz w:val="28"/>
          <w:szCs w:val="28"/>
        </w:rPr>
        <w:lastRenderedPageBreak/>
        <w:t>3. Metricas Clave de la Red</w:t>
      </w:r>
    </w:p>
    <w:p w14:paraId="0511A05B" w14:textId="77777777" w:rsidR="00BC7009" w:rsidRDefault="00000000">
      <w:pPr>
        <w:spacing w:before="280" w:after="120"/>
      </w:pPr>
      <w:r>
        <w:rPr>
          <w:b/>
          <w:bCs/>
          <w:color w:val="065A82"/>
          <w:sz w:val="24"/>
          <w:szCs w:val="24"/>
        </w:rPr>
        <w:t>3.1 Betweenness Centrality (Intermediacion)</w:t>
      </w:r>
    </w:p>
    <w:p w14:paraId="0511A05C" w14:textId="77777777" w:rsidR="00BC7009" w:rsidRDefault="00000000">
      <w:pPr>
        <w:spacing w:after="120" w:line="276" w:lineRule="auto"/>
        <w:jc w:val="both"/>
      </w:pPr>
      <w:r>
        <w:rPr>
          <w:color w:val="000000"/>
        </w:rPr>
        <w:t xml:space="preserve">La centralidad de intermediacion (betweenness) mide con que frecuencia un nodo se encuentra en el camino mas corto entre otros dos nodos de la red. Un valor alto de intermediacion indica que el nodo actua como </w:t>
      </w:r>
      <w:r>
        <w:rPr>
          <w:b/>
          <w:bCs/>
          <w:color w:val="000000"/>
        </w:rPr>
        <w:t>intermediario critico</w:t>
      </w:r>
      <w:r>
        <w:rPr>
          <w:color w:val="000000"/>
        </w:rPr>
        <w:t>: si fuera removido, la informacion y los recursos no podrian fluir eficientemente entre las partes de la red que conecta. En terminos de gobernanza, estos nodos son los puntos de articulacion cuyo debilitamiento fragmentaria la coordinacion institucional.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
        <w:gridCol w:w="2287"/>
        <w:gridCol w:w="1479"/>
        <w:gridCol w:w="4774"/>
      </w:tblGrid>
      <w:tr w:rsidR="00BC7009" w14:paraId="0511A061"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002060"/>
            <w:tcMar>
              <w:top w:w="60" w:type="dxa"/>
              <w:left w:w="100" w:type="dxa"/>
              <w:bottom w:w="60" w:type="dxa"/>
              <w:right w:w="100" w:type="dxa"/>
            </w:tcMar>
          </w:tcPr>
          <w:p w14:paraId="0511A05D" w14:textId="77777777" w:rsidR="00BC7009" w:rsidRDefault="00000000">
            <w:pPr>
              <w:jc w:val="center"/>
            </w:pPr>
            <w:r>
              <w:rPr>
                <w:b/>
                <w:bCs/>
                <w:color w:val="FFFFFF"/>
                <w:sz w:val="20"/>
                <w:szCs w:val="20"/>
              </w:rPr>
              <w:t>#</w:t>
            </w:r>
          </w:p>
        </w:tc>
        <w:tc>
          <w:tcPr>
            <w:tcW w:w="2359" w:type="dxa"/>
            <w:tcBorders>
              <w:top w:val="single" w:sz="1" w:space="0" w:color="B0B8C4"/>
              <w:left w:val="single" w:sz="1" w:space="0" w:color="B0B8C4"/>
              <w:bottom w:val="single" w:sz="1" w:space="0" w:color="B0B8C4"/>
              <w:right w:val="single" w:sz="1" w:space="0" w:color="B0B8C4"/>
            </w:tcBorders>
            <w:shd w:val="clear" w:color="auto" w:fill="002060"/>
            <w:tcMar>
              <w:top w:w="60" w:type="dxa"/>
              <w:left w:w="100" w:type="dxa"/>
              <w:bottom w:w="60" w:type="dxa"/>
              <w:right w:w="100" w:type="dxa"/>
            </w:tcMar>
          </w:tcPr>
          <w:p w14:paraId="0511A05E" w14:textId="77777777" w:rsidR="00BC7009" w:rsidRDefault="00000000">
            <w:pPr>
              <w:jc w:val="center"/>
            </w:pPr>
            <w:r>
              <w:rPr>
                <w:b/>
                <w:bCs/>
                <w:color w:val="FFFFFF"/>
                <w:sz w:val="20"/>
                <w:szCs w:val="20"/>
              </w:rPr>
              <w:t>Nodo</w:t>
            </w:r>
          </w:p>
        </w:tc>
        <w:tc>
          <w:tcPr>
            <w:tcW w:w="1089" w:type="dxa"/>
            <w:tcBorders>
              <w:top w:val="single" w:sz="1" w:space="0" w:color="B0B8C4"/>
              <w:left w:val="single" w:sz="1" w:space="0" w:color="B0B8C4"/>
              <w:bottom w:val="single" w:sz="1" w:space="0" w:color="B0B8C4"/>
              <w:right w:val="single" w:sz="1" w:space="0" w:color="B0B8C4"/>
            </w:tcBorders>
            <w:shd w:val="clear" w:color="auto" w:fill="002060"/>
            <w:tcMar>
              <w:top w:w="60" w:type="dxa"/>
              <w:left w:w="100" w:type="dxa"/>
              <w:bottom w:w="60" w:type="dxa"/>
              <w:right w:w="100" w:type="dxa"/>
            </w:tcMar>
          </w:tcPr>
          <w:p w14:paraId="0511A05F" w14:textId="77777777" w:rsidR="00BC7009" w:rsidRDefault="00000000">
            <w:pPr>
              <w:jc w:val="center"/>
            </w:pPr>
            <w:r>
              <w:rPr>
                <w:b/>
                <w:bCs/>
                <w:color w:val="FFFFFF"/>
                <w:sz w:val="20"/>
                <w:szCs w:val="20"/>
              </w:rPr>
              <w:t>Betweenness</w:t>
            </w:r>
          </w:p>
        </w:tc>
        <w:tc>
          <w:tcPr>
            <w:tcW w:w="5080" w:type="dxa"/>
            <w:tcBorders>
              <w:top w:val="single" w:sz="1" w:space="0" w:color="B0B8C4"/>
              <w:left w:val="single" w:sz="1" w:space="0" w:color="B0B8C4"/>
              <w:bottom w:val="single" w:sz="1" w:space="0" w:color="B0B8C4"/>
              <w:right w:val="single" w:sz="1" w:space="0" w:color="B0B8C4"/>
            </w:tcBorders>
            <w:shd w:val="clear" w:color="auto" w:fill="002060"/>
            <w:tcMar>
              <w:top w:w="60" w:type="dxa"/>
              <w:left w:w="100" w:type="dxa"/>
              <w:bottom w:w="60" w:type="dxa"/>
              <w:right w:w="100" w:type="dxa"/>
            </w:tcMar>
          </w:tcPr>
          <w:p w14:paraId="0511A060" w14:textId="77777777" w:rsidR="00BC7009" w:rsidRDefault="00000000">
            <w:pPr>
              <w:jc w:val="center"/>
            </w:pPr>
            <w:r>
              <w:rPr>
                <w:b/>
                <w:bCs/>
                <w:color w:val="FFFFFF"/>
                <w:sz w:val="20"/>
                <w:szCs w:val="20"/>
              </w:rPr>
              <w:t>Interpretacion Estrategica</w:t>
            </w:r>
          </w:p>
        </w:tc>
      </w:tr>
      <w:tr w:rsidR="00BC7009" w14:paraId="0511A066"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62" w14:textId="77777777" w:rsidR="00BC7009" w:rsidRDefault="00000000">
            <w:pPr>
              <w:jc w:val="center"/>
            </w:pPr>
            <w:r>
              <w:rPr>
                <w:b/>
                <w:bCs/>
                <w:color w:val="000000"/>
                <w:sz w:val="20"/>
                <w:szCs w:val="20"/>
              </w:rPr>
              <w:t>1</w:t>
            </w:r>
          </w:p>
        </w:tc>
        <w:tc>
          <w:tcPr>
            <w:tcW w:w="2359"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63" w14:textId="77777777" w:rsidR="00BC7009" w:rsidRDefault="00000000">
            <w:r>
              <w:rPr>
                <w:b/>
                <w:bCs/>
                <w:color w:val="002060"/>
                <w:sz w:val="20"/>
                <w:szCs w:val="20"/>
              </w:rPr>
              <w:t>OE 6.6 Cuentas Publicas</w:t>
            </w:r>
          </w:p>
        </w:tc>
        <w:tc>
          <w:tcPr>
            <w:tcW w:w="1089"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64" w14:textId="77777777" w:rsidR="00BC7009" w:rsidRDefault="00000000">
            <w:pPr>
              <w:jc w:val="center"/>
            </w:pPr>
            <w:r>
              <w:rPr>
                <w:b/>
                <w:bCs/>
                <w:color w:val="000000"/>
                <w:sz w:val="20"/>
                <w:szCs w:val="20"/>
              </w:rPr>
              <w:t>0.3352</w:t>
            </w:r>
          </w:p>
        </w:tc>
        <w:tc>
          <w:tcPr>
            <w:tcW w:w="5080"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65" w14:textId="77777777" w:rsidR="00BC7009" w:rsidRDefault="00000000">
            <w:r>
              <w:rPr>
                <w:color w:val="000000"/>
                <w:sz w:val="20"/>
                <w:szCs w:val="20"/>
              </w:rPr>
              <w:t>Nodo mas central; conecta Alcaldia, DAF, Juridica, Informatica, Contraloria, COSOC y CGR</w:t>
            </w:r>
          </w:p>
        </w:tc>
      </w:tr>
      <w:tr w:rsidR="00BC7009" w14:paraId="0511A06B"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67" w14:textId="77777777" w:rsidR="00BC7009" w:rsidRDefault="00000000">
            <w:pPr>
              <w:jc w:val="center"/>
            </w:pPr>
            <w:r>
              <w:rPr>
                <w:b/>
                <w:bCs/>
                <w:color w:val="000000"/>
                <w:sz w:val="20"/>
                <w:szCs w:val="20"/>
              </w:rPr>
              <w:t>2</w:t>
            </w:r>
          </w:p>
        </w:tc>
        <w:tc>
          <w:tcPr>
            <w:tcW w:w="2359"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68" w14:textId="77777777" w:rsidR="00BC7009" w:rsidRDefault="00000000">
            <w:r>
              <w:rPr>
                <w:b/>
                <w:bCs/>
                <w:color w:val="002060"/>
                <w:sz w:val="20"/>
                <w:szCs w:val="20"/>
              </w:rPr>
              <w:t>SECPLAN</w:t>
            </w:r>
          </w:p>
        </w:tc>
        <w:tc>
          <w:tcPr>
            <w:tcW w:w="1089"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69" w14:textId="77777777" w:rsidR="00BC7009" w:rsidRDefault="00000000">
            <w:pPr>
              <w:jc w:val="center"/>
            </w:pPr>
            <w:r>
              <w:rPr>
                <w:b/>
                <w:bCs/>
                <w:color w:val="000000"/>
                <w:sz w:val="20"/>
                <w:szCs w:val="20"/>
              </w:rPr>
              <w:t>0.3204</w:t>
            </w:r>
          </w:p>
        </w:tc>
        <w:tc>
          <w:tcPr>
            <w:tcW w:w="5080"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6A" w14:textId="77777777" w:rsidR="00BC7009" w:rsidRDefault="00000000">
            <w:r>
              <w:rPr>
                <w:color w:val="000000"/>
                <w:sz w:val="20"/>
                <w:szCs w:val="20"/>
              </w:rPr>
              <w:t>Puente entre planificacion y ejecucion (Art. 21); tasa de adjudicacion 50.8%</w:t>
            </w:r>
          </w:p>
        </w:tc>
      </w:tr>
      <w:tr w:rsidR="00BC7009" w14:paraId="0511A070"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6C" w14:textId="77777777" w:rsidR="00BC7009" w:rsidRDefault="00000000">
            <w:pPr>
              <w:jc w:val="center"/>
            </w:pPr>
            <w:r>
              <w:rPr>
                <w:b/>
                <w:bCs/>
                <w:color w:val="000000"/>
                <w:sz w:val="20"/>
                <w:szCs w:val="20"/>
              </w:rPr>
              <w:t>3</w:t>
            </w:r>
          </w:p>
        </w:tc>
        <w:tc>
          <w:tcPr>
            <w:tcW w:w="2359"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6D" w14:textId="77777777" w:rsidR="00BC7009" w:rsidRDefault="00000000">
            <w:r>
              <w:rPr>
                <w:b/>
                <w:bCs/>
                <w:color w:val="002060"/>
                <w:sz w:val="20"/>
                <w:szCs w:val="20"/>
              </w:rPr>
              <w:t>OE 4.5 Riesgo Hidrico</w:t>
            </w:r>
          </w:p>
        </w:tc>
        <w:tc>
          <w:tcPr>
            <w:tcW w:w="1089"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6E" w14:textId="77777777" w:rsidR="00BC7009" w:rsidRDefault="00000000">
            <w:pPr>
              <w:jc w:val="center"/>
            </w:pPr>
            <w:r>
              <w:rPr>
                <w:b/>
                <w:bCs/>
                <w:color w:val="000000"/>
                <w:sz w:val="20"/>
                <w:szCs w:val="20"/>
              </w:rPr>
              <w:t>0.3083</w:t>
            </w:r>
          </w:p>
        </w:tc>
        <w:tc>
          <w:tcPr>
            <w:tcW w:w="5080"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6F" w14:textId="77777777" w:rsidR="00BC7009" w:rsidRDefault="00000000">
            <w:r>
              <w:rPr>
                <w:color w:val="000000"/>
                <w:sz w:val="20"/>
                <w:szCs w:val="20"/>
              </w:rPr>
              <w:t>Conecta MOP/DOH con gestion de emergencias y agricultura (cuenca Rio Claro)</w:t>
            </w:r>
          </w:p>
        </w:tc>
      </w:tr>
      <w:tr w:rsidR="00BC7009" w14:paraId="0511A075"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71" w14:textId="77777777" w:rsidR="00BC7009" w:rsidRDefault="00000000">
            <w:pPr>
              <w:jc w:val="center"/>
            </w:pPr>
            <w:r>
              <w:rPr>
                <w:b/>
                <w:bCs/>
                <w:color w:val="000000"/>
                <w:sz w:val="20"/>
                <w:szCs w:val="20"/>
              </w:rPr>
              <w:t>4</w:t>
            </w:r>
          </w:p>
        </w:tc>
        <w:tc>
          <w:tcPr>
            <w:tcW w:w="2359"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72" w14:textId="77777777" w:rsidR="00BC7009" w:rsidRDefault="00000000">
            <w:r>
              <w:rPr>
                <w:b/>
                <w:bCs/>
                <w:color w:val="002060"/>
                <w:sz w:val="20"/>
                <w:szCs w:val="20"/>
              </w:rPr>
              <w:t>DIDECO</w:t>
            </w:r>
          </w:p>
        </w:tc>
        <w:tc>
          <w:tcPr>
            <w:tcW w:w="1089"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73" w14:textId="77777777" w:rsidR="00BC7009" w:rsidRDefault="00000000">
            <w:pPr>
              <w:jc w:val="center"/>
            </w:pPr>
            <w:r>
              <w:rPr>
                <w:b/>
                <w:bCs/>
                <w:color w:val="000000"/>
                <w:sz w:val="20"/>
                <w:szCs w:val="20"/>
              </w:rPr>
              <w:t>0.2797</w:t>
            </w:r>
          </w:p>
        </w:tc>
        <w:tc>
          <w:tcPr>
            <w:tcW w:w="5080"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74" w14:textId="77777777" w:rsidR="00BC7009" w:rsidRDefault="00000000">
            <w:r>
              <w:rPr>
                <w:color w:val="000000"/>
                <w:sz w:val="20"/>
                <w:szCs w:val="20"/>
              </w:rPr>
              <w:t>Interfaz comunitaria; gestiona 330 organizaciones; deficit de vehiculos (H2)</w:t>
            </w:r>
          </w:p>
        </w:tc>
      </w:tr>
      <w:tr w:rsidR="00BC7009" w14:paraId="0511A07A"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76" w14:textId="77777777" w:rsidR="00BC7009" w:rsidRDefault="00000000">
            <w:pPr>
              <w:jc w:val="center"/>
            </w:pPr>
            <w:r>
              <w:rPr>
                <w:b/>
                <w:bCs/>
                <w:color w:val="000000"/>
                <w:sz w:val="20"/>
                <w:szCs w:val="20"/>
              </w:rPr>
              <w:t>5</w:t>
            </w:r>
          </w:p>
        </w:tc>
        <w:tc>
          <w:tcPr>
            <w:tcW w:w="2359"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77" w14:textId="77777777" w:rsidR="00BC7009" w:rsidRDefault="00000000">
            <w:r>
              <w:rPr>
                <w:b/>
                <w:bCs/>
                <w:color w:val="002060"/>
                <w:sz w:val="20"/>
                <w:szCs w:val="20"/>
              </w:rPr>
              <w:t>OE 6.1 M&amp;E</w:t>
            </w:r>
          </w:p>
        </w:tc>
        <w:tc>
          <w:tcPr>
            <w:tcW w:w="1089"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78" w14:textId="77777777" w:rsidR="00BC7009" w:rsidRDefault="00000000">
            <w:pPr>
              <w:jc w:val="center"/>
            </w:pPr>
            <w:r>
              <w:rPr>
                <w:b/>
                <w:bCs/>
                <w:color w:val="000000"/>
                <w:sz w:val="20"/>
                <w:szCs w:val="20"/>
              </w:rPr>
              <w:t>0.2324</w:t>
            </w:r>
          </w:p>
        </w:tc>
        <w:tc>
          <w:tcPr>
            <w:tcW w:w="5080"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79" w14:textId="77777777" w:rsidR="00BC7009" w:rsidRDefault="00000000">
            <w:r>
              <w:rPr>
                <w:color w:val="000000"/>
                <w:sz w:val="20"/>
                <w:szCs w:val="20"/>
              </w:rPr>
              <w:t>Unidad de monitoreo conecta Alcaldia, SECPLAN, Contraloria y CGR</w:t>
            </w:r>
          </w:p>
        </w:tc>
      </w:tr>
      <w:tr w:rsidR="00BC7009" w14:paraId="0511A07F"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7B" w14:textId="77777777" w:rsidR="00BC7009" w:rsidRDefault="00000000">
            <w:pPr>
              <w:jc w:val="center"/>
            </w:pPr>
            <w:r>
              <w:rPr>
                <w:b/>
                <w:bCs/>
                <w:color w:val="000000"/>
                <w:sz w:val="20"/>
                <w:szCs w:val="20"/>
              </w:rPr>
              <w:t>6</w:t>
            </w:r>
          </w:p>
        </w:tc>
        <w:tc>
          <w:tcPr>
            <w:tcW w:w="2359"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7C" w14:textId="77777777" w:rsidR="00BC7009" w:rsidRDefault="00000000">
            <w:r>
              <w:rPr>
                <w:b/>
                <w:bCs/>
                <w:color w:val="002060"/>
                <w:sz w:val="20"/>
                <w:szCs w:val="20"/>
              </w:rPr>
              <w:t>OE 1.5 Prevencion</w:t>
            </w:r>
          </w:p>
        </w:tc>
        <w:tc>
          <w:tcPr>
            <w:tcW w:w="1089"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7D" w14:textId="77777777" w:rsidR="00BC7009" w:rsidRDefault="00000000">
            <w:pPr>
              <w:jc w:val="center"/>
            </w:pPr>
            <w:r>
              <w:rPr>
                <w:b/>
                <w:bCs/>
                <w:color w:val="000000"/>
                <w:sz w:val="20"/>
                <w:szCs w:val="20"/>
              </w:rPr>
              <w:t>0.2118</w:t>
            </w:r>
          </w:p>
        </w:tc>
        <w:tc>
          <w:tcPr>
            <w:tcW w:w="5080"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7E" w14:textId="77777777" w:rsidR="00BC7009" w:rsidRDefault="00000000">
            <w:r>
              <w:rPr>
                <w:color w:val="000000"/>
                <w:sz w:val="20"/>
                <w:szCs w:val="20"/>
              </w:rPr>
              <w:t>Articula seguridad ciudadana con Carabineros y programas SENDA</w:t>
            </w:r>
          </w:p>
        </w:tc>
      </w:tr>
      <w:tr w:rsidR="00BC7009" w14:paraId="0511A084"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80" w14:textId="77777777" w:rsidR="00BC7009" w:rsidRDefault="00000000">
            <w:pPr>
              <w:jc w:val="center"/>
            </w:pPr>
            <w:r>
              <w:rPr>
                <w:b/>
                <w:bCs/>
                <w:color w:val="000000"/>
                <w:sz w:val="20"/>
                <w:szCs w:val="20"/>
              </w:rPr>
              <w:t>7</w:t>
            </w:r>
          </w:p>
        </w:tc>
        <w:tc>
          <w:tcPr>
            <w:tcW w:w="2359"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81" w14:textId="77777777" w:rsidR="00BC7009" w:rsidRDefault="00000000">
            <w:r>
              <w:rPr>
                <w:b/>
                <w:bCs/>
                <w:color w:val="002060"/>
                <w:sz w:val="20"/>
                <w:szCs w:val="20"/>
              </w:rPr>
              <w:t>DAEM</w:t>
            </w:r>
          </w:p>
        </w:tc>
        <w:tc>
          <w:tcPr>
            <w:tcW w:w="1089"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82" w14:textId="77777777" w:rsidR="00BC7009" w:rsidRDefault="00000000">
            <w:pPr>
              <w:jc w:val="center"/>
            </w:pPr>
            <w:r>
              <w:rPr>
                <w:b/>
                <w:bCs/>
                <w:color w:val="000000"/>
                <w:sz w:val="20"/>
                <w:szCs w:val="20"/>
              </w:rPr>
              <w:t>0.1987</w:t>
            </w:r>
          </w:p>
        </w:tc>
        <w:tc>
          <w:tcPr>
            <w:tcW w:w="5080"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83" w14:textId="77777777" w:rsidR="00BC7009" w:rsidRDefault="00000000">
            <w:r>
              <w:rPr>
                <w:color w:val="000000"/>
                <w:sz w:val="20"/>
                <w:szCs w:val="20"/>
              </w:rPr>
              <w:t>Concentra educacion municipal; 170+ sumarios activos</w:t>
            </w:r>
          </w:p>
        </w:tc>
      </w:tr>
      <w:tr w:rsidR="00BC7009" w14:paraId="0511A089"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85" w14:textId="77777777" w:rsidR="00BC7009" w:rsidRDefault="00000000">
            <w:pPr>
              <w:jc w:val="center"/>
            </w:pPr>
            <w:r>
              <w:rPr>
                <w:b/>
                <w:bCs/>
                <w:color w:val="000000"/>
                <w:sz w:val="20"/>
                <w:szCs w:val="20"/>
              </w:rPr>
              <w:t>8</w:t>
            </w:r>
          </w:p>
        </w:tc>
        <w:tc>
          <w:tcPr>
            <w:tcW w:w="2359"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86" w14:textId="77777777" w:rsidR="00BC7009" w:rsidRDefault="00000000">
            <w:r>
              <w:rPr>
                <w:b/>
                <w:bCs/>
                <w:color w:val="002060"/>
                <w:sz w:val="20"/>
                <w:szCs w:val="20"/>
              </w:rPr>
              <w:t>OE 4.1 Turismo Rural</w:t>
            </w:r>
          </w:p>
        </w:tc>
        <w:tc>
          <w:tcPr>
            <w:tcW w:w="1089"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87" w14:textId="77777777" w:rsidR="00BC7009" w:rsidRDefault="00000000">
            <w:pPr>
              <w:jc w:val="center"/>
            </w:pPr>
            <w:r>
              <w:rPr>
                <w:b/>
                <w:bCs/>
                <w:color w:val="000000"/>
                <w:sz w:val="20"/>
                <w:szCs w:val="20"/>
              </w:rPr>
              <w:t>0.1845</w:t>
            </w:r>
          </w:p>
        </w:tc>
        <w:tc>
          <w:tcPr>
            <w:tcW w:w="5080"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88" w14:textId="77777777" w:rsidR="00BC7009" w:rsidRDefault="00000000">
            <w:r>
              <w:rPr>
                <w:color w:val="000000"/>
                <w:sz w:val="20"/>
                <w:szCs w:val="20"/>
              </w:rPr>
              <w:t>Vincula SERNATUR con desarrollo economico local</w:t>
            </w:r>
          </w:p>
        </w:tc>
      </w:tr>
      <w:tr w:rsidR="00BC7009" w14:paraId="0511A08E"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8A" w14:textId="77777777" w:rsidR="00BC7009" w:rsidRDefault="00000000">
            <w:pPr>
              <w:jc w:val="center"/>
            </w:pPr>
            <w:r>
              <w:rPr>
                <w:b/>
                <w:bCs/>
                <w:color w:val="000000"/>
                <w:sz w:val="20"/>
                <w:szCs w:val="20"/>
              </w:rPr>
              <w:t>9</w:t>
            </w:r>
          </w:p>
        </w:tc>
        <w:tc>
          <w:tcPr>
            <w:tcW w:w="2359"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8B" w14:textId="77777777" w:rsidR="00BC7009" w:rsidRDefault="00000000">
            <w:r>
              <w:rPr>
                <w:b/>
                <w:bCs/>
                <w:color w:val="002060"/>
                <w:sz w:val="20"/>
                <w:szCs w:val="20"/>
              </w:rPr>
              <w:t>Depto. Salud</w:t>
            </w:r>
          </w:p>
        </w:tc>
        <w:tc>
          <w:tcPr>
            <w:tcW w:w="1089"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8C" w14:textId="77777777" w:rsidR="00BC7009" w:rsidRDefault="00000000">
            <w:pPr>
              <w:jc w:val="center"/>
            </w:pPr>
            <w:r>
              <w:rPr>
                <w:b/>
                <w:bCs/>
                <w:color w:val="000000"/>
                <w:sz w:val="20"/>
                <w:szCs w:val="20"/>
              </w:rPr>
              <w:t>0.1723</w:t>
            </w:r>
          </w:p>
        </w:tc>
        <w:tc>
          <w:tcPr>
            <w:tcW w:w="5080"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8D" w14:textId="77777777" w:rsidR="00BC7009" w:rsidRDefault="00000000">
            <w:r>
              <w:rPr>
                <w:color w:val="000000"/>
                <w:sz w:val="20"/>
                <w:szCs w:val="20"/>
              </w:rPr>
              <w:t>Articula red CESFAM/CECOSF con MINSAL</w:t>
            </w:r>
          </w:p>
        </w:tc>
      </w:tr>
      <w:tr w:rsidR="00BC7009" w14:paraId="0511A093"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8F" w14:textId="77777777" w:rsidR="00BC7009" w:rsidRDefault="00000000">
            <w:pPr>
              <w:jc w:val="center"/>
            </w:pPr>
            <w:r>
              <w:rPr>
                <w:b/>
                <w:bCs/>
                <w:color w:val="000000"/>
                <w:sz w:val="20"/>
                <w:szCs w:val="20"/>
              </w:rPr>
              <w:t>10</w:t>
            </w:r>
          </w:p>
        </w:tc>
        <w:tc>
          <w:tcPr>
            <w:tcW w:w="2359"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90" w14:textId="77777777" w:rsidR="00BC7009" w:rsidRDefault="00000000">
            <w:r>
              <w:rPr>
                <w:b/>
                <w:bCs/>
                <w:color w:val="002060"/>
                <w:sz w:val="20"/>
                <w:szCs w:val="20"/>
              </w:rPr>
              <w:t>OE 5.4 Infraestructura</w:t>
            </w:r>
          </w:p>
        </w:tc>
        <w:tc>
          <w:tcPr>
            <w:tcW w:w="1089"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91" w14:textId="77777777" w:rsidR="00BC7009" w:rsidRDefault="00000000">
            <w:pPr>
              <w:jc w:val="center"/>
            </w:pPr>
            <w:r>
              <w:rPr>
                <w:b/>
                <w:bCs/>
                <w:color w:val="000000"/>
                <w:sz w:val="20"/>
                <w:szCs w:val="20"/>
              </w:rPr>
              <w:t>0.1612</w:t>
            </w:r>
          </w:p>
        </w:tc>
        <w:tc>
          <w:tcPr>
            <w:tcW w:w="5080"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92" w14:textId="77777777" w:rsidR="00BC7009" w:rsidRDefault="00000000">
            <w:r>
              <w:rPr>
                <w:color w:val="000000"/>
                <w:sz w:val="20"/>
                <w:szCs w:val="20"/>
              </w:rPr>
              <w:t>Conecta DOM, MOP y MINVU para inversion en infraestructura</w:t>
            </w:r>
          </w:p>
        </w:tc>
      </w:tr>
    </w:tbl>
    <w:p w14:paraId="0511A094" w14:textId="77777777" w:rsidR="00BC7009" w:rsidRDefault="00BC7009">
      <w:pPr>
        <w:spacing w:after="200"/>
      </w:pPr>
    </w:p>
    <w:p w14:paraId="0511A095" w14:textId="77777777" w:rsidR="00BC7009" w:rsidRDefault="00000000">
      <w:pPr>
        <w:spacing w:before="280" w:after="120"/>
      </w:pPr>
      <w:r>
        <w:rPr>
          <w:b/>
          <w:bCs/>
          <w:color w:val="065A82"/>
          <w:sz w:val="24"/>
          <w:szCs w:val="24"/>
        </w:rPr>
        <w:t>3.2 Degree Centrality (Grado)</w:t>
      </w:r>
    </w:p>
    <w:p w14:paraId="0511A096" w14:textId="77777777" w:rsidR="00BC7009" w:rsidRDefault="00000000">
      <w:pPr>
        <w:spacing w:after="120" w:line="276" w:lineRule="auto"/>
        <w:jc w:val="both"/>
      </w:pPr>
      <w:r>
        <w:rPr>
          <w:color w:val="000000"/>
        </w:rPr>
        <w:t xml:space="preserve">La centralidad de grado mide el numero de conexiones directas de un nodo. Un grado alto indica que el nodo es un </w:t>
      </w:r>
      <w:r>
        <w:rPr>
          <w:b/>
          <w:bCs/>
          <w:i/>
          <w:iCs/>
          <w:color w:val="000000"/>
        </w:rPr>
        <w:t>hub</w:t>
      </w:r>
      <w:r>
        <w:rPr>
          <w:color w:val="000000"/>
        </w:rPr>
        <w:t xml:space="preserve"> de la red: concentra multiples vinculos de responsabilidad, articulacion sectorial o dependencias inter-eje. Los nodos hub son puntos de convergencia operativa cuya sobrecarga puede generar cuellos de botella sistemicos.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266"/>
        <w:gridCol w:w="1996"/>
        <w:gridCol w:w="3266"/>
      </w:tblGrid>
      <w:tr w:rsidR="00BC7009" w14:paraId="0511A09B"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002060"/>
            <w:tcMar>
              <w:top w:w="60" w:type="dxa"/>
              <w:left w:w="100" w:type="dxa"/>
              <w:bottom w:w="60" w:type="dxa"/>
              <w:right w:w="100" w:type="dxa"/>
            </w:tcMar>
          </w:tcPr>
          <w:p w14:paraId="0511A097" w14:textId="77777777" w:rsidR="00BC7009" w:rsidRDefault="00000000">
            <w:pPr>
              <w:jc w:val="center"/>
            </w:pPr>
            <w:r>
              <w:rPr>
                <w:b/>
                <w:bCs/>
                <w:color w:val="FFFFFF"/>
                <w:sz w:val="20"/>
                <w:szCs w:val="20"/>
              </w:rPr>
              <w:t>#</w:t>
            </w:r>
          </w:p>
        </w:tc>
        <w:tc>
          <w:tcPr>
            <w:tcW w:w="3266" w:type="dxa"/>
            <w:tcBorders>
              <w:top w:val="single" w:sz="1" w:space="0" w:color="B0B8C4"/>
              <w:left w:val="single" w:sz="1" w:space="0" w:color="B0B8C4"/>
              <w:bottom w:val="single" w:sz="1" w:space="0" w:color="B0B8C4"/>
              <w:right w:val="single" w:sz="1" w:space="0" w:color="B0B8C4"/>
            </w:tcBorders>
            <w:shd w:val="clear" w:color="auto" w:fill="002060"/>
            <w:tcMar>
              <w:top w:w="60" w:type="dxa"/>
              <w:left w:w="100" w:type="dxa"/>
              <w:bottom w:w="60" w:type="dxa"/>
              <w:right w:w="100" w:type="dxa"/>
            </w:tcMar>
          </w:tcPr>
          <w:p w14:paraId="0511A098" w14:textId="77777777" w:rsidR="00BC7009" w:rsidRDefault="00000000">
            <w:pPr>
              <w:jc w:val="center"/>
            </w:pPr>
            <w:r>
              <w:rPr>
                <w:b/>
                <w:bCs/>
                <w:color w:val="FFFFFF"/>
                <w:sz w:val="20"/>
                <w:szCs w:val="20"/>
              </w:rPr>
              <w:t>Nodo</w:t>
            </w:r>
          </w:p>
        </w:tc>
        <w:tc>
          <w:tcPr>
            <w:tcW w:w="1996" w:type="dxa"/>
            <w:tcBorders>
              <w:top w:val="single" w:sz="1" w:space="0" w:color="B0B8C4"/>
              <w:left w:val="single" w:sz="1" w:space="0" w:color="B0B8C4"/>
              <w:bottom w:val="single" w:sz="1" w:space="0" w:color="B0B8C4"/>
              <w:right w:val="single" w:sz="1" w:space="0" w:color="B0B8C4"/>
            </w:tcBorders>
            <w:shd w:val="clear" w:color="auto" w:fill="002060"/>
            <w:tcMar>
              <w:top w:w="60" w:type="dxa"/>
              <w:left w:w="100" w:type="dxa"/>
              <w:bottom w:w="60" w:type="dxa"/>
              <w:right w:w="100" w:type="dxa"/>
            </w:tcMar>
          </w:tcPr>
          <w:p w14:paraId="0511A099" w14:textId="77777777" w:rsidR="00BC7009" w:rsidRDefault="00000000">
            <w:pPr>
              <w:jc w:val="center"/>
            </w:pPr>
            <w:r>
              <w:rPr>
                <w:b/>
                <w:bCs/>
                <w:color w:val="FFFFFF"/>
                <w:sz w:val="20"/>
                <w:szCs w:val="20"/>
              </w:rPr>
              <w:t>Degree Centrality</w:t>
            </w:r>
          </w:p>
        </w:tc>
        <w:tc>
          <w:tcPr>
            <w:tcW w:w="3266" w:type="dxa"/>
            <w:tcBorders>
              <w:top w:val="single" w:sz="1" w:space="0" w:color="B0B8C4"/>
              <w:left w:val="single" w:sz="1" w:space="0" w:color="B0B8C4"/>
              <w:bottom w:val="single" w:sz="1" w:space="0" w:color="B0B8C4"/>
              <w:right w:val="single" w:sz="1" w:space="0" w:color="B0B8C4"/>
            </w:tcBorders>
            <w:shd w:val="clear" w:color="auto" w:fill="002060"/>
            <w:tcMar>
              <w:top w:w="60" w:type="dxa"/>
              <w:left w:w="100" w:type="dxa"/>
              <w:bottom w:w="60" w:type="dxa"/>
              <w:right w:w="100" w:type="dxa"/>
            </w:tcMar>
          </w:tcPr>
          <w:p w14:paraId="0511A09A" w14:textId="77777777" w:rsidR="00BC7009" w:rsidRDefault="00000000">
            <w:pPr>
              <w:jc w:val="center"/>
            </w:pPr>
            <w:r>
              <w:rPr>
                <w:b/>
                <w:bCs/>
                <w:color w:val="FFFFFF"/>
                <w:sz w:val="20"/>
                <w:szCs w:val="20"/>
              </w:rPr>
              <w:t>Conexiones Directas</w:t>
            </w:r>
          </w:p>
        </w:tc>
      </w:tr>
      <w:tr w:rsidR="00BC7009" w14:paraId="0511A0A0"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9C" w14:textId="77777777" w:rsidR="00BC7009" w:rsidRDefault="00000000">
            <w:pPr>
              <w:jc w:val="center"/>
            </w:pPr>
            <w:r>
              <w:rPr>
                <w:b/>
                <w:bCs/>
                <w:color w:val="000000"/>
                <w:sz w:val="20"/>
                <w:szCs w:val="20"/>
              </w:rPr>
              <w:t>1</w:t>
            </w:r>
          </w:p>
        </w:tc>
        <w:tc>
          <w:tcPr>
            <w:tcW w:w="326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9D" w14:textId="77777777" w:rsidR="00BC7009" w:rsidRDefault="00000000">
            <w:r>
              <w:rPr>
                <w:b/>
                <w:bCs/>
                <w:color w:val="002060"/>
                <w:sz w:val="20"/>
                <w:szCs w:val="20"/>
              </w:rPr>
              <w:t>OE 6.6 Cuentas Publicas</w:t>
            </w:r>
          </w:p>
        </w:tc>
        <w:tc>
          <w:tcPr>
            <w:tcW w:w="199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9E" w14:textId="77777777" w:rsidR="00BC7009" w:rsidRDefault="00000000">
            <w:pPr>
              <w:jc w:val="center"/>
            </w:pPr>
            <w:r>
              <w:rPr>
                <w:b/>
                <w:bCs/>
                <w:color w:val="000000"/>
                <w:sz w:val="20"/>
                <w:szCs w:val="20"/>
              </w:rPr>
              <w:t>0.1481</w:t>
            </w:r>
          </w:p>
        </w:tc>
        <w:tc>
          <w:tcPr>
            <w:tcW w:w="326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9F" w14:textId="77777777" w:rsidR="00BC7009" w:rsidRDefault="00000000">
            <w:pPr>
              <w:jc w:val="center"/>
            </w:pPr>
            <w:r>
              <w:rPr>
                <w:color w:val="000000"/>
                <w:sz w:val="20"/>
                <w:szCs w:val="20"/>
              </w:rPr>
              <w:t>8</w:t>
            </w:r>
          </w:p>
        </w:tc>
      </w:tr>
      <w:tr w:rsidR="00BC7009" w14:paraId="0511A0A5"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A1" w14:textId="77777777" w:rsidR="00BC7009" w:rsidRDefault="00000000">
            <w:pPr>
              <w:jc w:val="center"/>
            </w:pPr>
            <w:r>
              <w:rPr>
                <w:b/>
                <w:bCs/>
                <w:color w:val="000000"/>
                <w:sz w:val="20"/>
                <w:szCs w:val="20"/>
              </w:rPr>
              <w:t>2</w:t>
            </w:r>
          </w:p>
        </w:tc>
        <w:tc>
          <w:tcPr>
            <w:tcW w:w="326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A2" w14:textId="77777777" w:rsidR="00BC7009" w:rsidRDefault="00000000">
            <w:r>
              <w:rPr>
                <w:b/>
                <w:bCs/>
                <w:color w:val="002060"/>
                <w:sz w:val="20"/>
                <w:szCs w:val="20"/>
              </w:rPr>
              <w:t>OE 6.1 M&amp;E</w:t>
            </w:r>
          </w:p>
        </w:tc>
        <w:tc>
          <w:tcPr>
            <w:tcW w:w="199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A3" w14:textId="77777777" w:rsidR="00BC7009" w:rsidRDefault="00000000">
            <w:pPr>
              <w:jc w:val="center"/>
            </w:pPr>
            <w:r>
              <w:rPr>
                <w:b/>
                <w:bCs/>
                <w:color w:val="000000"/>
                <w:sz w:val="20"/>
                <w:szCs w:val="20"/>
              </w:rPr>
              <w:t>0.1111</w:t>
            </w:r>
          </w:p>
        </w:tc>
        <w:tc>
          <w:tcPr>
            <w:tcW w:w="326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A4" w14:textId="77777777" w:rsidR="00BC7009" w:rsidRDefault="00000000">
            <w:pPr>
              <w:jc w:val="center"/>
            </w:pPr>
            <w:r>
              <w:rPr>
                <w:color w:val="000000"/>
                <w:sz w:val="20"/>
                <w:szCs w:val="20"/>
              </w:rPr>
              <w:t>6</w:t>
            </w:r>
          </w:p>
        </w:tc>
      </w:tr>
      <w:tr w:rsidR="00BC7009" w14:paraId="0511A0AA"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A6" w14:textId="77777777" w:rsidR="00BC7009" w:rsidRDefault="00000000">
            <w:pPr>
              <w:jc w:val="center"/>
            </w:pPr>
            <w:r>
              <w:rPr>
                <w:b/>
                <w:bCs/>
                <w:color w:val="000000"/>
                <w:sz w:val="20"/>
                <w:szCs w:val="20"/>
              </w:rPr>
              <w:t>3</w:t>
            </w:r>
          </w:p>
        </w:tc>
        <w:tc>
          <w:tcPr>
            <w:tcW w:w="326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A7" w14:textId="77777777" w:rsidR="00BC7009" w:rsidRDefault="00000000">
            <w:r>
              <w:rPr>
                <w:b/>
                <w:bCs/>
                <w:color w:val="002060"/>
                <w:sz w:val="20"/>
                <w:szCs w:val="20"/>
              </w:rPr>
              <w:t>DIDECO</w:t>
            </w:r>
          </w:p>
        </w:tc>
        <w:tc>
          <w:tcPr>
            <w:tcW w:w="199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A8" w14:textId="77777777" w:rsidR="00BC7009" w:rsidRDefault="00000000">
            <w:pPr>
              <w:jc w:val="center"/>
            </w:pPr>
            <w:r>
              <w:rPr>
                <w:b/>
                <w:bCs/>
                <w:color w:val="000000"/>
                <w:sz w:val="20"/>
                <w:szCs w:val="20"/>
              </w:rPr>
              <w:t>0.1111</w:t>
            </w:r>
          </w:p>
        </w:tc>
        <w:tc>
          <w:tcPr>
            <w:tcW w:w="326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A9" w14:textId="77777777" w:rsidR="00BC7009" w:rsidRDefault="00000000">
            <w:pPr>
              <w:jc w:val="center"/>
            </w:pPr>
            <w:r>
              <w:rPr>
                <w:color w:val="000000"/>
                <w:sz w:val="20"/>
                <w:szCs w:val="20"/>
              </w:rPr>
              <w:t>6</w:t>
            </w:r>
          </w:p>
        </w:tc>
      </w:tr>
      <w:tr w:rsidR="00BC7009" w14:paraId="0511A0AF"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AB" w14:textId="77777777" w:rsidR="00BC7009" w:rsidRDefault="00000000">
            <w:pPr>
              <w:jc w:val="center"/>
            </w:pPr>
            <w:r>
              <w:rPr>
                <w:b/>
                <w:bCs/>
                <w:color w:val="000000"/>
                <w:sz w:val="20"/>
                <w:szCs w:val="20"/>
              </w:rPr>
              <w:t>4</w:t>
            </w:r>
          </w:p>
        </w:tc>
        <w:tc>
          <w:tcPr>
            <w:tcW w:w="326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AC" w14:textId="77777777" w:rsidR="00BC7009" w:rsidRDefault="00000000">
            <w:r>
              <w:rPr>
                <w:b/>
                <w:bCs/>
                <w:color w:val="002060"/>
                <w:sz w:val="20"/>
                <w:szCs w:val="20"/>
              </w:rPr>
              <w:t>DAEM</w:t>
            </w:r>
          </w:p>
        </w:tc>
        <w:tc>
          <w:tcPr>
            <w:tcW w:w="199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AD" w14:textId="77777777" w:rsidR="00BC7009" w:rsidRDefault="00000000">
            <w:pPr>
              <w:jc w:val="center"/>
            </w:pPr>
            <w:r>
              <w:rPr>
                <w:b/>
                <w:bCs/>
                <w:color w:val="000000"/>
                <w:sz w:val="20"/>
                <w:szCs w:val="20"/>
              </w:rPr>
              <w:t>0.1111</w:t>
            </w:r>
          </w:p>
        </w:tc>
        <w:tc>
          <w:tcPr>
            <w:tcW w:w="326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AE" w14:textId="77777777" w:rsidR="00BC7009" w:rsidRDefault="00000000">
            <w:pPr>
              <w:jc w:val="center"/>
            </w:pPr>
            <w:r>
              <w:rPr>
                <w:color w:val="000000"/>
                <w:sz w:val="20"/>
                <w:szCs w:val="20"/>
              </w:rPr>
              <w:t>6</w:t>
            </w:r>
          </w:p>
        </w:tc>
      </w:tr>
      <w:tr w:rsidR="00BC7009" w14:paraId="0511A0B4"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B0" w14:textId="77777777" w:rsidR="00BC7009" w:rsidRDefault="00000000">
            <w:pPr>
              <w:jc w:val="center"/>
            </w:pPr>
            <w:r>
              <w:rPr>
                <w:b/>
                <w:bCs/>
                <w:color w:val="000000"/>
                <w:sz w:val="20"/>
                <w:szCs w:val="20"/>
              </w:rPr>
              <w:t>5</w:t>
            </w:r>
          </w:p>
        </w:tc>
        <w:tc>
          <w:tcPr>
            <w:tcW w:w="326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B1" w14:textId="77777777" w:rsidR="00BC7009" w:rsidRDefault="00000000">
            <w:r>
              <w:rPr>
                <w:b/>
                <w:bCs/>
                <w:color w:val="002060"/>
                <w:sz w:val="20"/>
                <w:szCs w:val="20"/>
              </w:rPr>
              <w:t>OE 1.5 Prevencion</w:t>
            </w:r>
          </w:p>
        </w:tc>
        <w:tc>
          <w:tcPr>
            <w:tcW w:w="199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B2" w14:textId="77777777" w:rsidR="00BC7009" w:rsidRDefault="00000000">
            <w:pPr>
              <w:jc w:val="center"/>
            </w:pPr>
            <w:r>
              <w:rPr>
                <w:b/>
                <w:bCs/>
                <w:color w:val="000000"/>
                <w:sz w:val="20"/>
                <w:szCs w:val="20"/>
              </w:rPr>
              <w:t>0.0926</w:t>
            </w:r>
          </w:p>
        </w:tc>
        <w:tc>
          <w:tcPr>
            <w:tcW w:w="326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B3" w14:textId="77777777" w:rsidR="00BC7009" w:rsidRDefault="00000000">
            <w:pPr>
              <w:jc w:val="center"/>
            </w:pPr>
            <w:r>
              <w:rPr>
                <w:color w:val="000000"/>
                <w:sz w:val="20"/>
                <w:szCs w:val="20"/>
              </w:rPr>
              <w:t>5</w:t>
            </w:r>
          </w:p>
        </w:tc>
      </w:tr>
      <w:tr w:rsidR="00BC7009" w14:paraId="0511A0B9"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B5" w14:textId="77777777" w:rsidR="00BC7009" w:rsidRDefault="00000000">
            <w:pPr>
              <w:jc w:val="center"/>
            </w:pPr>
            <w:r>
              <w:rPr>
                <w:b/>
                <w:bCs/>
                <w:color w:val="000000"/>
                <w:sz w:val="20"/>
                <w:szCs w:val="20"/>
              </w:rPr>
              <w:t>6</w:t>
            </w:r>
          </w:p>
        </w:tc>
        <w:tc>
          <w:tcPr>
            <w:tcW w:w="326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B6" w14:textId="77777777" w:rsidR="00BC7009" w:rsidRDefault="00000000">
            <w:r>
              <w:rPr>
                <w:b/>
                <w:bCs/>
                <w:color w:val="002060"/>
                <w:sz w:val="20"/>
                <w:szCs w:val="20"/>
              </w:rPr>
              <w:t>SECPLAN</w:t>
            </w:r>
          </w:p>
        </w:tc>
        <w:tc>
          <w:tcPr>
            <w:tcW w:w="199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B7" w14:textId="77777777" w:rsidR="00BC7009" w:rsidRDefault="00000000">
            <w:pPr>
              <w:jc w:val="center"/>
            </w:pPr>
            <w:r>
              <w:rPr>
                <w:b/>
                <w:bCs/>
                <w:color w:val="000000"/>
                <w:sz w:val="20"/>
                <w:szCs w:val="20"/>
              </w:rPr>
              <w:t>0.0926</w:t>
            </w:r>
          </w:p>
        </w:tc>
        <w:tc>
          <w:tcPr>
            <w:tcW w:w="326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B8" w14:textId="77777777" w:rsidR="00BC7009" w:rsidRDefault="00000000">
            <w:pPr>
              <w:jc w:val="center"/>
            </w:pPr>
            <w:r>
              <w:rPr>
                <w:color w:val="000000"/>
                <w:sz w:val="20"/>
                <w:szCs w:val="20"/>
              </w:rPr>
              <w:t>5</w:t>
            </w:r>
          </w:p>
        </w:tc>
      </w:tr>
      <w:tr w:rsidR="00BC7009" w14:paraId="0511A0BE"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BA" w14:textId="77777777" w:rsidR="00BC7009" w:rsidRDefault="00000000">
            <w:pPr>
              <w:jc w:val="center"/>
            </w:pPr>
            <w:r>
              <w:rPr>
                <w:b/>
                <w:bCs/>
                <w:color w:val="000000"/>
                <w:sz w:val="20"/>
                <w:szCs w:val="20"/>
              </w:rPr>
              <w:t>7</w:t>
            </w:r>
          </w:p>
        </w:tc>
        <w:tc>
          <w:tcPr>
            <w:tcW w:w="326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BB" w14:textId="77777777" w:rsidR="00BC7009" w:rsidRDefault="00000000">
            <w:r>
              <w:rPr>
                <w:b/>
                <w:bCs/>
                <w:color w:val="002060"/>
                <w:sz w:val="20"/>
                <w:szCs w:val="20"/>
              </w:rPr>
              <w:t>OE 4.5 Riesgo Hidrico</w:t>
            </w:r>
          </w:p>
        </w:tc>
        <w:tc>
          <w:tcPr>
            <w:tcW w:w="199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BC" w14:textId="77777777" w:rsidR="00BC7009" w:rsidRDefault="00000000">
            <w:pPr>
              <w:jc w:val="center"/>
            </w:pPr>
            <w:r>
              <w:rPr>
                <w:b/>
                <w:bCs/>
                <w:color w:val="000000"/>
                <w:sz w:val="20"/>
                <w:szCs w:val="20"/>
              </w:rPr>
              <w:t>0.0926</w:t>
            </w:r>
          </w:p>
        </w:tc>
        <w:tc>
          <w:tcPr>
            <w:tcW w:w="326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BD" w14:textId="77777777" w:rsidR="00BC7009" w:rsidRDefault="00000000">
            <w:pPr>
              <w:jc w:val="center"/>
            </w:pPr>
            <w:r>
              <w:rPr>
                <w:color w:val="000000"/>
                <w:sz w:val="20"/>
                <w:szCs w:val="20"/>
              </w:rPr>
              <w:t>5</w:t>
            </w:r>
          </w:p>
        </w:tc>
      </w:tr>
      <w:tr w:rsidR="00BC7009" w14:paraId="0511A0C3"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BF" w14:textId="77777777" w:rsidR="00BC7009" w:rsidRDefault="00000000">
            <w:pPr>
              <w:jc w:val="center"/>
            </w:pPr>
            <w:r>
              <w:rPr>
                <w:b/>
                <w:bCs/>
                <w:color w:val="000000"/>
                <w:sz w:val="20"/>
                <w:szCs w:val="20"/>
              </w:rPr>
              <w:t>8</w:t>
            </w:r>
          </w:p>
        </w:tc>
        <w:tc>
          <w:tcPr>
            <w:tcW w:w="326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C0" w14:textId="77777777" w:rsidR="00BC7009" w:rsidRDefault="00000000">
            <w:r>
              <w:rPr>
                <w:b/>
                <w:bCs/>
                <w:color w:val="002060"/>
                <w:sz w:val="20"/>
                <w:szCs w:val="20"/>
              </w:rPr>
              <w:t>Depto. Salud</w:t>
            </w:r>
          </w:p>
        </w:tc>
        <w:tc>
          <w:tcPr>
            <w:tcW w:w="199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C1" w14:textId="77777777" w:rsidR="00BC7009" w:rsidRDefault="00000000">
            <w:pPr>
              <w:jc w:val="center"/>
            </w:pPr>
            <w:r>
              <w:rPr>
                <w:b/>
                <w:bCs/>
                <w:color w:val="000000"/>
                <w:sz w:val="20"/>
                <w:szCs w:val="20"/>
              </w:rPr>
              <w:t>0.0741</w:t>
            </w:r>
          </w:p>
        </w:tc>
        <w:tc>
          <w:tcPr>
            <w:tcW w:w="326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C2" w14:textId="77777777" w:rsidR="00BC7009" w:rsidRDefault="00000000">
            <w:pPr>
              <w:jc w:val="center"/>
            </w:pPr>
            <w:r>
              <w:rPr>
                <w:color w:val="000000"/>
                <w:sz w:val="20"/>
                <w:szCs w:val="20"/>
              </w:rPr>
              <w:t>4</w:t>
            </w:r>
          </w:p>
        </w:tc>
      </w:tr>
      <w:tr w:rsidR="00BC7009" w14:paraId="0511A0C8"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C4" w14:textId="77777777" w:rsidR="00BC7009" w:rsidRDefault="00000000">
            <w:pPr>
              <w:jc w:val="center"/>
            </w:pPr>
            <w:r>
              <w:rPr>
                <w:b/>
                <w:bCs/>
                <w:color w:val="000000"/>
                <w:sz w:val="20"/>
                <w:szCs w:val="20"/>
              </w:rPr>
              <w:lastRenderedPageBreak/>
              <w:t>9</w:t>
            </w:r>
          </w:p>
        </w:tc>
        <w:tc>
          <w:tcPr>
            <w:tcW w:w="326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C5" w14:textId="77777777" w:rsidR="00BC7009" w:rsidRDefault="00000000">
            <w:r>
              <w:rPr>
                <w:b/>
                <w:bCs/>
                <w:color w:val="002060"/>
                <w:sz w:val="20"/>
                <w:szCs w:val="20"/>
              </w:rPr>
              <w:t>OE 5.4 Infraestructura</w:t>
            </w:r>
          </w:p>
        </w:tc>
        <w:tc>
          <w:tcPr>
            <w:tcW w:w="199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C6" w14:textId="77777777" w:rsidR="00BC7009" w:rsidRDefault="00000000">
            <w:pPr>
              <w:jc w:val="center"/>
            </w:pPr>
            <w:r>
              <w:rPr>
                <w:b/>
                <w:bCs/>
                <w:color w:val="000000"/>
                <w:sz w:val="20"/>
                <w:szCs w:val="20"/>
              </w:rPr>
              <w:t>0.0741</w:t>
            </w:r>
          </w:p>
        </w:tc>
        <w:tc>
          <w:tcPr>
            <w:tcW w:w="3266" w:type="dxa"/>
            <w:tcBorders>
              <w:top w:val="single" w:sz="1" w:space="0" w:color="B0B8C4"/>
              <w:left w:val="single" w:sz="1" w:space="0" w:color="B0B8C4"/>
              <w:bottom w:val="single" w:sz="1" w:space="0" w:color="B0B8C4"/>
              <w:right w:val="single" w:sz="1" w:space="0" w:color="B0B8C4"/>
            </w:tcBorders>
            <w:shd w:val="clear" w:color="auto" w:fill="F2F4F7"/>
            <w:tcMar>
              <w:top w:w="50" w:type="dxa"/>
              <w:left w:w="100" w:type="dxa"/>
              <w:bottom w:w="50" w:type="dxa"/>
              <w:right w:w="100" w:type="dxa"/>
            </w:tcMar>
          </w:tcPr>
          <w:p w14:paraId="0511A0C7" w14:textId="77777777" w:rsidR="00BC7009" w:rsidRDefault="00000000">
            <w:pPr>
              <w:jc w:val="center"/>
            </w:pPr>
            <w:r>
              <w:rPr>
                <w:color w:val="000000"/>
                <w:sz w:val="20"/>
                <w:szCs w:val="20"/>
              </w:rPr>
              <w:t>4</w:t>
            </w:r>
          </w:p>
        </w:tc>
      </w:tr>
      <w:tr w:rsidR="00BC7009" w14:paraId="0511A0CD" w14:textId="77777777">
        <w:tblPrEx>
          <w:tblCellMar>
            <w:top w:w="0" w:type="dxa"/>
            <w:bottom w:w="0" w:type="dxa"/>
          </w:tblCellMar>
        </w:tblPrEx>
        <w:tc>
          <w:tcPr>
            <w:tcW w:w="544"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C9" w14:textId="77777777" w:rsidR="00BC7009" w:rsidRDefault="00000000">
            <w:pPr>
              <w:jc w:val="center"/>
            </w:pPr>
            <w:r>
              <w:rPr>
                <w:b/>
                <w:bCs/>
                <w:color w:val="000000"/>
                <w:sz w:val="20"/>
                <w:szCs w:val="20"/>
              </w:rPr>
              <w:t>10</w:t>
            </w:r>
          </w:p>
        </w:tc>
        <w:tc>
          <w:tcPr>
            <w:tcW w:w="326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CA" w14:textId="77777777" w:rsidR="00BC7009" w:rsidRDefault="00000000">
            <w:r>
              <w:rPr>
                <w:b/>
                <w:bCs/>
                <w:color w:val="002060"/>
                <w:sz w:val="20"/>
                <w:szCs w:val="20"/>
              </w:rPr>
              <w:t>OE 6.2 RRHH</w:t>
            </w:r>
          </w:p>
        </w:tc>
        <w:tc>
          <w:tcPr>
            <w:tcW w:w="199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CB" w14:textId="77777777" w:rsidR="00BC7009" w:rsidRDefault="00000000">
            <w:pPr>
              <w:jc w:val="center"/>
            </w:pPr>
            <w:r>
              <w:rPr>
                <w:b/>
                <w:bCs/>
                <w:color w:val="000000"/>
                <w:sz w:val="20"/>
                <w:szCs w:val="20"/>
              </w:rPr>
              <w:t>0.0741</w:t>
            </w:r>
          </w:p>
        </w:tc>
        <w:tc>
          <w:tcPr>
            <w:tcW w:w="3266" w:type="dxa"/>
            <w:tcBorders>
              <w:top w:val="single" w:sz="1" w:space="0" w:color="B0B8C4"/>
              <w:left w:val="single" w:sz="1" w:space="0" w:color="B0B8C4"/>
              <w:bottom w:val="single" w:sz="1" w:space="0" w:color="B0B8C4"/>
              <w:right w:val="single" w:sz="1" w:space="0" w:color="B0B8C4"/>
            </w:tcBorders>
            <w:shd w:val="clear" w:color="auto" w:fill="FFFFFF"/>
            <w:tcMar>
              <w:top w:w="50" w:type="dxa"/>
              <w:left w:w="100" w:type="dxa"/>
              <w:bottom w:w="50" w:type="dxa"/>
              <w:right w:w="100" w:type="dxa"/>
            </w:tcMar>
          </w:tcPr>
          <w:p w14:paraId="0511A0CC" w14:textId="77777777" w:rsidR="00BC7009" w:rsidRDefault="00000000">
            <w:pPr>
              <w:jc w:val="center"/>
            </w:pPr>
            <w:r>
              <w:rPr>
                <w:color w:val="000000"/>
                <w:sz w:val="20"/>
                <w:szCs w:val="20"/>
              </w:rPr>
              <w:t>4</w:t>
            </w:r>
          </w:p>
        </w:tc>
      </w:tr>
    </w:tbl>
    <w:p w14:paraId="0511A0CE" w14:textId="77777777" w:rsidR="00BC7009" w:rsidRDefault="00BC7009">
      <w:pPr>
        <w:spacing w:after="200"/>
      </w:pPr>
    </w:p>
    <w:p w14:paraId="0511A0CF" w14:textId="77777777" w:rsidR="00BC7009" w:rsidRDefault="00000000">
      <w:pPr>
        <w:spacing w:before="280" w:after="120"/>
      </w:pPr>
      <w:r>
        <w:rPr>
          <w:b/>
          <w:bCs/>
          <w:color w:val="065A82"/>
          <w:sz w:val="24"/>
          <w:szCs w:val="24"/>
        </w:rPr>
        <w:t>3.3 Densidad de la Red = 0.051</w:t>
      </w:r>
    </w:p>
    <w:p w14:paraId="0511A0D0" w14:textId="77777777" w:rsidR="00BC7009" w:rsidRDefault="00000000">
      <w:pPr>
        <w:spacing w:after="120" w:line="276" w:lineRule="auto"/>
        <w:jc w:val="both"/>
      </w:pPr>
      <w:r>
        <w:rPr>
          <w:color w:val="000000"/>
        </w:rPr>
        <w:t xml:space="preserve">La densidad de la red es de </w:t>
      </w:r>
      <w:r>
        <w:rPr>
          <w:b/>
          <w:bCs/>
          <w:color w:val="000000"/>
        </w:rPr>
        <w:t>0.051</w:t>
      </w:r>
      <w:r>
        <w:rPr>
          <w:color w:val="000000"/>
        </w:rPr>
        <w:t xml:space="preserve"> (sobre un maximo teorico de 1.0), lo que significa que solo el </w:t>
      </w:r>
      <w:r>
        <w:rPr>
          <w:b/>
          <w:bCs/>
          <w:color w:val="000000"/>
        </w:rPr>
        <w:t>5.1% de todas las conexiones posibles</w:t>
      </w:r>
      <w:r>
        <w:rPr>
          <w:color w:val="000000"/>
        </w:rPr>
        <w:t xml:space="preserve"> existen efectivamente. Esta baja densidad confirma los </w:t>
      </w:r>
      <w:r>
        <w:rPr>
          <w:b/>
          <w:bCs/>
          <w:i/>
          <w:iCs/>
          <w:color w:val="000000"/>
        </w:rPr>
        <w:t>huecos estructurales</w:t>
      </w:r>
      <w:r>
        <w:rPr>
          <w:color w:val="000000"/>
        </w:rPr>
        <w:t xml:space="preserve"> (Burt, 1992) identificados en la etnografia: la red esta fragmentada con comportamiento de silos entre ejes tematicos. Las 12 dependencias inter-eje (lineas amarillas punteadas en el grafo) fueron disenadas precisamente para tender puentes sobre estos huecos, pero su efectividad depende de la capacidad coordinadora de SECPLAN, que es justamente la unidad con la segunda mayor intermediacion (0.320).</w:t>
      </w:r>
    </w:p>
    <w:p w14:paraId="0511A0D2" w14:textId="5638FD6D" w:rsidR="00BC7009" w:rsidRDefault="00000000" w:rsidP="00D26229">
      <w:pPr>
        <w:spacing w:after="120" w:line="276" w:lineRule="auto"/>
        <w:jc w:val="both"/>
      </w:pPr>
      <w:r>
        <w:rPr>
          <w:color w:val="000000"/>
        </w:rPr>
        <w:t>En perspectiva comparada, una densidad de 0.051 es tipica de redes institucionales de tamano medio donde la especializacion funcional predomina sobre la coordinacion transversal. El desafio del PLADECO es elevar esta densidad selectivamente, fortaleciendo las conexiones criticas sin generar sobrecarga burocratica</w:t>
      </w:r>
    </w:p>
    <w:p w14:paraId="0511A0D3" w14:textId="77777777" w:rsidR="00BC7009" w:rsidRDefault="00000000">
      <w:pPr>
        <w:pBdr>
          <w:bottom w:val="single" w:sz="6" w:space="4" w:color="065A82"/>
        </w:pBdr>
        <w:spacing w:before="360" w:after="200"/>
      </w:pPr>
      <w:r>
        <w:rPr>
          <w:b/>
          <w:bCs/>
          <w:color w:val="065A82"/>
          <w:sz w:val="28"/>
          <w:szCs w:val="28"/>
        </w:rPr>
        <w:t>4. Tres Hallazgos Estrategicos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BC7009" w14:paraId="0511A0D7" w14:textId="77777777">
        <w:tblPrEx>
          <w:tblCellMar>
            <w:top w:w="0" w:type="dxa"/>
            <w:bottom w:w="0" w:type="dxa"/>
          </w:tblCellMar>
        </w:tblPrEx>
        <w:tc>
          <w:tcPr>
            <w:tcW w:w="9072" w:type="dxa"/>
            <w:tcBorders>
              <w:top w:val="single" w:sz="12" w:space="0" w:color="002060"/>
              <w:left w:val="single" w:sz="4" w:space="0" w:color="002060"/>
              <w:bottom w:val="single" w:sz="1" w:space="0" w:color="B0B8C4"/>
              <w:right w:val="single" w:sz="1" w:space="0" w:color="B0B8C4"/>
            </w:tcBorders>
            <w:shd w:val="clear" w:color="auto" w:fill="EBF5FB"/>
            <w:tcMar>
              <w:top w:w="120" w:type="dxa"/>
              <w:left w:w="200" w:type="dxa"/>
              <w:bottom w:w="120" w:type="dxa"/>
              <w:right w:w="200" w:type="dxa"/>
            </w:tcMar>
          </w:tcPr>
          <w:p w14:paraId="0511A0D4" w14:textId="77777777" w:rsidR="00BC7009" w:rsidRDefault="00000000">
            <w:pPr>
              <w:spacing w:after="100"/>
            </w:pPr>
            <w:r>
              <w:rPr>
                <w:b/>
                <w:bCs/>
                <w:color w:val="002060"/>
                <w:sz w:val="24"/>
                <w:szCs w:val="24"/>
              </w:rPr>
              <w:t>Hallazgo 1: OE 6.6 como Nodo Critico de Gobernanza</w:t>
            </w:r>
          </w:p>
          <w:p w14:paraId="0511A0D5" w14:textId="77777777" w:rsidR="00BC7009" w:rsidRDefault="00000000">
            <w:pPr>
              <w:spacing w:after="80" w:line="276" w:lineRule="auto"/>
              <w:jc w:val="both"/>
            </w:pPr>
            <w:r>
              <w:t xml:space="preserve">Cuentas Publicas es simultaneamente el nodo mas conectado (degree 0.148) </w:t>
            </w:r>
            <w:r>
              <w:rPr>
                <w:b/>
                <w:bCs/>
              </w:rPr>
              <w:t>Y</w:t>
            </w:r>
            <w:r>
              <w:t xml:space="preserve"> el de mayor intermediacion (betweenness 0.335). Esta </w:t>
            </w:r>
            <w:r>
              <w:rPr>
                <w:b/>
                <w:bCs/>
              </w:rPr>
              <w:t>centralidad dual</w:t>
            </w:r>
            <w:r>
              <w:t xml:space="preserve"> lo convierte en la piedra angular de la arquitectura de gobernanza. Conecta el control interno (Contraloria Interna), la gestion financiera (DAF), la fiscalizacion legal (Juridica), los sistemas digitales (Informatica), la rendicion politica (Alcaldia), la fiscalizacion ciudadana (COSOC) y la auditoria externa (CGR).</w:t>
            </w:r>
          </w:p>
          <w:p w14:paraId="0511A0D6" w14:textId="77777777" w:rsidR="00BC7009" w:rsidRDefault="00000000">
            <w:pPr>
              <w:spacing w:line="276" w:lineRule="auto"/>
              <w:jc w:val="both"/>
            </w:pPr>
            <w:r>
              <w:t xml:space="preserve">Si este nodo falla —como ocurrio parcialmente en el PLADECO 2019-2031 donde </w:t>
            </w:r>
            <w:r>
              <w:rPr>
                <w:b/>
                <w:bCs/>
              </w:rPr>
              <w:t>NO existia rendicion de cuentas especifica</w:t>
            </w:r>
            <w:r>
              <w:t>— todo el sistema de M&amp;E colapsa. Esto explica por que OE 6.6 tiene 9 acciones (el maximo de cualquier OE), incluyendo: rendicion de cuentas publica semestral, plataforma digital de monitoreo ciudadano y rendicion participativa con el COSOC.</w:t>
            </w:r>
          </w:p>
        </w:tc>
      </w:tr>
    </w:tbl>
    <w:p w14:paraId="0511A0D8" w14:textId="77777777" w:rsidR="00BC7009" w:rsidRDefault="00BC7009">
      <w:pPr>
        <w:spacing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BC7009" w14:paraId="0511A0DC" w14:textId="77777777">
        <w:tblPrEx>
          <w:tblCellMar>
            <w:top w:w="0" w:type="dxa"/>
            <w:bottom w:w="0" w:type="dxa"/>
          </w:tblCellMar>
        </w:tblPrEx>
        <w:tc>
          <w:tcPr>
            <w:tcW w:w="9072" w:type="dxa"/>
            <w:tcBorders>
              <w:top w:val="single" w:sz="12" w:space="0" w:color="C0392B"/>
              <w:left w:val="single" w:sz="4" w:space="0" w:color="C0392B"/>
              <w:bottom w:val="single" w:sz="1" w:space="0" w:color="B0B8C4"/>
              <w:right w:val="single" w:sz="1" w:space="0" w:color="B0B8C4"/>
            </w:tcBorders>
            <w:shd w:val="clear" w:color="auto" w:fill="FDEDEC"/>
            <w:tcMar>
              <w:top w:w="120" w:type="dxa"/>
              <w:left w:w="200" w:type="dxa"/>
              <w:bottom w:w="120" w:type="dxa"/>
              <w:right w:w="200" w:type="dxa"/>
            </w:tcMar>
          </w:tcPr>
          <w:p w14:paraId="0511A0D9" w14:textId="77777777" w:rsidR="00BC7009" w:rsidRDefault="00000000">
            <w:pPr>
              <w:spacing w:after="100"/>
            </w:pPr>
            <w:r>
              <w:rPr>
                <w:b/>
                <w:bCs/>
                <w:color w:val="922B21"/>
                <w:sz w:val="24"/>
                <w:szCs w:val="24"/>
              </w:rPr>
              <w:t>Hallazgo 2: Sobrecarga Operativa Concentrada (DIDECO + DAEM)</w:t>
            </w:r>
          </w:p>
          <w:p w14:paraId="0511A0DA" w14:textId="77777777" w:rsidR="00BC7009" w:rsidRDefault="00000000">
            <w:pPr>
              <w:spacing w:after="80" w:line="276" w:lineRule="auto"/>
              <w:jc w:val="both"/>
            </w:pPr>
            <w:r>
              <w:t xml:space="preserve">DIDECO y DAEM tienen cada uno una centralidad de grado de 0.111 (6 conexiones), constituyendose en las unidades municipales mas conectadas. Sin embargo, la etnografia revelo que </w:t>
            </w:r>
            <w:r>
              <w:rPr>
                <w:b/>
                <w:bCs/>
              </w:rPr>
              <w:t>DIDECO carece de vehiculos y equipamiento basico (H2)</w:t>
            </w:r>
            <w:r>
              <w:t xml:space="preserve">, mientras que </w:t>
            </w:r>
            <w:r>
              <w:rPr>
                <w:b/>
                <w:bCs/>
              </w:rPr>
              <w:t>DAEM acumula mas de 170 sumarios administrativos activos</w:t>
            </w:r>
            <w:r>
              <w:t>.</w:t>
            </w:r>
          </w:p>
          <w:p w14:paraId="0511A0DB" w14:textId="77777777" w:rsidR="00BC7009" w:rsidRDefault="00000000">
            <w:pPr>
              <w:spacing w:line="276" w:lineRule="auto"/>
              <w:jc w:val="both"/>
            </w:pPr>
            <w:r>
              <w:t xml:space="preserve">Esta combinacion de </w:t>
            </w:r>
            <w:r>
              <w:rPr>
                <w:b/>
                <w:bCs/>
              </w:rPr>
              <w:t>alta centralidad + bajos recursos = vulnerabilidad sistemica</w:t>
            </w:r>
            <w:r>
              <w:t xml:space="preserve">. El SNA hace visible lo que la etnografia describio: estas unidades estan estructuralmente sobrecargadas, y su falla se propaga en cascada a traves de multiples OEs (DIDECO conecta con Ejes 1 y 2; DAEM conecta con Eje 3 y OE 5.4). El PLADECO aborda esta </w:t>
            </w:r>
            <w:r>
              <w:lastRenderedPageBreak/>
              <w:t>vulnerabilidad a traves de OE 6.2 (actualizacion RRHH, 6 acciones) e inversion en equipamiento.</w:t>
            </w:r>
          </w:p>
        </w:tc>
      </w:tr>
    </w:tbl>
    <w:p w14:paraId="0511A0DD" w14:textId="77777777" w:rsidR="00BC7009" w:rsidRDefault="00BC7009">
      <w:pPr>
        <w:spacing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BC7009" w14:paraId="0511A0E1" w14:textId="77777777">
        <w:tblPrEx>
          <w:tblCellMar>
            <w:top w:w="0" w:type="dxa"/>
            <w:bottom w:w="0" w:type="dxa"/>
          </w:tblCellMar>
        </w:tblPrEx>
        <w:tc>
          <w:tcPr>
            <w:tcW w:w="9072" w:type="dxa"/>
            <w:tcBorders>
              <w:top w:val="single" w:sz="12" w:space="0" w:color="D4AC0D"/>
              <w:left w:val="single" w:sz="4" w:space="0" w:color="D4AC0D"/>
              <w:bottom w:val="single" w:sz="1" w:space="0" w:color="B0B8C4"/>
              <w:right w:val="single" w:sz="1" w:space="0" w:color="B0B8C4"/>
            </w:tcBorders>
            <w:shd w:val="clear" w:color="auto" w:fill="FEF9E7"/>
            <w:tcMar>
              <w:top w:w="120" w:type="dxa"/>
              <w:left w:w="200" w:type="dxa"/>
              <w:bottom w:w="120" w:type="dxa"/>
              <w:right w:w="200" w:type="dxa"/>
            </w:tcMar>
          </w:tcPr>
          <w:p w14:paraId="0511A0DE" w14:textId="77777777" w:rsidR="00BC7009" w:rsidRDefault="00000000">
            <w:pPr>
              <w:spacing w:after="100"/>
            </w:pPr>
            <w:r>
              <w:rPr>
                <w:b/>
                <w:bCs/>
                <w:color w:val="7D6608"/>
                <w:sz w:val="24"/>
                <w:szCs w:val="24"/>
              </w:rPr>
              <w:t>Hallazgo 3: Huecos Estructurales en la Articulacion Externa</w:t>
            </w:r>
          </w:p>
          <w:p w14:paraId="0511A0DF" w14:textId="77777777" w:rsidR="00BC7009" w:rsidRDefault="00000000">
            <w:pPr>
              <w:spacing w:after="80" w:line="276" w:lineRule="auto"/>
              <w:jc w:val="both"/>
            </w:pPr>
            <w:r>
              <w:t xml:space="preserve">Los 10 actores externos (GORE, SERNATUR, SENCE, MINVU, MOP, MINSAL, SENAPRED, CORFO, COSOC, CGR) tienen solo </w:t>
            </w:r>
            <w:r>
              <w:rPr>
                <w:b/>
                <w:bCs/>
              </w:rPr>
              <w:t>20 conexiones hacia 32 OEs</w:t>
            </w:r>
            <w:r>
              <w:t xml:space="preserve">, lo que significa que la mayoria de los objetivos estrategicos carecen de articulacion directa con fuentes de financiamiento. El analisis BIP confirma esta brecha: un </w:t>
            </w:r>
            <w:r>
              <w:rPr>
                <w:b/>
                <w:bCs/>
              </w:rPr>
              <w:t>HHI de 0.4145 (alta concentracion)</w:t>
            </w:r>
            <w:r>
              <w:t>, con el municipio formulando el 63.5% de los proyectos en solitario.</w:t>
            </w:r>
          </w:p>
          <w:p w14:paraId="0511A0E0" w14:textId="77777777" w:rsidR="00BC7009" w:rsidRDefault="00000000">
            <w:pPr>
              <w:spacing w:line="276" w:lineRule="auto"/>
              <w:jc w:val="both"/>
            </w:pPr>
            <w:r>
              <w:t xml:space="preserve">La tasa de adjudicacion de SECPLAC del </w:t>
            </w:r>
            <w:r>
              <w:rPr>
                <w:b/>
                <w:bCs/>
              </w:rPr>
              <w:t>50.8%</w:t>
            </w:r>
            <w:r>
              <w:t xml:space="preserve"> limita aun mas la captura de recursos externos. Las 12 dependencias inter-eje (lineas amarillas punteadas) representan el diseno del PLADECO para tender puentes sobre estos huecos, pero su efectividad depende de la capacidad de SECPLAN para coordinar —precisamente la unidad con la segunda mayor intermediacion (0.320).</w:t>
            </w:r>
          </w:p>
        </w:tc>
      </w:tr>
    </w:tbl>
    <w:p w14:paraId="0511A0E3" w14:textId="77777777" w:rsidR="00BC7009" w:rsidRDefault="00000000">
      <w:pPr>
        <w:pBdr>
          <w:bottom w:val="single" w:sz="6" w:space="4" w:color="065A82"/>
        </w:pBdr>
        <w:spacing w:before="360" w:after="200"/>
      </w:pPr>
      <w:r>
        <w:rPr>
          <w:b/>
          <w:bCs/>
          <w:color w:val="065A82"/>
          <w:sz w:val="28"/>
          <w:szCs w:val="28"/>
        </w:rPr>
        <w:t>5. Implicancias para la Gestion</w:t>
      </w:r>
    </w:p>
    <w:p w14:paraId="0511A0E4" w14:textId="77777777" w:rsidR="00BC7009" w:rsidRDefault="00000000">
      <w:pPr>
        <w:spacing w:after="120" w:line="276" w:lineRule="auto"/>
        <w:jc w:val="both"/>
      </w:pPr>
      <w:r>
        <w:rPr>
          <w:color w:val="000000"/>
        </w:rPr>
        <w:t>Del analisis SNA se derivan cuatro prioridades de gestion que deben informar la implementacion del PLADECO durante su primer trienio (2025-2028):</w:t>
      </w:r>
    </w:p>
    <w:p w14:paraId="0511A0E5" w14:textId="77777777" w:rsidR="00BC7009" w:rsidRDefault="00000000">
      <w:pPr>
        <w:spacing w:before="200" w:after="80"/>
      </w:pPr>
      <w:r>
        <w:rPr>
          <w:b/>
          <w:bCs/>
          <w:color w:val="002060"/>
        </w:rPr>
        <w:t xml:space="preserve">Prioridad 1: </w:t>
      </w:r>
      <w:r>
        <w:rPr>
          <w:b/>
          <w:bCs/>
        </w:rPr>
        <w:t>Fortalecer OE 6.6 (Cuentas Publicas) como piedra angular de gobernanza</w:t>
      </w:r>
    </w:p>
    <w:p w14:paraId="0511A0E6" w14:textId="77777777" w:rsidR="00BC7009" w:rsidRDefault="00000000">
      <w:pPr>
        <w:spacing w:after="120" w:line="276" w:lineRule="auto"/>
        <w:jc w:val="both"/>
      </w:pPr>
      <w:r>
        <w:rPr>
          <w:color w:val="000000"/>
        </w:rPr>
        <w:t>Cualquier retraso en la implementacion de este objetivo estrategico genera efectos en cascada a traves de toda la red. Se recomienda priorizar la instalacion de la plataforma digital de monitoreo ciudadano y la rendicion de cuentas semestral durante el primer ano de ejecucion.</w:t>
      </w:r>
    </w:p>
    <w:p w14:paraId="0511A0E7" w14:textId="77777777" w:rsidR="00BC7009" w:rsidRDefault="00000000">
      <w:pPr>
        <w:spacing w:before="200" w:after="80"/>
      </w:pPr>
      <w:r>
        <w:rPr>
          <w:b/>
          <w:bCs/>
          <w:color w:val="002060"/>
        </w:rPr>
        <w:t xml:space="preserve">Prioridad 2: </w:t>
      </w:r>
      <w:r>
        <w:rPr>
          <w:b/>
          <w:bCs/>
        </w:rPr>
        <w:t>Descongestionar DIDECO y DAEM</w:t>
      </w:r>
    </w:p>
    <w:p w14:paraId="0511A0E8" w14:textId="77777777" w:rsidR="00BC7009" w:rsidRDefault="00000000">
      <w:pPr>
        <w:spacing w:after="120" w:line="276" w:lineRule="auto"/>
        <w:jc w:val="both"/>
      </w:pPr>
      <w:r>
        <w:rPr>
          <w:color w:val="000000"/>
        </w:rPr>
        <w:t>Redistribuir la carga operativa o incrementar los recursos de estas unidades para prevenir fallas en cascada. DIDECO requiere flota vehicular y equipamiento de terreno; DAEM necesita resolucion del stock de sumarios administrativos antes de asumir las responsabilidades adicionales que el PLADECO le asigna.</w:t>
      </w:r>
    </w:p>
    <w:p w14:paraId="0511A0E9" w14:textId="77777777" w:rsidR="00BC7009" w:rsidRDefault="00000000">
      <w:pPr>
        <w:spacing w:before="200" w:after="80"/>
      </w:pPr>
      <w:r>
        <w:rPr>
          <w:b/>
          <w:bCs/>
          <w:color w:val="002060"/>
        </w:rPr>
        <w:t xml:space="preserve">Prioridad 3: </w:t>
      </w:r>
      <w:r>
        <w:rPr>
          <w:b/>
          <w:bCs/>
        </w:rPr>
        <w:t>Incrementar la articulacion externa</w:t>
      </w:r>
    </w:p>
    <w:p w14:paraId="0511A0EA" w14:textId="77777777" w:rsidR="00BC7009" w:rsidRDefault="00000000">
      <w:pPr>
        <w:spacing w:after="120" w:line="276" w:lineRule="auto"/>
        <w:jc w:val="both"/>
      </w:pPr>
      <w:r>
        <w:rPr>
          <w:color w:val="000000"/>
        </w:rPr>
        <w:t>SECPLAN debe mejorar su tasa de adjudicacion del 50.8% actual a &gt;80% para capturar financiamiento FNDR y sectorial. Esto requiere profesionalizar la formulacion de proyectos BIP y establecer convenios marco con los 10 actores externos identificados en la red.</w:t>
      </w:r>
    </w:p>
    <w:p w14:paraId="0511A0EB" w14:textId="77777777" w:rsidR="00BC7009" w:rsidRDefault="00000000">
      <w:pPr>
        <w:spacing w:before="200" w:after="80"/>
      </w:pPr>
      <w:r>
        <w:rPr>
          <w:b/>
          <w:bCs/>
          <w:color w:val="002060"/>
        </w:rPr>
        <w:t xml:space="preserve">Prioridad 4: </w:t>
      </w:r>
      <w:r>
        <w:rPr>
          <w:b/>
          <w:bCs/>
        </w:rPr>
        <w:t>Activar las 12 dependencias inter-eje</w:t>
      </w:r>
    </w:p>
    <w:p w14:paraId="0511A0EC" w14:textId="77777777" w:rsidR="00BC7009" w:rsidRDefault="00000000">
      <w:pPr>
        <w:spacing w:after="120" w:line="276" w:lineRule="auto"/>
        <w:jc w:val="both"/>
      </w:pPr>
      <w:r>
        <w:rPr>
          <w:color w:val="000000"/>
        </w:rPr>
        <w:t>Asignar coordinadores especificos para cada vinculo inter-eje (representados como lineas amarillas punteadas en el grafo). Estas conexiones son el mecanismo diseenado por el PLADECO para romper los silos entre ejes tematicos, pero requieren responsables explicitos y protocolos de coordinacion formalizados.</w:t>
      </w:r>
    </w:p>
    <w:p w14:paraId="0511A0ED" w14:textId="77777777" w:rsidR="00BC7009" w:rsidRDefault="00000000">
      <w:r>
        <w:br w:type="page"/>
      </w:r>
    </w:p>
    <w:p w14:paraId="0511A0EE" w14:textId="77777777" w:rsidR="00BC7009" w:rsidRDefault="00000000">
      <w:pPr>
        <w:pBdr>
          <w:bottom w:val="single" w:sz="6" w:space="4" w:color="065A82"/>
        </w:pBdr>
        <w:spacing w:before="360" w:after="200"/>
      </w:pPr>
      <w:r>
        <w:rPr>
          <w:b/>
          <w:bCs/>
          <w:color w:val="065A82"/>
          <w:sz w:val="28"/>
          <w:szCs w:val="28"/>
        </w:rPr>
        <w:lastRenderedPageBreak/>
        <w:t>6. Nota Metodologica</w:t>
      </w:r>
    </w:p>
    <w:p w14:paraId="0511A0EF" w14:textId="77777777" w:rsidR="00BC7009" w:rsidRDefault="00000000">
      <w:pPr>
        <w:spacing w:after="120" w:line="276" w:lineRule="auto"/>
        <w:jc w:val="both"/>
      </w:pPr>
      <w:r>
        <w:rPr>
          <w:i/>
          <w:iCs/>
          <w:color w:val="000000"/>
        </w:rPr>
        <w:t xml:space="preserve">El Analisis de Redes Sociales (SNA) se fundamenta en el marco teorico de </w:t>
      </w:r>
      <w:r>
        <w:rPr>
          <w:b/>
          <w:bCs/>
          <w:color w:val="000000"/>
        </w:rPr>
        <w:t>Wasserman &amp; Faust (1994)</w:t>
      </w:r>
      <w:r>
        <w:rPr>
          <w:color w:val="000000"/>
        </w:rPr>
        <w:t xml:space="preserve"> para la modelacion de redes sociales. Las metricas de centralidad siguen las definiciones formales de </w:t>
      </w:r>
      <w:r>
        <w:rPr>
          <w:b/>
          <w:bCs/>
          <w:color w:val="000000"/>
        </w:rPr>
        <w:t>Freeman (1979)</w:t>
      </w:r>
      <w:r>
        <w:rPr>
          <w:color w:val="000000"/>
        </w:rPr>
        <w:t xml:space="preserve">: betweenness centrality como la proporcion de caminos mas cortos que pasan por un nodo, y degree centrality como la fraccion de nodos a los que un nodo esta conectado. El concepto de huecos estructurales se basa en </w:t>
      </w:r>
      <w:r>
        <w:rPr>
          <w:b/>
          <w:bCs/>
          <w:color w:val="000000"/>
        </w:rPr>
        <w:t>Burt (1992)</w:t>
      </w:r>
      <w:r>
        <w:rPr>
          <w:color w:val="000000"/>
        </w:rPr>
        <w:t xml:space="preserve">, y el enfoque de etnografia institucional sigue la metodologia de </w:t>
      </w:r>
      <w:r>
        <w:rPr>
          <w:b/>
          <w:bCs/>
          <w:color w:val="000000"/>
        </w:rPr>
        <w:t>Smith (2005)</w:t>
      </w:r>
      <w:r>
        <w:rPr>
          <w:color w:val="000000"/>
        </w:rPr>
        <w:t>.</w:t>
      </w:r>
    </w:p>
    <w:p w14:paraId="0511A0F0" w14:textId="77777777" w:rsidR="00BC7009" w:rsidRDefault="00000000">
      <w:pPr>
        <w:spacing w:after="120" w:line="276" w:lineRule="auto"/>
        <w:jc w:val="both"/>
      </w:pPr>
      <w:r>
        <w:rPr>
          <w:color w:val="000000"/>
        </w:rPr>
        <w:t xml:space="preserve">La red fue computada utilizando </w:t>
      </w:r>
      <w:r>
        <w:rPr>
          <w:b/>
          <w:bCs/>
          <w:color w:val="000000"/>
        </w:rPr>
        <w:t>NetworkX (Python)</w:t>
      </w:r>
      <w:r>
        <w:rPr>
          <w:color w:val="000000"/>
        </w:rPr>
        <w:t xml:space="preserve"> y visualizada con </w:t>
      </w:r>
      <w:r>
        <w:rPr>
          <w:b/>
          <w:bCs/>
          <w:color w:val="000000"/>
        </w:rPr>
        <w:t>Matplotlib</w:t>
      </w:r>
      <w:r>
        <w:rPr>
          <w:color w:val="000000"/>
        </w:rPr>
        <w:t xml:space="preserve">. La red contiene </w:t>
      </w:r>
      <w:r>
        <w:rPr>
          <w:b/>
          <w:bCs/>
          <w:color w:val="000000"/>
        </w:rPr>
        <w:t>55 nodos</w:t>
      </w:r>
      <w:r>
        <w:rPr>
          <w:color w:val="000000"/>
        </w:rPr>
        <w:t xml:space="preserve"> (32 objetivos estrategicos + 13 unidades municipales + 10 actores externos), </w:t>
      </w:r>
      <w:r>
        <w:rPr>
          <w:b/>
          <w:bCs/>
          <w:color w:val="000000"/>
        </w:rPr>
        <w:t>76 aristas</w:t>
      </w:r>
      <w:r>
        <w:rPr>
          <w:color w:val="000000"/>
        </w:rPr>
        <w:t xml:space="preserve"> y </w:t>
      </w:r>
      <w:r>
        <w:rPr>
          <w:b/>
          <w:bCs/>
          <w:color w:val="000000"/>
        </w:rPr>
        <w:t>3 tipos de vinculos</w:t>
      </w:r>
      <w:r>
        <w:rPr>
          <w:color w:val="000000"/>
        </w:rPr>
        <w:t>: responsabilidad (unidad municipal a OE), articulacion sectorial (actor externo a OE) y dependencias inter-eje (OE a OE, 12 vinculos cruzados). El layout del grafo utiliza el algoritmo de Kamada-Kawai para optimizar la distribucion espacial de los nodos.</w:t>
      </w:r>
    </w:p>
    <w:p w14:paraId="0511A0F1" w14:textId="77777777" w:rsidR="00BC7009" w:rsidRDefault="00000000">
      <w:pPr>
        <w:pBdr>
          <w:bottom w:val="single" w:sz="6" w:space="4" w:color="065A82"/>
        </w:pBdr>
        <w:spacing w:before="360" w:after="200"/>
      </w:pPr>
      <w:r>
        <w:rPr>
          <w:b/>
          <w:bCs/>
          <w:color w:val="065A82"/>
          <w:sz w:val="28"/>
          <w:szCs w:val="28"/>
        </w:rPr>
        <w:t>7. Fuentes</w:t>
      </w:r>
    </w:p>
    <w:p w14:paraId="0511A0F2" w14:textId="77777777" w:rsidR="00BC7009" w:rsidRDefault="00000000">
      <w:pPr>
        <w:spacing w:after="120" w:line="276" w:lineRule="auto"/>
        <w:jc w:val="both"/>
      </w:pPr>
      <w:r>
        <w:rPr>
          <w:b/>
          <w:bCs/>
          <w:color w:val="000000"/>
        </w:rPr>
        <w:t>PLADECO Rengo 2025-2035. Municipalidad de Rengo, SECPLAC.</w:t>
      </w:r>
    </w:p>
    <w:p w14:paraId="0511A0F3" w14:textId="77777777" w:rsidR="00BC7009" w:rsidRDefault="00000000">
      <w:pPr>
        <w:spacing w:after="120" w:line="276" w:lineRule="auto"/>
        <w:jc w:val="both"/>
      </w:pPr>
      <w:r>
        <w:rPr>
          <w:i/>
          <w:iCs/>
          <w:color w:val="000000"/>
        </w:rPr>
        <w:t>Etnografia Institucional 2025. 40+ entrevistas semiestructuradas en 4 dominios (social, institucional-operativo, institucional-directivo, politico). Enero-marzo 2025.</w:t>
      </w:r>
    </w:p>
    <w:p w14:paraId="0511A0F4" w14:textId="77777777" w:rsidR="00BC7009" w:rsidRDefault="00000000">
      <w:pPr>
        <w:spacing w:after="120" w:line="276" w:lineRule="auto"/>
        <w:jc w:val="both"/>
      </w:pPr>
      <w:r>
        <w:rPr>
          <w:color w:val="000000"/>
        </w:rPr>
        <w:t>Reglamento de Organizacion Interna. Decreto Alcaldicio N.o 1778/2018, modificado por Decreto N.o 1287/2022.</w:t>
      </w:r>
    </w:p>
    <w:p w14:paraId="0511A0F5" w14:textId="77777777" w:rsidR="00BC7009" w:rsidRDefault="00000000">
      <w:pPr>
        <w:spacing w:after="120" w:line="276" w:lineRule="auto"/>
        <w:jc w:val="both"/>
      </w:pPr>
      <w:r>
        <w:rPr>
          <w:color w:val="000000"/>
        </w:rPr>
        <w:t>SINIM 2024. Sistema Nacional de Informacion Municipal, SUBDERE.</w:t>
      </w:r>
    </w:p>
    <w:p w14:paraId="0511A0F6" w14:textId="77777777" w:rsidR="00BC7009" w:rsidRDefault="00000000">
      <w:pPr>
        <w:spacing w:after="120" w:line="276" w:lineRule="auto"/>
        <w:jc w:val="both"/>
      </w:pPr>
      <w:r>
        <w:rPr>
          <w:color w:val="000000"/>
        </w:rPr>
        <w:t>CGR 2009-2024. Informes de la Contraloria General de la Republica, cuentas municipales.</w:t>
      </w:r>
    </w:p>
    <w:p w14:paraId="0511A0F7" w14:textId="77777777" w:rsidR="00BC7009" w:rsidRDefault="00000000">
      <w:pPr>
        <w:spacing w:after="120" w:line="276" w:lineRule="auto"/>
        <w:jc w:val="both"/>
      </w:pPr>
      <w:r>
        <w:rPr>
          <w:color w:val="000000"/>
        </w:rPr>
        <w:t>BIP/SNI 1997-2025. Banco Integrado de Proyectos, Sistema Nacional de Inversiones, Ministerio de Desarrollo Social.</w:t>
      </w:r>
    </w:p>
    <w:p w14:paraId="0511A0F8" w14:textId="77777777" w:rsidR="00BC7009" w:rsidRDefault="00000000">
      <w:pPr>
        <w:spacing w:after="120" w:line="276" w:lineRule="auto"/>
        <w:jc w:val="both"/>
      </w:pPr>
      <w:r>
        <w:rPr>
          <w:i/>
          <w:iCs/>
          <w:color w:val="000000"/>
        </w:rPr>
        <w:t>Burt, R. S. (1992). Structural Holes: The Social Structure of Competition. Harvard University Press.</w:t>
      </w:r>
    </w:p>
    <w:p w14:paraId="0511A0F9" w14:textId="77777777" w:rsidR="00BC7009" w:rsidRPr="00D26229" w:rsidRDefault="00000000">
      <w:pPr>
        <w:spacing w:after="120" w:line="276" w:lineRule="auto"/>
        <w:jc w:val="both"/>
        <w:rPr>
          <w:lang w:val="pt-PT"/>
        </w:rPr>
      </w:pPr>
      <w:r>
        <w:rPr>
          <w:i/>
          <w:iCs/>
          <w:color w:val="000000"/>
        </w:rPr>
        <w:t xml:space="preserve">Freeman, L. C. (1979). Centrality in Social Networks: Conceptual Clarification. </w:t>
      </w:r>
      <w:r w:rsidRPr="00D26229">
        <w:rPr>
          <w:i/>
          <w:iCs/>
          <w:color w:val="000000"/>
          <w:lang w:val="pt-PT"/>
        </w:rPr>
        <w:t>Social Networks, 1(3), 215-239.</w:t>
      </w:r>
    </w:p>
    <w:p w14:paraId="0511A0FA" w14:textId="77777777" w:rsidR="00BC7009" w:rsidRPr="00D26229" w:rsidRDefault="00000000">
      <w:pPr>
        <w:spacing w:after="120" w:line="276" w:lineRule="auto"/>
        <w:jc w:val="both"/>
        <w:rPr>
          <w:lang w:val="pt-PT"/>
        </w:rPr>
      </w:pPr>
      <w:r w:rsidRPr="00D26229">
        <w:rPr>
          <w:i/>
          <w:iCs/>
          <w:color w:val="000000"/>
          <w:lang w:val="pt-PT"/>
        </w:rPr>
        <w:t>Marks, G. &amp; Hooghe, L. (2003). Contrasting Visions of Multi-level Governance. En I. Bache &amp; M. Flinders (Eds.), Multi-level Governance. Oxford University Press.</w:t>
      </w:r>
    </w:p>
    <w:p w14:paraId="0511A0FB" w14:textId="77777777" w:rsidR="00BC7009" w:rsidRDefault="00000000">
      <w:pPr>
        <w:spacing w:after="120" w:line="276" w:lineRule="auto"/>
        <w:jc w:val="both"/>
      </w:pPr>
      <w:r w:rsidRPr="00D26229">
        <w:rPr>
          <w:i/>
          <w:iCs/>
          <w:color w:val="000000"/>
          <w:lang w:val="pt-PT"/>
        </w:rPr>
        <w:t xml:space="preserve">Smith, D. E. (2005). Institutional Ethnography: A Sociology for People. </w:t>
      </w:r>
      <w:r>
        <w:rPr>
          <w:i/>
          <w:iCs/>
          <w:color w:val="000000"/>
        </w:rPr>
        <w:t>AltaMira Press.</w:t>
      </w:r>
    </w:p>
    <w:p w14:paraId="0511A0FC" w14:textId="77777777" w:rsidR="00BC7009" w:rsidRDefault="00000000">
      <w:pPr>
        <w:spacing w:after="120" w:line="276" w:lineRule="auto"/>
        <w:jc w:val="both"/>
      </w:pPr>
      <w:r>
        <w:rPr>
          <w:i/>
          <w:iCs/>
          <w:color w:val="000000"/>
        </w:rPr>
        <w:t>Wasserman, S. &amp; Faust, K. (1994). Social Network Analysis: Methods and Applications. Cambridge University Press.</w:t>
      </w:r>
    </w:p>
    <w:sectPr w:rsidR="00BC7009">
      <w:headerReference w:type="default" r:id="rId8"/>
      <w:footerReference w:type="default" r:id="rId9"/>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98435" w14:textId="77777777" w:rsidR="00556122" w:rsidRDefault="00556122">
      <w:r>
        <w:separator/>
      </w:r>
    </w:p>
  </w:endnote>
  <w:endnote w:type="continuationSeparator" w:id="0">
    <w:p w14:paraId="3821F5CC" w14:textId="77777777" w:rsidR="00556122" w:rsidRDefault="00556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A100" w14:textId="19B6B8C0" w:rsidR="00BC7009" w:rsidRDefault="00000000">
    <w:pPr>
      <w:pBdr>
        <w:top w:val="single" w:sz="2" w:space="4" w:color="065A82"/>
      </w:pBdr>
      <w:spacing w:before="100"/>
      <w:jc w:val="center"/>
    </w:pPr>
    <w:r>
      <w:rPr>
        <w:color w:val="666666"/>
        <w:sz w:val="16"/>
        <w:szCs w:val="16"/>
      </w:rPr>
      <w:t>Municipalidad de Rengo | Provincia de Cachapoal | Region del Libertador O'Higgins | Abril 2026</w:t>
    </w:r>
    <w:r>
      <w:rPr>
        <w:sz w:val="16"/>
        <w:szCs w:val="16"/>
      </w:rPr>
      <w:t xml:space="preserve">    </w:t>
    </w:r>
    <w:r>
      <w:rPr>
        <w:color w:val="666666"/>
        <w:sz w:val="16"/>
        <w:szCs w:val="16"/>
      </w:rPr>
      <w:t xml:space="preserve">Pagina </w:t>
    </w:r>
    <w:r>
      <w:rPr>
        <w:color w:val="666666"/>
        <w:sz w:val="16"/>
        <w:szCs w:val="16"/>
      </w:rPr>
      <w:fldChar w:fldCharType="begin"/>
    </w:r>
    <w:r>
      <w:rPr>
        <w:color w:val="666666"/>
        <w:sz w:val="16"/>
        <w:szCs w:val="16"/>
      </w:rPr>
      <w:instrText>PAGE</w:instrText>
    </w:r>
    <w:r>
      <w:rPr>
        <w:color w:val="666666"/>
        <w:sz w:val="16"/>
        <w:szCs w:val="16"/>
      </w:rPr>
      <w:fldChar w:fldCharType="separate"/>
    </w:r>
    <w:r w:rsidR="00D26229">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3E525" w14:textId="77777777" w:rsidR="00556122" w:rsidRDefault="00556122">
      <w:r>
        <w:separator/>
      </w:r>
    </w:p>
  </w:footnote>
  <w:footnote w:type="continuationSeparator" w:id="0">
    <w:p w14:paraId="75891CDF" w14:textId="77777777" w:rsidR="00556122" w:rsidRDefault="00556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A0FF" w14:textId="77777777" w:rsidR="00BC7009" w:rsidRDefault="00000000">
    <w:pPr>
      <w:pBdr>
        <w:bottom w:val="single" w:sz="2" w:space="4" w:color="065A82"/>
      </w:pBdr>
      <w:jc w:val="right"/>
    </w:pPr>
    <w:r>
      <w:rPr>
        <w:i/>
        <w:iCs/>
        <w:color w:val="065A82"/>
        <w:sz w:val="16"/>
        <w:szCs w:val="16"/>
      </w:rPr>
      <w:t>PLADECO Rengo 2025-2035</w:t>
    </w:r>
    <w:r>
      <w:rPr>
        <w:color w:val="B0B8C4"/>
        <w:sz w:val="16"/>
        <w:szCs w:val="16"/>
      </w:rPr>
      <w:t xml:space="preserve">  |  </w:t>
    </w:r>
    <w:r>
      <w:rPr>
        <w:i/>
        <w:iCs/>
        <w:color w:val="065A82"/>
        <w:sz w:val="16"/>
        <w:szCs w:val="16"/>
      </w:rPr>
      <w:t>Analisis SNA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1A33"/>
    <w:multiLevelType w:val="hybridMultilevel"/>
    <w:tmpl w:val="1938C2DA"/>
    <w:lvl w:ilvl="0" w:tplc="D8167B38">
      <w:start w:val="1"/>
      <w:numFmt w:val="bullet"/>
      <w:lvlText w:val="●"/>
      <w:lvlJc w:val="left"/>
      <w:pPr>
        <w:ind w:left="720" w:hanging="360"/>
      </w:pPr>
    </w:lvl>
    <w:lvl w:ilvl="1" w:tplc="AA18EBFA">
      <w:start w:val="1"/>
      <w:numFmt w:val="bullet"/>
      <w:lvlText w:val="○"/>
      <w:lvlJc w:val="left"/>
      <w:pPr>
        <w:ind w:left="1440" w:hanging="360"/>
      </w:pPr>
    </w:lvl>
    <w:lvl w:ilvl="2" w:tplc="94061ACC">
      <w:start w:val="1"/>
      <w:numFmt w:val="bullet"/>
      <w:lvlText w:val="■"/>
      <w:lvlJc w:val="left"/>
      <w:pPr>
        <w:ind w:left="2160" w:hanging="360"/>
      </w:pPr>
    </w:lvl>
    <w:lvl w:ilvl="3" w:tplc="8592B1FC">
      <w:start w:val="1"/>
      <w:numFmt w:val="bullet"/>
      <w:lvlText w:val="●"/>
      <w:lvlJc w:val="left"/>
      <w:pPr>
        <w:ind w:left="2880" w:hanging="360"/>
      </w:pPr>
    </w:lvl>
    <w:lvl w:ilvl="4" w:tplc="B030D4A6">
      <w:start w:val="1"/>
      <w:numFmt w:val="bullet"/>
      <w:lvlText w:val="○"/>
      <w:lvlJc w:val="left"/>
      <w:pPr>
        <w:ind w:left="3600" w:hanging="360"/>
      </w:pPr>
    </w:lvl>
    <w:lvl w:ilvl="5" w:tplc="89D8BAC2">
      <w:start w:val="1"/>
      <w:numFmt w:val="bullet"/>
      <w:lvlText w:val="■"/>
      <w:lvlJc w:val="left"/>
      <w:pPr>
        <w:ind w:left="4320" w:hanging="360"/>
      </w:pPr>
    </w:lvl>
    <w:lvl w:ilvl="6" w:tplc="5D52ABD8">
      <w:start w:val="1"/>
      <w:numFmt w:val="bullet"/>
      <w:lvlText w:val="●"/>
      <w:lvlJc w:val="left"/>
      <w:pPr>
        <w:ind w:left="5040" w:hanging="360"/>
      </w:pPr>
    </w:lvl>
    <w:lvl w:ilvl="7" w:tplc="25208DB4">
      <w:start w:val="1"/>
      <w:numFmt w:val="bullet"/>
      <w:lvlText w:val="●"/>
      <w:lvlJc w:val="left"/>
      <w:pPr>
        <w:ind w:left="5760" w:hanging="360"/>
      </w:pPr>
    </w:lvl>
    <w:lvl w:ilvl="8" w:tplc="B832FC1C">
      <w:start w:val="1"/>
      <w:numFmt w:val="bullet"/>
      <w:lvlText w:val="●"/>
      <w:lvlJc w:val="left"/>
      <w:pPr>
        <w:ind w:left="6480" w:hanging="360"/>
      </w:pPr>
    </w:lvl>
  </w:abstractNum>
  <w:abstractNum w:abstractNumId="1" w15:restartNumberingAfterBreak="0">
    <w:nsid w:val="2FD254C6"/>
    <w:multiLevelType w:val="hybridMultilevel"/>
    <w:tmpl w:val="05701894"/>
    <w:lvl w:ilvl="0" w:tplc="25522E66">
      <w:start w:val="1"/>
      <w:numFmt w:val="bullet"/>
      <w:lvlText w:val="•"/>
      <w:lvlJc w:val="left"/>
      <w:pPr>
        <w:ind w:left="720" w:hanging="360"/>
      </w:pPr>
    </w:lvl>
    <w:lvl w:ilvl="1" w:tplc="811444F4">
      <w:numFmt w:val="decimal"/>
      <w:lvlText w:val=""/>
      <w:lvlJc w:val="left"/>
    </w:lvl>
    <w:lvl w:ilvl="2" w:tplc="D60404A8">
      <w:numFmt w:val="decimal"/>
      <w:lvlText w:val=""/>
      <w:lvlJc w:val="left"/>
    </w:lvl>
    <w:lvl w:ilvl="3" w:tplc="11147664">
      <w:numFmt w:val="decimal"/>
      <w:lvlText w:val=""/>
      <w:lvlJc w:val="left"/>
    </w:lvl>
    <w:lvl w:ilvl="4" w:tplc="4686E97A">
      <w:numFmt w:val="decimal"/>
      <w:lvlText w:val=""/>
      <w:lvlJc w:val="left"/>
    </w:lvl>
    <w:lvl w:ilvl="5" w:tplc="6F78D332">
      <w:numFmt w:val="decimal"/>
      <w:lvlText w:val=""/>
      <w:lvlJc w:val="left"/>
    </w:lvl>
    <w:lvl w:ilvl="6" w:tplc="9F0ADB7C">
      <w:numFmt w:val="decimal"/>
      <w:lvlText w:val=""/>
      <w:lvlJc w:val="left"/>
    </w:lvl>
    <w:lvl w:ilvl="7" w:tplc="A7667A44">
      <w:numFmt w:val="decimal"/>
      <w:lvlText w:val=""/>
      <w:lvlJc w:val="left"/>
    </w:lvl>
    <w:lvl w:ilvl="8" w:tplc="E2883CFC">
      <w:numFmt w:val="decimal"/>
      <w:lvlText w:val=""/>
      <w:lvlJc w:val="left"/>
    </w:lvl>
  </w:abstractNum>
  <w:abstractNum w:abstractNumId="2" w15:restartNumberingAfterBreak="0">
    <w:nsid w:val="561D4D98"/>
    <w:multiLevelType w:val="hybridMultilevel"/>
    <w:tmpl w:val="1BE2356A"/>
    <w:lvl w:ilvl="0" w:tplc="7876D4CE">
      <w:start w:val="1"/>
      <w:numFmt w:val="decimal"/>
      <w:lvlText w:val="%1."/>
      <w:lvlJc w:val="left"/>
      <w:pPr>
        <w:ind w:left="720" w:hanging="360"/>
      </w:pPr>
    </w:lvl>
    <w:lvl w:ilvl="1" w:tplc="99EC7352">
      <w:numFmt w:val="decimal"/>
      <w:lvlText w:val=""/>
      <w:lvlJc w:val="left"/>
    </w:lvl>
    <w:lvl w:ilvl="2" w:tplc="6D9A07B0">
      <w:numFmt w:val="decimal"/>
      <w:lvlText w:val=""/>
      <w:lvlJc w:val="left"/>
    </w:lvl>
    <w:lvl w:ilvl="3" w:tplc="6C5A4526">
      <w:numFmt w:val="decimal"/>
      <w:lvlText w:val=""/>
      <w:lvlJc w:val="left"/>
    </w:lvl>
    <w:lvl w:ilvl="4" w:tplc="11E01AD4">
      <w:numFmt w:val="decimal"/>
      <w:lvlText w:val=""/>
      <w:lvlJc w:val="left"/>
    </w:lvl>
    <w:lvl w:ilvl="5" w:tplc="9118F03A">
      <w:numFmt w:val="decimal"/>
      <w:lvlText w:val=""/>
      <w:lvlJc w:val="left"/>
    </w:lvl>
    <w:lvl w:ilvl="6" w:tplc="8CFC22EE">
      <w:numFmt w:val="decimal"/>
      <w:lvlText w:val=""/>
      <w:lvlJc w:val="left"/>
    </w:lvl>
    <w:lvl w:ilvl="7" w:tplc="5696101A">
      <w:numFmt w:val="decimal"/>
      <w:lvlText w:val=""/>
      <w:lvlJc w:val="left"/>
    </w:lvl>
    <w:lvl w:ilvl="8" w:tplc="058A00BC">
      <w:numFmt w:val="decimal"/>
      <w:lvlText w:val=""/>
      <w:lvlJc w:val="left"/>
    </w:lvl>
  </w:abstractNum>
  <w:num w:numId="1" w16cid:durableId="642543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009"/>
    <w:rsid w:val="00303BAC"/>
    <w:rsid w:val="00556122"/>
    <w:rsid w:val="00BC7009"/>
    <w:rsid w:val="00D262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1A029"/>
  <w15:docId w15:val="{E851D2F7-B8CA-40E7-BD5E-273638845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7</Pages>
  <Words>2036</Words>
  <Characters>11203</Characters>
  <Application>Microsoft Office Word</Application>
  <DocSecurity>0</DocSecurity>
  <Lines>93</Lines>
  <Paragraphs>26</Paragraphs>
  <ScaleCrop>false</ScaleCrop>
  <Company/>
  <LinksUpToDate>false</LinksUpToDate>
  <CharactersWithSpaces>13213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Osvaldo Mañan</cp:lastModifiedBy>
  <cp:revision>2</cp:revision>
  <dcterms:created xsi:type="dcterms:W3CDTF">2026-04-08T15:25:00Z</dcterms:created>
  <dcterms:modified xsi:type="dcterms:W3CDTF">2026-04-08T17:15:00Z</dcterms:modified>
</cp:coreProperties>
</file>