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pBdr>
          <w:bottom w:val="single" w:color="065A82" w:sz="6" w:space="1"/>
        </w:pBdr>
        <w:spacing w:after="200" w:before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color w:val="065A82"/>
          <w:sz w:val="28"/>
          <w:szCs w:val="28"/>
        </w:rPr>
        <w:t xml:space="preserve">PLADECO RENGO 2025-2035</w:t>
      </w:r>
    </w:p>
    <w:p>
      <w:pPr>
        <w:spacing w:after="1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02060"/>
          <w:sz w:val="36"/>
          <w:szCs w:val="36"/>
        </w:rPr>
        <w:t xml:space="preserve">Análisis Ejecutivo: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02060"/>
          <w:sz w:val="36"/>
          <w:szCs w:val="36"/>
        </w:rPr>
        <w:t xml:space="preserve">Diagrama de Flujo Estratégico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2060"/>
          <w:sz w:val="36"/>
          <w:szCs w:val="36"/>
        </w:rPr>
        <w:t xml:space="preserve">PLADECO Rengo 2025-2035</w:t>
      </w:r>
    </w:p>
    <w:p>
      <w:pPr>
        <w:pBdr>
          <w:bottom w:val="single" w:color="065A82" w:sz="6" w:space="1"/>
        </w:pBdr>
        <w:spacing w:after="200" w:before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065A82"/>
          <w:sz w:val="24"/>
          <w:szCs w:val="24"/>
        </w:rPr>
        <w:t xml:space="preserve">Municipalidad de Rengo | SECPLAC</w:t>
      </w:r>
    </w:p>
    <w:p>
      <w:pPr>
        <w:spacing w:after="80"/>
        <w:jc w:val="center"/>
      </w:pPr>
      <w:r>
        <w:rPr>
          <w:rFonts w:ascii="Arial" w:cs="Arial" w:eastAsia="Arial" w:hAnsi="Arial"/>
          <w:color w:val="065A82"/>
          <w:sz w:val="24"/>
          <w:szCs w:val="24"/>
        </w:rPr>
        <w:t xml:space="preserve">Abril 2026</w:t>
      </w:r>
    </w:p>
    <w:p>
      <w:pPr>
        <w:spacing w:after="400"/>
      </w:pPr>
    </w:p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176 políticas | 32 objetivos estratégicos | 6 ejes | 65.786 habitantes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Provincia de Cachapoal | Región del Libertador Bernardo O’Higgins</w:t>
      </w:r>
    </w:p>
    <w:p>
      <w:pPr>
        <w:sectPr>
          <w:pgSz w:w="11906" w:h="16838" w:orient="portrait"/>
          <w:pgMar w:top="1418" w:right="1418" w:bottom="1418" w:left="1418" w:header="708" w:footer="708" w:gutter="0"/>
          <w:pgNumType/>
          <w:docGrid w:linePitch="360"/>
        </w:sectPr>
      </w:pPr>
    </w:p>
    <w:p>
      <w:pPr>
        <w:pBdr>
          <w:bottom w:val="single" w:color="065A82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1. Propósito del Gráfico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diagrama de Sankey que se presenta a continuación constituye la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visualización integral de la arquitectura estratégica del PLADECO Rengo 2025-2035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 A través de cuatro niveles de flujo —de izquierda a derecha—, el gráfico permite trazar la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cadena completa de trazabilidad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desde la política regional (ERD O’Higgins 2024-2036) hasta los plazos operativos de implementación, pasando por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6 ejes estratégicos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32 objetivos estratégicos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que articulan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176 políticas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diseñadas para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65.786 habitantes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 Este instrumento cumple una función crítica: servir como evidencia de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coherencia de política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(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policy coherence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) requerida por el Art. 7° de la Ley 18.695 Orgánica Constitucional de Municipalidades para la elegibilidad de financiamiento FNDR y la rendición ante el Gobierno Regional de O’Higgins.</w:t>
      </w:r>
    </w:p>
    <w:p>
      <w:pPr>
        <w:spacing w:after="100"/>
      </w:pPr>
    </w:p>
    <w:p>
      <w:pPr>
        <w:spacing w:after="80"/>
        <w:jc w:val="center"/>
      </w:pPr>
      <w:r>
        <w:drawing>
          <wp:inline distT="0" distB="0" distL="0" distR="0">
            <wp:extent cx="7905750" cy="4352925"/>
            <wp:effectExtent t="0" r="0" b="0" l="0"/>
            <wp:docPr id="1" name="G18_Sankey_Flujo_Estrategico" descr="Diagrama de flujo estrategico que muestra 4 niveles: ERD, Ejes, Objetivos Estrategicos y Plazos" title="Diagrama Sankey PLADECO Ren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Figura 1. Diagrama de Flujo Estratégico (Sankey) — PLADECO Rengo 2025-2035. Elaboración propia con base en diagnóstico integrado.</w:t>
      </w:r>
    </w:p>
    <w:p>
      <w:pPr>
        <w:pBdr>
          <w:bottom w:val="single" w:color="065A82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2. Lectura del Diagrama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diagrama se organiza en cuatro columnas (niveles) que representan la cadena de valor estratégico del plan. A continuación se describe cada nivel, su contenido y las principales relaciones de flujo visibles.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Nivel 1 — ERD O’Higgins 2024-2036 (columna izquierda)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La columna izquierda presenta los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7 lineamientos regionales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de la Estrategia Regional de Desarrollo (ERD) de la Región de O’Higgins, que constituyen el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mandato supracomunal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al cual debe alinearse todo instrumento de planificación local. Los flujos que emanan de cada lineamiento revelan su peso relativo en la estructura del PLADECO: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L1 Desarrollo Humano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alimenta el Eje 1 con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17 acciones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directas —constituye el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flujo más grueso del diagrama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reflejando la prioridad social del plan y la necesidad de atender vulnerabilidades críticas en una comuna con índice de envejecimiento del 72,1% y 7.256 personas con discapacidad (12,1%).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L2 Economía Diversificada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→ Eje 2 con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15 acciones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—apunta a la diversificación productiva para superar la dependencia agrícola estacional, considerando que el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57% del empleo comunal es estacional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generando precariedad laboral cíclica.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L3 Territorio Conectado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→ Eje 4 con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12 acciones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—infraestructura y conectividad territorial para los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592 km² de superficie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comunal, incluyendo localidades rurales con déficit de acceso.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L4 Seguridad Ciudadana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→ Eje 5 con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16 acciones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—respuesta directa a los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5.620 casos de seguridad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registrados y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608 casos de VIF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(78% mujeres), cifras que sitúan a Rengo en una posición crítica en la región.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L5 Sustentabilidad Ambiental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→ Eje 4 con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5 acciones parciales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—aborda la crisis hídrica estructural con precipitaciones que han disminuido entre un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30% y 35%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respecto de promedios históricos.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T1 Modernización de la Gestión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→ Eje 6 con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18 acciones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—el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segundo flujo más grueso del diagrama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reflejando que la descoordinación sistémica (H1) fue identificada como causa raíz del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40% de cumplimiento del PLADECO anterior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 La reforma institucional es condición habilitante para todo lo demás.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T2 Igualdad de Género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→ cruza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Ejes 1 y 3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con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19 acciones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—transversalidad conforme al Instructivo Presidencial 007/2022, garantizando que el enfoque de género permea educación, salud y bienestar social.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Nivel 2 — 6 Ejes PLADECO (columna central)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La columna central muestra la distribución de las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176 acciones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agrupadas en seis ejes estratégicos. El grosor de cada flujo es proporcional al número de acciones, haciendo visible la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concentración estratégica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del plan: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226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 Estratégico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 Diagnóstica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Eje 1: Desarrollo Humano Integral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51 (29%)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El más robusto: integra Cultura, Turismo, Deportes, Bienestar Social y Salud. IE=72,1; 62,5% FONASA A+B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Eje 2: Desarrollo Económico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17 (10%)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4.829 empresas (1° regional) requieren apoyo institucional para formalización y competitividad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Eje 3: Educación y Capital Humano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14 (8%)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Cobertura preescolar 50,9%; deserción 11,6%; escolaridad promedio 11,1 años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Eje 4: Territorio e Infraestructura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33 (19%)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PRC con 16 años; alcantarillado 75,1%; áreas verdes 1,96 m²/hab (OMS: 9 m²)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Eje 5: Seguridad y Convivencia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28 (16%)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54,41% NNA se sienten inseguros; delitos contra la vida +126%; drogas +440%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Eje 6: Gestión Municipal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33 (19%)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IIGAM 57%; gasto en personal 74,0%; ejecución inversiones 32,2%</w:t>
            </w:r>
          </w:p>
        </w:tc>
      </w:tr>
    </w:tbl>
    <w:p>
      <w:pPr>
        <w:spacing w:after="100"/>
      </w:pPr>
    </w:p>
    <w:p>
      <w:pPr>
        <w:pBdr>
          <w:left w:val="single" w:color="065A82" w:sz="12" w:space="8"/>
        </w:pBdr>
        <w:shd w:fill="F0F4F8" w:val="clear"/>
        <w:spacing w:after="120" w:line="276"/>
        <w:ind w:left="360" w:right="360"/>
        <w:jc w:val="both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Dato clave: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Los Ejes 1 y 6 concentran el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48%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de las acciones totales (84 de 176). Esta asimetría no es casual: responde directamente a los hallazgos del diagnóstico integrado que identificó la vulnerabilidad social y la disfunción institucional como los dos desafíos prioritarios.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Nivel 3 — 32 Objetivos Estratégicos (columna derecha)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tercer nivel desagrega cada eje en sus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objetivos estratégicos (OE)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mostrando entre paréntesis el número de acciones asociadas. Los OE con mayor concentración de acciones son:</w:t>
      </w:r>
    </w:p>
    <w:p>
      <w:pPr>
        <w:pStyle w:val="ListParagraph"/>
        <w:numPr>
          <w:ilvl w:val="0"/>
          <w:numId w:val="3"/>
        </w:numPr>
        <w:spacing w:after="1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OE 6.6 Cuentas Públicas y Participación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9 acciones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: el objetivo más denso, reflejando la urgencia de transparencia y accountability municipal.</w:t>
      </w:r>
    </w:p>
    <w:p>
      <w:pPr>
        <w:pStyle w:val="ListParagraph"/>
        <w:numPr>
          <w:ilvl w:val="0"/>
          <w:numId w:val="3"/>
        </w:numPr>
        <w:spacing w:after="1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OE 6.2 Recursos Humanos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6 acciones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: modernización de la gestión de personas, pieza clave dado que el gasto en personal alcanza el 74,0% del presupuesto.</w:t>
      </w:r>
    </w:p>
    <w:p>
      <w:pPr>
        <w:pStyle w:val="ListParagraph"/>
        <w:numPr>
          <w:ilvl w:val="0"/>
          <w:numId w:val="3"/>
        </w:numPr>
        <w:spacing w:after="1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OE 6.4 Unidad de Medio Ambiente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5 acciones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: creación y fortalecimiento de capacidad ambiental local frente a la crisis hídrica.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Esta concentración en el Eje 6 responde directamente a los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hallazgos de la Contraloría General de la República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(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24 instrumentos de control, 3 derivaciones al Ministerio Público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) y a la necesidad de una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reforma institucional profunda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que permita al municipio ejecutar con eficacia las restantes 143 acciones.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Nivel 4 — Plazos de Implementación (columna extrema derecha)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cuarto nivel distribuye cada acción según su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horizonte temporal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haciendo explícita la estrategia de secuenciamiento:</w:t>
      </w:r>
    </w:p>
    <w:p>
      <w:pPr>
        <w:pStyle w:val="ListParagraph"/>
        <w:numPr>
          <w:ilvl w:val="0"/>
          <w:numId w:val="4"/>
        </w:numPr>
        <w:spacing w:after="1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Corto Plazo (2026-2027)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: concentra la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mayoría de los flujos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(color verde) —se priorizan resultados visibles tempranos (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quick wins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) que generen legitimidad política y demostración de capacidad de gestión ante la comunidad y el GORE.</w:t>
      </w:r>
    </w:p>
    <w:p>
      <w:pPr>
        <w:pStyle w:val="ListParagraph"/>
        <w:numPr>
          <w:ilvl w:val="0"/>
          <w:numId w:val="4"/>
        </w:numPr>
        <w:spacing w:after="1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Mediano Plazo (2028-2031)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: segundo volumen de flujos —período de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maduración institucional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donde las reformas del Eje 6 comienzan a generar capacidad para proyectos de mayor envergadura (FNDR, PMU, BIP).</w:t>
      </w:r>
    </w:p>
    <w:p>
      <w:pPr>
        <w:pStyle w:val="ListParagraph"/>
        <w:numPr>
          <w:ilvl w:val="0"/>
          <w:numId w:val="4"/>
        </w:numPr>
        <w:spacing w:after="1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Largo Plazo (2032-2035)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: flujos más delgados —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transformaciones estructurales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que requieren condiciones habilitantes previas: nuevo PRC, gestión hídrica integrada, diversificación productiva consolidada.</w:t>
      </w:r>
    </w:p>
    <w:p>
      <w:r>
        <w:br w:type="page"/>
      </w:r>
    </w:p>
    <w:p>
      <w:pPr>
        <w:pBdr>
          <w:bottom w:val="single" w:color="065A82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3. Tres Argumentos Estratégicos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diagrama Sankey no es meramente descriptivo: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argumenta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 Las siguientes tres lecturas estratégicas constituyen los mensajes centrales que el gráfico comunica a tomadores de decisión, financistas y ciudadanía.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2060"/>
          <w:sz w:val="24"/>
          <w:szCs w:val="24"/>
        </w:rPr>
        <w:t xml:space="preserve">Argumento 1: Coherencia Vertical como Ventaja Competitiva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La trazabilidad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ERD → Eje → OE → Plazo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demuestra que cada acción municipal responde a un mandato regional explícito. Esta coherencia no es un ejercicio académico: es la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condición de elegibilidad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para acceder a financiamiento FNDR/GORE. Los municipios que demuestran alineamiento explícito con la ERD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incrementan su competitividad en la asignación de recursos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(SUBDERE, 2021).</w:t>
      </w:r>
    </w:p>
    <w:p>
      <w:pPr>
        <w:pBdr>
          <w:left w:val="single" w:color="065A82" w:sz="12" w:space="8"/>
        </w:pBdr>
        <w:shd w:fill="F0F4F8" w:val="clear"/>
        <w:spacing w:after="120" w:line="276"/>
        <w:ind w:left="360" w:right="36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Con la materialización BIP declinando de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49,4% a 30,7%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Rengo necesita cada ventaja competitiva para revertir esta tendencia. El diagrama Sankey es la prueba visual de que el plan está diseñado para competir.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2060"/>
          <w:sz w:val="24"/>
          <w:szCs w:val="24"/>
        </w:rPr>
        <w:t xml:space="preserve">Argumento 2: Concentración Estratégica Basada en Diagnóstico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grosor de los flujos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no es uniforme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—es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proporcional a la urgencia diagnóstica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 El Eje 6 (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33 acciones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) y el Eje 1 (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51 acciones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) concentran el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48%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del total porque la etnografía social confirmó dos hechos ineludibles:</w:t>
      </w:r>
    </w:p>
    <w:p>
      <w:pPr>
        <w:pStyle w:val="ListParagraph"/>
        <w:numPr>
          <w:ilvl w:val="0"/>
          <w:numId w:val="5"/>
        </w:num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disfunción institucional es causa raíz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del fracaso del PLADECO anterior: la hipótesis H1 (descoordinación sistémica) explica el 40% de cumplimiento histórico.</w:t>
      </w:r>
    </w:p>
    <w:p>
      <w:pPr>
        <w:pStyle w:val="ListParagraph"/>
        <w:numPr>
          <w:ilvl w:val="0"/>
          <w:numId w:val="5"/>
        </w:num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vulnerabilidad social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exige respuesta inmediata: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8.796 personas mayores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(IE=72,1),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7.256 PcD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(12,1%),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62,5%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de vulnerabilidad en salud (FONASA A+B).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Si los flujos fueran uniformes, significaría que el plan ignora el diagnóstico.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La asimetría ES la evidencia de planificación basada en evidencia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2060"/>
          <w:sz w:val="24"/>
          <w:szCs w:val="24"/>
        </w:rPr>
        <w:t xml:space="preserve">Argumento 3: Intersectorialidad Visible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Los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flujos cruzados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—L1 alimentando el Eje 1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y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T2 alimentando el Eje 3; L3 y L5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ambos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confluyendo en el Eje 4— demuestran que el PLADECO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no opera en silos sectoriales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 Esta estructura responde al hallazgo clave de la encuesta a funcionarios: el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82% reconoce la brecha territorial como problema estructural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que no puede resolverse desde un solo sector.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diagrama Sankey hace visible lo que el diagnóstico confirmó: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los problemas complejos requieren respuestas multi-eje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 La pobreza no se resuelve solo desde bienestar social (Eje 1); requiere empleo (Eje 2), educación (Eje 3), infraestructura (Eje 4) y seguridad (Eje 5). Los cruces del Sankey son la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huella dactilar de la intersectorialidad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</w:t>
      </w:r>
    </w:p>
    <w:p>
      <w:r>
        <w:br w:type="page"/>
      </w:r>
    </w:p>
    <w:p>
      <w:pPr>
        <w:pBdr>
          <w:bottom w:val="single" w:color="065A82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4. Implicancias para la Gestión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Para el Alcalde y Concejo Municipal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diagrama constituye una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herramienta de gobernanza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: muestra en una sola imagen dónde concentra esfuerzo el plan y por qué. Su uso recomendado incluye:</w:t>
      </w:r>
    </w:p>
    <w:p>
      <w:pPr>
        <w:pStyle w:val="ListParagraph"/>
        <w:numPr>
          <w:ilvl w:val="0"/>
          <w:numId w:val="6"/>
        </w:num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Presentaciones ante el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COSOC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para demostrar trazabilidad y rendición de cuentas ciudadana.</w:t>
      </w:r>
    </w:p>
    <w:p>
      <w:pPr>
        <w:pStyle w:val="ListParagraph"/>
        <w:numPr>
          <w:ilvl w:val="0"/>
          <w:numId w:val="6"/>
        </w:num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Reuniones con el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GORE O’Higgins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para fundamentar solicitudes de financiamiento FNDR con evidencia de alineamiento ERD.</w:t>
      </w:r>
    </w:p>
    <w:p>
      <w:pPr>
        <w:pStyle w:val="ListParagraph"/>
        <w:numPr>
          <w:ilvl w:val="0"/>
          <w:numId w:val="6"/>
        </w:num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Cuentas públicas anuales como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pieza central de accountability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mostrando avance por eje y plazo.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Para SECPLAC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detalle a nivel de OE permite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monitorear qué objetivos avanzan y cuáles se rezagan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 Si el OE 6.6 (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9 acciones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el más denso del plan) muestra retrasos, toda la cadena de accountability se compromete. SECPLAC debe utilizar este diagrama como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tablero de control estratégico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cruzando la información de avance físico-financiero de cada acción con su posición en el flujo Sankey.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Para el Gobierno Regional de O’Higgins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diagrama demuestra que el PLADECO de Rengo está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técnicamente alineado con la ERD 2024-2036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cumpliendo el requisito de coherencia territorial exigido por la normativa vigente. Cada lineamiento regional tiene un correlato explícito en al menos un eje estratégico del PLADECO, lo que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respalda la elegibilidad de los proyectos municipales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para fondos regionales (FNDR, FIE, FRIL, PMU).</w:t>
      </w:r>
    </w:p>
    <w:p>
      <w:pPr>
        <w:pBdr>
          <w:bottom w:val="single" w:color="065A82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065A82"/>
          <w:sz w:val="28"/>
          <w:szCs w:val="28"/>
        </w:rPr>
        <w:t xml:space="preserve">5. Fuentes del Diagnóstico Integrado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diagrama Sankey y su análisis se sustentan en las siguientes fuentes de información, todas integradas en la línea base del PLADECO:</w:t>
      </w:r>
    </w:p>
    <w:p>
      <w:pPr>
        <w:pStyle w:val="ListParagraph"/>
        <w:numPr>
          <w:ilvl w:val="0"/>
          <w:numId w:val="7"/>
        </w:num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FUENTE DE INFO PLADECO — Base de datos integrada de indicadores comunales</w:t>
      </w:r>
    </w:p>
    <w:p>
      <w:pPr>
        <w:pStyle w:val="ListParagraph"/>
        <w:numPr>
          <w:ilvl w:val="0"/>
          <w:numId w:val="7"/>
        </w:num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Censo INE 2024 — Datos demográficos y socioeconómicos oficiales</w:t>
      </w:r>
    </w:p>
    <w:p>
      <w:pPr>
        <w:pStyle w:val="ListParagraph"/>
        <w:numPr>
          <w:ilvl w:val="0"/>
          <w:numId w:val="7"/>
        </w:num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SINIM 2024 — Sistema Nacional de Información Municipal (indicadores de gestión)</w:t>
      </w:r>
    </w:p>
    <w:p>
      <w:pPr>
        <w:pStyle w:val="ListParagraph"/>
        <w:numPr>
          <w:ilvl w:val="0"/>
          <w:numId w:val="7"/>
        </w:num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CGR 2009-2024 — Informes de auditoría de la Contraloría General de la República</w:t>
      </w:r>
    </w:p>
    <w:p>
      <w:pPr>
        <w:pStyle w:val="ListParagraph"/>
        <w:numPr>
          <w:ilvl w:val="0"/>
          <w:numId w:val="7"/>
        </w:num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Etnografía Social 2025 — Investigación cualitativa de campo con actores territoriales</w:t>
      </w:r>
    </w:p>
    <w:p>
      <w:pPr>
        <w:pStyle w:val="ListParagraph"/>
        <w:numPr>
          <w:ilvl w:val="0"/>
          <w:numId w:val="7"/>
        </w:num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Encuesta Ciudadana (n=119) — Percepción de necesidades y prioridades vecinales</w:t>
      </w:r>
    </w:p>
    <w:p>
      <w:pPr>
        <w:pStyle w:val="ListParagraph"/>
        <w:numPr>
          <w:ilvl w:val="0"/>
          <w:numId w:val="7"/>
        </w:num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Encuesta Funcionarios Municipales (n=116) — Diagnóstico institucional interno</w:t>
      </w:r>
    </w:p>
    <w:p>
      <w:pPr>
        <w:pStyle w:val="ListParagraph"/>
        <w:numPr>
          <w:ilvl w:val="0"/>
          <w:numId w:val="7"/>
        </w:num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Encuesta NNA (n=21) — Visión de niños, niñas y adolescentes sobre seguridad y bienestar</w:t>
      </w:r>
    </w:p>
    <w:p>
      <w:pPr>
        <w:pStyle w:val="ListParagraph"/>
        <w:numPr>
          <w:ilvl w:val="0"/>
          <w:numId w:val="7"/>
        </w:numPr>
        <w:spacing w:after="120" w:line="276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BIP/SNI 1997-2025 — Banco Integrado de Proyectos del Sistema Nacional de Inversiones</w:t>
      </w:r>
    </w:p>
    <w:p>
      <w:pPr>
        <w:spacing w:after="200"/>
      </w:pPr>
    </w:p>
    <w:p>
      <w:pPr>
        <w:pBdr>
          <w:bottom w:val="single" w:color="065A82" w:sz="6" w:space="1"/>
        </w:pBdr>
        <w:spacing w:after="200" w:before="200"/>
      </w:pP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preparado por SECPLAC — Municipalidad de Rengo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Abril 2026 | Proceso PLADECO Rengo 2025-2035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5A82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Municipalidad de Rengo | Provincia de Cachapoal | Región del Libertador O’Higgins | Abril 2026    —    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A82" w:sz="2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Análisis Ejecutivo | Diagrama Sankey | PLADECO Rengo 2025-2035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10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20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065A8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b4b3a2c0601954dd1458e723b7b24016777d9a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2026-04-08T14:42:46.315Z</dcterms:created>
  <dcterms:modified xsi:type="dcterms:W3CDTF">2026-04-08T14:42:46.318Z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