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0"/>
          <w:szCs w:val="10"/>
        </w:rPr>
        <w:t xml:space="preserve"/>
      </w:r>
    </w:p>
    <w:p>
      <w:pPr>
        <w:spacing w:after="0" w:before="0"/>
      </w:pPr>
      <w:r>
        <w:rPr>
          <w:sz w:val="10"/>
          <w:szCs w:val="10"/>
        </w:rPr>
        <w:t xml:space="preserve"/>
      </w:r>
    </w:p>
    <w:p>
      <w:pPr>
        <w:spacing w:after="0" w:before="0"/>
      </w:pPr>
      <w:r>
        <w:rPr>
          <w:sz w:val="10"/>
          <w:szCs w:val="10"/>
        </w:rPr>
        <w:t xml:space="preserve"/>
      </w:r>
    </w:p>
    <w:p>
      <w:pPr>
        <w:spacing w:after="0" w:before="0"/>
      </w:pPr>
      <w:r>
        <w:rPr>
          <w:sz w:val="10"/>
          <w:szCs w:val="10"/>
        </w:rPr>
        <w:t xml:space="preserve"/>
      </w:r>
    </w:p>
    <w:p>
      <w:pPr>
        <w:spacing w:after="0" w:before="0"/>
      </w:pPr>
      <w:r>
        <w:rPr>
          <w:sz w:val="10"/>
          <w:szCs w:val="10"/>
        </w:rPr>
        <w:t xml:space="preserve"/>
      </w:r>
    </w:p>
    <w:p>
      <w:pPr>
        <w:spacing w:after="0" w:before="0"/>
      </w:pPr>
      <w:r>
        <w:rPr>
          <w:sz w:val="10"/>
          <w:szCs w:val="10"/>
        </w:rPr>
        <w:t xml:space="preserve"/>
      </w:r>
    </w:p>
    <w:p>
      <w:pPr>
        <w:spacing w:after="0" w:before="0"/>
      </w:pPr>
      <w:r>
        <w:rPr>
          <w:sz w:val="10"/>
          <w:szCs w:val="10"/>
        </w:rPr>
        <w:t xml:space="preserve"/>
      </w:r>
    </w:p>
    <w:p>
      <w:pPr>
        <w:spacing w:after="0" w:before="0"/>
      </w:pPr>
      <w:r>
        <w:rPr>
          <w:sz w:val="10"/>
          <w:szCs w:val="10"/>
        </w:rPr>
        <w:t xml:space="preserve"/>
      </w:r>
    </w:p>
    <w:p>
      <w:pPr>
        <w:spacing w:after="0" w:before="0"/>
      </w:pPr>
      <w:r>
        <w:rPr>
          <w:sz w:val="10"/>
          <w:szCs w:val="10"/>
        </w:rPr>
        <w:t xml:space="preserve"/>
      </w:r>
    </w:p>
    <w:p>
      <w:pPr>
        <w:spacing w:after="0" w:before="0"/>
      </w:pPr>
      <w:r>
        <w:rPr>
          <w:sz w:val="10"/>
          <w:szCs w:val="10"/>
        </w:rPr>
        <w:t xml:space="preserve"/>
      </w:r>
    </w:p>
    <w:p>
      <w:pPr>
        <w:spacing w:after="80" w:before="80" w:line="288"/>
        <w:jc w:val="center"/>
      </w:pPr>
      <w:r>
        <w:rPr>
          <w:rFonts w:ascii="Calibri" w:cs="Calibri" w:eastAsia="Calibri" w:hAnsi="Calibri"/>
          <w:b/>
          <w:bCs/>
          <w:i w:val="false"/>
          <w:iCs w:val="false"/>
          <w:color w:val="1F3864"/>
          <w:sz w:val="44"/>
          <w:szCs w:val="44"/>
        </w:rPr>
        <w:t xml:space="preserve">MUNICIPALIDAD DE RENGO</w:t>
      </w:r>
    </w:p>
    <w:p>
      <w:pPr>
        <w:spacing w:after="200" w:before="80" w:line="288"/>
        <w:jc w:val="center"/>
      </w:pPr>
      <w:r>
        <w:rPr>
          <w:rFonts w:ascii="Calibri" w:cs="Calibri" w:eastAsia="Calibri" w:hAnsi="Calibri"/>
          <w:b w:val="false"/>
          <w:bCs w:val="false"/>
          <w:i w:val="false"/>
          <w:iCs w:val="false"/>
          <w:color w:val="2E5FA3"/>
          <w:sz w:val="26"/>
          <w:szCs w:val="26"/>
        </w:rPr>
        <w:t xml:space="preserve">PLAN DE DESARROLLO COMUNAL 2025-2035</w:t>
      </w:r>
    </w:p>
    <w:p>
      <w:pPr>
        <w:pBdr>
          <w:top w:val="single" w:color="1F3864" w:sz="12" w:space="4"/>
          <w:bottom w:val="single" w:color="1F3864" w:sz="12" w:space="4"/>
        </w:pBdr>
        <w:spacing w:after="80" w:before="80"/>
        <w:jc w:val="center"/>
      </w:pPr>
      <w:r>
        <w:rPr>
          <w:rFonts w:ascii="Calibri" w:cs="Calibri" w:eastAsia="Calibri" w:hAnsi="Calibri"/>
          <w:b/>
          <w:bCs/>
          <w:color w:val="1F3864"/>
          <w:sz w:val="34"/>
          <w:szCs w:val="34"/>
        </w:rPr>
        <w:t xml:space="preserve">PROFUNDIZACION DEL ANALISIS INSTITUCIONAL</w:t>
      </w:r>
    </w:p>
    <w:p>
      <w:pPr>
        <w:spacing w:after="0" w:before="0"/>
      </w:pPr>
      <w:r>
        <w:rPr>
          <w:sz w:val="10"/>
          <w:szCs w:val="10"/>
        </w:rPr>
        <w:t xml:space="preserve"/>
      </w:r>
    </w:p>
    <w:p>
      <w:pPr>
        <w:spacing w:after="80" w:before="80" w:line="288"/>
        <w:jc w:val="center"/>
      </w:pPr>
      <w:r>
        <w:rPr>
          <w:rFonts w:ascii="Calibri" w:cs="Calibri" w:eastAsia="Calibri" w:hAnsi="Calibri"/>
          <w:b w:val="false"/>
          <w:bCs w:val="false"/>
          <w:i w:val="false"/>
          <w:iCs w:val="false"/>
          <w:color w:val="2E5FA3"/>
          <w:sz w:val="24"/>
          <w:szCs w:val="24"/>
        </w:rPr>
        <w:t xml:space="preserve">Diagnostico de Capacidades Institucionales, Brechas Normativas y Hoja de Ruta Estrategica</w:t>
      </w:r>
    </w:p>
    <w:p>
      <w:pPr>
        <w:spacing w:after="200" w:before="80" w:line="288"/>
        <w:jc w:val="center"/>
      </w:pPr>
      <w:r>
        <w:rPr>
          <w:rFonts w:ascii="Calibri" w:cs="Calibri" w:eastAsia="Calibri" w:hAnsi="Calibri"/>
          <w:b w:val="false"/>
          <w:bCs w:val="false"/>
          <w:i/>
          <w:iCs/>
          <w:color w:val="555555"/>
          <w:sz w:val="21"/>
          <w:szCs w:val="21"/>
        </w:rPr>
        <w:t xml:space="preserve">Basado en Diagnostico Institucional (ORD. N 276/2026) y Compilado de Documentos Municipales</w:t>
      </w:r>
    </w:p>
    <w:p>
      <w:pPr>
        <w:spacing w:after="0" w:before="0"/>
      </w:pPr>
      <w:r>
        <w:rPr>
          <w:sz w:val="10"/>
          <w:szCs w:val="10"/>
        </w:rPr>
        <w:t xml:space="preserve"/>
      </w:r>
    </w:p>
    <w:p>
      <w:pPr>
        <w:spacing w:after="0" w:before="0"/>
      </w:pPr>
      <w:r>
        <w:rPr>
          <w:sz w:val="10"/>
          <w:szCs w:val="10"/>
        </w:rPr>
        <w:t xml:space="preserve"/>
      </w:r>
    </w:p>
    <w:p>
      <w:pPr>
        <w:spacing w:after="0" w:before="0"/>
      </w:pPr>
      <w:r>
        <w:rPr>
          <w:sz w:val="10"/>
          <w:szCs w:val="10"/>
        </w:rPr>
        <w:t xml:space="preserve"/>
      </w:r>
    </w:p>
    <w:p>
      <w:pPr>
        <w:spacing w:after="0" w:before="0"/>
      </w:pPr>
      <w:r>
        <w:rPr>
          <w:sz w:val="10"/>
          <w:szCs w:val="10"/>
        </w:rPr>
        <w:t xml:space="preserve"/>
      </w:r>
    </w:p>
    <w:p>
      <w:pPr>
        <w:spacing w:after="0" w:before="0"/>
      </w:pPr>
      <w:r>
        <w:rPr>
          <w:sz w:val="10"/>
          <w:szCs w:val="10"/>
        </w:rPr>
        <w:t xml:space="preserve"/>
      </w:r>
    </w:p>
    <w:p>
      <w:pPr>
        <w:spacing w:after="140" w:before="80" w:line="288"/>
        <w:jc w:val="center"/>
      </w:pPr>
      <w:r>
        <w:rPr>
          <w:rFonts w:ascii="Calibri" w:cs="Calibri" w:eastAsia="Calibri" w:hAnsi="Calibri"/>
          <w:b w:val="false"/>
          <w:bCs w:val="false"/>
          <w:i w:val="false"/>
          <w:iCs w:val="false"/>
          <w:color w:val="333333"/>
          <w:sz w:val="21"/>
          <w:szCs w:val="21"/>
        </w:rPr>
        <w:t xml:space="preserve">Municipalidad de Rengo  |  Region del Libertador Bernardo O'Higgins</w:t>
      </w:r>
    </w:p>
    <w:p>
      <w:pPr>
        <w:spacing w:after="140" w:before="80" w:line="288"/>
        <w:jc w:val="center"/>
      </w:pPr>
      <w:r>
        <w:rPr>
          <w:rFonts w:ascii="Calibri" w:cs="Calibri" w:eastAsia="Calibri" w:hAnsi="Calibri"/>
          <w:b/>
          <w:bCs/>
          <w:i w:val="false"/>
          <w:iCs w:val="false"/>
          <w:color w:val="333333"/>
          <w:sz w:val="21"/>
          <w:szCs w:val="21"/>
        </w:rPr>
        <w:t xml:space="preserve">Alcalde: Enrique del Barrio Hernandez  |  Abril 2026</w:t>
      </w:r>
    </w:p>
    <w:p>
      <w:pPr>
        <w:sectPr>
          <w:type w:val="nextPage"/>
          <w:pgSz w:w="12240" w:h="15840" w:orient="portrait"/>
          <w:pgMar w:top="1080" w:right="1080" w:bottom="1080" w:left="1080" w:header="708" w:footer="708" w:gutter="0"/>
          <w:pgNumType/>
          <w:docGrid w:linePitch="360"/>
        </w:sectPr>
      </w:pPr>
    </w:p>
    <w:p>
      <w:pPr>
        <w:pStyle w:val="Heading1"/>
        <w:pBdr>
          <w:bottom w:val="single" w:color="2E5FA3" w:sz="10" w:space="4"/>
        </w:pBdr>
        <w:spacing w:after="60" w:before="300"/>
      </w:pPr>
      <w:r>
        <w:rPr>
          <w:rFonts w:ascii="Calibri" w:cs="Calibri" w:eastAsia="Calibri" w:hAnsi="Calibri"/>
          <w:b/>
          <w:bCs/>
          <w:color w:val="1F3864"/>
          <w:sz w:val="26"/>
          <w:szCs w:val="26"/>
        </w:rPr>
        <w:t xml:space="preserve">SECCION I: </w:t>
      </w:r>
      <w:r>
        <w:rPr>
          <w:rFonts w:ascii="Calibri" w:cs="Calibri" w:eastAsia="Calibri" w:hAnsi="Calibri"/>
          <w:b/>
          <w:bCs/>
          <w:color w:val="1F3864"/>
          <w:sz w:val="26"/>
          <w:szCs w:val="26"/>
        </w:rPr>
        <w:t xml:space="preserve">PRESENTACION Y ALCANCE DEL ANALISIS</w:t>
      </w:r>
      <w:r>
        <w:rPr>
          <w:rFonts w:ascii="Calibri" w:cs="Calibri" w:eastAsia="Calibri" w:hAnsi="Calibri"/>
          <w:color w:val="2E5FA3"/>
          <w:sz w:val="20"/>
          <w:szCs w:val="20"/>
        </w:rPr>
        <w:t xml:space="preserve">  -  Marco metodologico y fuentes</w:t>
      </w:r>
    </w:p>
    <w:p>
      <w:pPr>
        <w:spacing w:after="0" w:before="0"/>
      </w:pPr>
      <w:r>
        <w:rPr>
          <w:sz w:val="10"/>
          <w:szCs w:val="10"/>
        </w:rPr>
        <w:t xml:space="preserve"/>
      </w:r>
    </w:p>
    <w:p>
      <w:pPr>
        <w:pStyle w:val="Heading2"/>
        <w:spacing w:after="60" w:before="200"/>
      </w:pPr>
      <w:r>
        <w:rPr>
          <w:rFonts w:ascii="Calibri" w:cs="Calibri" w:eastAsia="Calibri" w:hAnsi="Calibri"/>
          <w:b/>
          <w:bCs/>
          <w:color w:val="2E5FA3"/>
          <w:sz w:val="23"/>
          <w:szCs w:val="23"/>
        </w:rPr>
        <w:t xml:space="preserve">1.1 Proposito del documento</w:t>
      </w:r>
    </w:p>
    <w:p>
      <w:pPr>
        <w:pBdr>
          <w:left w:val="single" w:color="1F3864" w:sz="16" w:space="12"/>
        </w:pBdr>
        <w:shd w:fill="D5E8F0" w:val="clear"/>
        <w:spacing w:after="140" w:before="140" w:line="288"/>
        <w:ind w:left="400" w:right="200"/>
        <w:jc w:val="both"/>
      </w:pPr>
      <w:r>
        <w:rPr>
          <w:rFonts w:ascii="Calibri" w:cs="Calibri" w:eastAsia="Calibri" w:hAnsi="Calibri"/>
          <w:i/>
          <w:iCs/>
          <w:color w:val="1A1A1A"/>
          <w:sz w:val="21"/>
          <w:szCs w:val="21"/>
        </w:rPr>
        <w:t xml:space="preserve">Tesis central: Este documento no es un inventario formal de instrumentos, sino un diagnostico critico de la brecha entre formalidad institucional y efectividad operativa, brecha que define el principal desafio del municipio de Rengo para el periodo 2025-2035.</w:t>
      </w:r>
    </w:p>
    <w:p>
      <w:pPr>
        <w:spacing w:after="0" w:before="0"/>
      </w:pPr>
      <w:r>
        <w:rPr>
          <w:sz w:val="10"/>
          <w:szCs w:val="10"/>
        </w:rPr>
        <w:t xml:space="preserve"/>
      </w:r>
    </w:p>
    <w:p>
      <w:pPr>
        <w:spacing w:after="140" w:before="80" w:line="288"/>
        <w:jc w:val="both"/>
      </w:pPr>
      <w:r>
        <w:rPr>
          <w:rFonts w:ascii="Calibri" w:cs="Calibri" w:eastAsia="Calibri" w:hAnsi="Calibri"/>
          <w:b w:val="false"/>
          <w:bCs w:val="false"/>
          <w:i w:val="false"/>
          <w:iCs w:val="false"/>
          <w:color w:val="000000"/>
          <w:sz w:val="22"/>
          <w:szCs w:val="22"/>
        </w:rPr>
        <w:t xml:space="preserve">El presente analisis profundiza el diagnostico institucional de la Municipalidad de Rengo como insumo estrategico para el PLADECO 2025-2035. Su origen se encuentra en la respuesta al ORD. N 276/2026 (solicitud MU266T0002807, respondida el 18 de marzo de 2026), mediante la cual el Alcalde Enrique del Barrio Hernandez remitio 12 instrumentos administrativos vigentes elaborados entre 2022 y 2026. Este acto de transparencia institucional constituye, en si mismo, la primera evidencia de un municipio que cumple sus obligaciones legales de informacion, aunque, como se demostrara a lo largo del documento, cumplir con la forma no equivale siempre a cumplir con el fondo.</w:t>
      </w:r>
    </w:p>
    <w:p>
      <w:pPr>
        <w:spacing w:after="140" w:before="80" w:line="288"/>
        <w:jc w:val="both"/>
      </w:pPr>
      <w:r>
        <w:rPr>
          <w:rFonts w:ascii="Calibri" w:cs="Calibri" w:eastAsia="Calibri" w:hAnsi="Calibri"/>
          <w:b w:val="false"/>
          <w:bCs w:val="false"/>
          <w:i w:val="false"/>
          <w:iCs w:val="false"/>
          <w:color w:val="000000"/>
          <w:sz w:val="22"/>
          <w:szCs w:val="22"/>
        </w:rPr>
        <w:t xml:space="preserve">El analisis examina 12 instrumentos formales bajo un modelo de madurez de cuatro niveles: Nivel 1 (Ausente o Inicial), Nivel 2 (Formalizado sin implementacion verificable), Nivel 3 (Implementado con evidencia) y Nivel 4 (Optimizado con mejora continua). El resultado es preocupante en su sistematicidad: el 50% de las dimensiones evaluadas se concentran en el Nivel 2, lo que configura un patron de 'formalismo institucional sin efecto real' que el PLADECO debe romper.</w:t>
      </w:r>
    </w:p>
    <w:p>
      <w:pPr>
        <w:spacing w:after="140" w:before="80" w:line="288"/>
        <w:jc w:val="both"/>
      </w:pPr>
      <w:r>
        <w:rPr>
          <w:rFonts w:ascii="Calibri" w:cs="Calibri" w:eastAsia="Calibri" w:hAnsi="Calibri"/>
          <w:b w:val="false"/>
          <w:bCs w:val="false"/>
          <w:i w:val="false"/>
          <w:iCs w:val="false"/>
          <w:color w:val="000000"/>
          <w:sz w:val="22"/>
          <w:szCs w:val="22"/>
        </w:rPr>
        <w:t xml:space="preserve">La Municipalidad de Rengo gobierna un territorio de 755 km2 con 63.620 habitantes (Censo 2024, INE), cifra que representa un crecimiento del 8,2% respecto a 2017. Administra 27 establecimientos educacionales municipales con 13.880 alumnos matriculados, 16 establecimientos de salud incluyendo 3 CESFAM y 1 hospital, y ejecuta un presupuesto municipal de $17.779.009 millones de pesos (SINIM 2024). Este contexto territorial y fiscal delimita tanto las obligaciones como las restricciones estructurales dentro de las cuales debe operar la planificacion institucional.</w:t>
      </w:r>
    </w:p>
    <w:p>
      <w:pPr>
        <w:pStyle w:val="Heading2"/>
        <w:spacing w:after="60" w:before="200"/>
      </w:pPr>
      <w:r>
        <w:rPr>
          <w:rFonts w:ascii="Calibri" w:cs="Calibri" w:eastAsia="Calibri" w:hAnsi="Calibri"/>
          <w:b/>
          <w:bCs/>
          <w:color w:val="2E5FA3"/>
          <w:sz w:val="23"/>
          <w:szCs w:val="23"/>
        </w:rPr>
        <w:t xml:space="preserve">1.2 Fuentes documentales y metodologia</w:t>
      </w:r>
    </w:p>
    <w:p>
      <w:pPr>
        <w:spacing w:after="140" w:before="80" w:line="288"/>
        <w:jc w:val="both"/>
      </w:pPr>
      <w:r>
        <w:rPr>
          <w:rFonts w:ascii="Calibri" w:cs="Calibri" w:eastAsia="Calibri" w:hAnsi="Calibri"/>
          <w:b w:val="false"/>
          <w:bCs w:val="false"/>
          <w:i w:val="false"/>
          <w:iCs w:val="false"/>
          <w:color w:val="000000"/>
          <w:sz w:val="22"/>
          <w:szCs w:val="22"/>
        </w:rPr>
        <w:t xml:space="preserve">El analisis se basa en doce instrumentos administrativos vigentes revisados en su texto integro, complementados con datos del Sistema Nacional de Informacion Municipal (SINIM 2024), Encuesta CASEN 2022, Censo 2024 INE, Datos de Establecimientos e Instituciones de Salud (DEIS 2022-2025), informes del Consejo para la Transparencia (CPLT 2024-2025), estadisticas nacionales del Centro de Ciencia del Clima y la Resiliencia (CR2) sobre PACCC, dictamenes de la Contraloria General de la Republica y el Informe CIC N 20 de marzo 2026. Cada afirmacion del documento esta referenciada a una fuente verificable.</w:t>
      </w:r>
    </w:p>
    <w:p>
      <w:pPr>
        <w:spacing w:after="60" w:before="160"/>
        <w:jc w:val="center"/>
      </w:pPr>
      <w:r>
        <w:rPr>
          <w:rFonts w:ascii="Calibri" w:cs="Calibri" w:eastAsia="Calibri" w:hAnsi="Calibri"/>
          <w:b/>
          <w:bCs/>
          <w:i/>
          <w:iCs/>
          <w:color w:val="2E5FA3"/>
          <w:sz w:val="20"/>
          <w:szCs w:val="20"/>
        </w:rPr>
        <w:t xml:space="preserve">Tabla 1. Instrumentos analizados: identificacion, fecha y nivel de madurez institucional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
        <w:gridCol w:w="2500"/>
        <w:gridCol w:w="1780"/>
        <w:gridCol w:w="1060"/>
        <w:gridCol w:w="1080"/>
        <w:gridCol w:w="3300"/>
      </w:tblGrid>
      <w:tr>
        <w:tc>
          <w:tcPr>
            <w:tcW w:type="dxa" w:w="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N</w:t>
            </w:r>
          </w:p>
        </w:tc>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Instrumento administrativo</w:t>
            </w:r>
          </w:p>
        </w:tc>
        <w:tc>
          <w:tcPr>
            <w:tcW w:type="dxa" w:w="17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Acto administrativo</w:t>
            </w:r>
          </w:p>
        </w:tc>
        <w:tc>
          <w:tcPr>
            <w:tcW w:type="dxa" w:w="10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Fecha</w:t>
            </w:r>
          </w:p>
        </w:tc>
        <w:tc>
          <w:tcPr>
            <w:tcW w:type="dxa" w:w="1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Nivel madurez</w:t>
            </w:r>
          </w:p>
        </w:tc>
        <w:tc>
          <w:tcPr>
            <w:tcW w:type="dxa" w:w="33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Brecha o hallazgo principal</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1</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Politica de Integridad</w:t>
            </w:r>
          </w:p>
        </w:tc>
        <w:tc>
          <w:tcPr>
            <w:tcW w:type="dxa" w:w="17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Dec. N 1416/(MD)</w:t>
            </w:r>
          </w:p>
        </w:tc>
        <w:tc>
          <w:tcPr>
            <w:tcW w:type="dxa" w:w="1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12/09/2023</w:t>
            </w:r>
          </w:p>
        </w:tc>
        <w:tc>
          <w:tcPr>
            <w:tcW w:type="dxa" w:w="1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AA5500"/>
                <w:sz w:val="18"/>
                <w:szCs w:val="18"/>
              </w:rPr>
              <w:t xml:space="preserve">Nivel 2</w:t>
            </w:r>
          </w:p>
        </w:tc>
        <w:tc>
          <w:tcPr>
            <w:tcW w:type="dxa" w:w="3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Codigo de Etica no aprobado; 4 de 9 componentes sin evidencia de implementacion</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2</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Convenio CGR (Taller AGIL)</w:t>
            </w:r>
          </w:p>
        </w:tc>
        <w:tc>
          <w:tcPr>
            <w:tcW w:type="dxa" w:w="1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Dec. N 1064/(MD)</w:t>
            </w:r>
          </w:p>
        </w:tc>
        <w:tc>
          <w:tcPr>
            <w:tcW w:type="dxa" w:w="1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05/08/2022</w:t>
            </w:r>
          </w:p>
        </w:tc>
        <w:tc>
          <w:tcPr>
            <w:tcW w:type="dxa" w:w="1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375623"/>
                <w:sz w:val="18"/>
                <w:szCs w:val="18"/>
              </w:rPr>
              <w:t xml:space="preserve">Nivel 3</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Sin acta de cierre formal (Clausula 3d); seguimiento post-taller no documentado</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3</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Nomina Comite Integridad</w:t>
            </w:r>
          </w:p>
        </w:tc>
        <w:tc>
          <w:tcPr>
            <w:tcW w:type="dxa" w:w="17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Dec. N 0645/(MD)</w:t>
            </w:r>
          </w:p>
        </w:tc>
        <w:tc>
          <w:tcPr>
            <w:tcW w:type="dxa" w:w="1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25/04/2023</w:t>
            </w:r>
          </w:p>
        </w:tc>
        <w:tc>
          <w:tcPr>
            <w:tcW w:type="dxa" w:w="1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AA5500"/>
                <w:sz w:val="18"/>
                <w:szCs w:val="18"/>
              </w:rPr>
              <w:t xml:space="preserve">Nivel 2</w:t>
            </w:r>
          </w:p>
        </w:tc>
        <w:tc>
          <w:tcPr>
            <w:tcW w:type="dxa" w:w="3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Comite formado pero sin actas de sesiones trimestrales acreditadas</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4</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Nomina Taller Integridad CGR</w:t>
            </w:r>
          </w:p>
        </w:tc>
        <w:tc>
          <w:tcPr>
            <w:tcW w:type="dxa" w:w="1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Dec. N 0646/(MD)</w:t>
            </w:r>
          </w:p>
        </w:tc>
        <w:tc>
          <w:tcPr>
            <w:tcW w:type="dxa" w:w="1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25/04/2023</w:t>
            </w:r>
          </w:p>
        </w:tc>
        <w:tc>
          <w:tcPr>
            <w:tcW w:type="dxa" w:w="1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375623"/>
                <w:sz w:val="18"/>
                <w:szCs w:val="18"/>
              </w:rPr>
              <w:t xml:space="preserve">Nivel 3</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Participantes formalizados; logros del taller no transferidos al resto del municipio</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5</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Informe Taller AGIL</w:t>
            </w:r>
          </w:p>
        </w:tc>
        <w:tc>
          <w:tcPr>
            <w:tcW w:type="dxa" w:w="17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Memo N 075/2023</w:t>
            </w:r>
          </w:p>
        </w:tc>
        <w:tc>
          <w:tcPr>
            <w:tcW w:type="dxa" w:w="1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19/06/2023</w:t>
            </w:r>
          </w:p>
        </w:tc>
        <w:tc>
          <w:tcPr>
            <w:tcW w:type="dxa" w:w="1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375623"/>
                <w:sz w:val="18"/>
                <w:szCs w:val="18"/>
              </w:rPr>
              <w:t xml:space="preserve">Nivel 3</w:t>
            </w:r>
          </w:p>
        </w:tc>
        <w:tc>
          <w:tcPr>
            <w:tcW w:type="dxa" w:w="3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Unico documento de RRHH con trazabilidad completa; no escalado institucionalmente</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6</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Plan de Compras 2026</w:t>
            </w:r>
          </w:p>
        </w:tc>
        <w:tc>
          <w:tcPr>
            <w:tcW w:type="dxa" w:w="1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Folio 891, Mercado Publico</w:t>
            </w:r>
          </w:p>
        </w:tc>
        <w:tc>
          <w:tcPr>
            <w:tcW w:type="dxa" w:w="1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30/01/2026</w:t>
            </w:r>
          </w:p>
        </w:tc>
        <w:tc>
          <w:tcPr>
            <w:tcW w:type="dxa" w:w="1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AA5500"/>
                <w:sz w:val="18"/>
                <w:szCs w:val="18"/>
              </w:rPr>
              <w:t xml:space="preserve">Nivel 2</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Sin informes de cumplimiento historicos; sin indicadores de tasa de ejecucion</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7</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Presupuesto Municipal 2026</w:t>
            </w:r>
          </w:p>
        </w:tc>
        <w:tc>
          <w:tcPr>
            <w:tcW w:type="dxa" w:w="17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Dec. N 2117/(MD)</w:t>
            </w:r>
          </w:p>
        </w:tc>
        <w:tc>
          <w:tcPr>
            <w:tcW w:type="dxa" w:w="1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15/12/2025</w:t>
            </w:r>
          </w:p>
        </w:tc>
        <w:tc>
          <w:tcPr>
            <w:tcW w:type="dxa" w:w="1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AA5500"/>
                <w:sz w:val="18"/>
                <w:szCs w:val="18"/>
              </w:rPr>
              <w:t xml:space="preserve">Nivel 2</w:t>
            </w:r>
          </w:p>
        </w:tc>
        <w:tc>
          <w:tcPr>
            <w:tcW w:type="dxa" w:w="3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IPP solo 34,6%; gastos corrientes 82,1%; sin analisis de autonomia financiera</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8</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Plan de Capacitacion 2026</w:t>
            </w:r>
          </w:p>
        </w:tc>
        <w:tc>
          <w:tcPr>
            <w:tcW w:type="dxa" w:w="1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Dec. N 229/(MD)</w:t>
            </w:r>
          </w:p>
        </w:tc>
        <w:tc>
          <w:tcPr>
            <w:tcW w:type="dxa" w:w="1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31/12/2025</w:t>
            </w:r>
          </w:p>
        </w:tc>
        <w:tc>
          <w:tcPr>
            <w:tcW w:type="dxa" w:w="1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AA5500"/>
                <w:sz w:val="18"/>
                <w:szCs w:val="18"/>
              </w:rPr>
              <w:t xml:space="preserve">Nivel 2</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Fuente unica (SUBDERE); no incluye formacion en Ley Karin ni gestion climatica</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9</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Plan Becas SUBDERE 2026</w:t>
            </w:r>
          </w:p>
        </w:tc>
        <w:tc>
          <w:tcPr>
            <w:tcW w:type="dxa" w:w="17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Memo N 486</w:t>
            </w:r>
          </w:p>
        </w:tc>
        <w:tc>
          <w:tcPr>
            <w:tcW w:type="dxa" w:w="1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12/11/2025</w:t>
            </w:r>
          </w:p>
        </w:tc>
        <w:tc>
          <w:tcPr>
            <w:tcW w:type="dxa" w:w="1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AA5500"/>
                <w:sz w:val="18"/>
                <w:szCs w:val="18"/>
              </w:rPr>
              <w:t xml:space="preserve">Nivel 2</w:t>
            </w:r>
          </w:p>
        </w:tc>
        <w:tc>
          <w:tcPr>
            <w:tcW w:type="dxa" w:w="3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Instrumento aislado; sin articulacion con mapa de brechas de competencias</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10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Protocolo de Acoso</w:t>
            </w:r>
          </w:p>
        </w:tc>
        <w:tc>
          <w:tcPr>
            <w:tcW w:type="dxa" w:w="1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Dec. N 1807/(MD)</w:t>
            </w:r>
          </w:p>
        </w:tc>
        <w:tc>
          <w:tcPr>
            <w:tcW w:type="dxa" w:w="1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21/11/2023</w:t>
            </w:r>
          </w:p>
        </w:tc>
        <w:tc>
          <w:tcPr>
            <w:tcW w:type="dxa" w:w="1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AA5500"/>
                <w:sz w:val="18"/>
                <w:szCs w:val="18"/>
              </w:rPr>
              <w:t xml:space="preserve">Nivel 2</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6 de 9 obligaciones de Ley Karin incumplidas; riesgo legal inmediato y cuantificable</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11</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PACCC (elaborado IDOM Consulting)</w:t>
            </w:r>
          </w:p>
        </w:tc>
        <w:tc>
          <w:tcPr>
            <w:tcW w:type="dxa" w:w="17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Memo N 89</w:t>
            </w:r>
          </w:p>
        </w:tc>
        <w:tc>
          <w:tcPr>
            <w:tcW w:type="dxa" w:w="1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25/02/2026</w:t>
            </w:r>
          </w:p>
        </w:tc>
        <w:tc>
          <w:tcPr>
            <w:tcW w:type="dxa" w:w="1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AA5500"/>
                <w:sz w:val="18"/>
                <w:szCs w:val="18"/>
              </w:rPr>
              <w:t xml:space="preserve">Nivel 2</w:t>
            </w:r>
          </w:p>
        </w:tc>
        <w:tc>
          <w:tcPr>
            <w:tcW w:type="dxa" w:w="3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Sin presupuesto asignado; sin articulacion con PLADECO ni PRC</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12</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Respuesta Transparencia</w:t>
            </w:r>
          </w:p>
        </w:tc>
        <w:tc>
          <w:tcPr>
            <w:tcW w:type="dxa" w:w="1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ORD. N 276/2026</w:t>
            </w:r>
          </w:p>
        </w:tc>
        <w:tc>
          <w:tcPr>
            <w:tcW w:type="dxa" w:w="1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18/03/2026</w:t>
            </w:r>
          </w:p>
        </w:tc>
        <w:tc>
          <w:tcPr>
            <w:tcW w:type="dxa" w:w="1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375623"/>
                <w:sz w:val="18"/>
                <w:szCs w:val="18"/>
              </w:rPr>
              <w:t xml:space="preserve">Nivel 3</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Cumplimiento oportuno (20 dias habiles); 4 directores coordinados; COSOC ausente</w:t>
            </w:r>
          </w:p>
        </w:tc>
      </w:tr>
    </w:tbl>
    <w:p>
      <w:pPr>
        <w:spacing w:after="0" w:before="0"/>
      </w:pPr>
      <w:r>
        <w:rPr>
          <w:sz w:val="10"/>
          <w:szCs w:val="10"/>
        </w:rPr>
        <w:t xml:space="preserve"/>
      </w:r>
    </w:p>
    <w:p>
      <w:r>
        <w:br w:type="page"/>
      </w:r>
    </w:p>
    <w:p>
      <w:pPr>
        <w:pStyle w:val="Heading1"/>
        <w:pBdr>
          <w:bottom w:val="single" w:color="2E5FA3" w:sz="10" w:space="4"/>
        </w:pBdr>
        <w:spacing w:after="60" w:before="300"/>
      </w:pPr>
      <w:r>
        <w:rPr>
          <w:rFonts w:ascii="Calibri" w:cs="Calibri" w:eastAsia="Calibri" w:hAnsi="Calibri"/>
          <w:b/>
          <w:bCs/>
          <w:color w:val="1F3864"/>
          <w:sz w:val="26"/>
          <w:szCs w:val="26"/>
        </w:rPr>
        <w:t xml:space="preserve">SECCION II: </w:t>
      </w:r>
      <w:r>
        <w:rPr>
          <w:rFonts w:ascii="Calibri" w:cs="Calibri" w:eastAsia="Calibri" w:hAnsi="Calibri"/>
          <w:b/>
          <w:bCs/>
          <w:color w:val="1F3864"/>
          <w:sz w:val="26"/>
          <w:szCs w:val="26"/>
        </w:rPr>
        <w:t xml:space="preserve">MARCO JURIDICO APLICABLE</w:t>
      </w:r>
      <w:r>
        <w:rPr>
          <w:rFonts w:ascii="Calibri" w:cs="Calibri" w:eastAsia="Calibri" w:hAnsi="Calibri"/>
          <w:color w:val="2E5FA3"/>
          <w:sz w:val="20"/>
          <w:szCs w:val="20"/>
        </w:rPr>
        <w:t xml:space="preserve">  -  Densificacion normativa 2022-2026</w:t>
      </w:r>
    </w:p>
    <w:p>
      <w:pPr>
        <w:spacing w:after="0" w:before="0"/>
      </w:pPr>
      <w:r>
        <w:rPr>
          <w:sz w:val="10"/>
          <w:szCs w:val="10"/>
        </w:rPr>
        <w:t xml:space="preserve"/>
      </w:r>
    </w:p>
    <w:p>
      <w:pPr>
        <w:pBdr>
          <w:left w:val="single" w:color="AA5500" w:sz="16" w:space="12"/>
        </w:pBdr>
        <w:shd w:fill="FFF2CC" w:val="clear"/>
        <w:spacing w:after="140" w:before="140" w:line="288"/>
        <w:ind w:left="400" w:right="200"/>
        <w:jc w:val="both"/>
      </w:pPr>
      <w:r>
        <w:rPr>
          <w:rFonts w:ascii="Calibri" w:cs="Calibri" w:eastAsia="Calibri" w:hAnsi="Calibri"/>
          <w:i/>
          <w:iCs/>
          <w:color w:val="1A1A1A"/>
          <w:sz w:val="21"/>
          <w:szCs w:val="21"/>
        </w:rPr>
        <w:t xml:space="preserve">Argumento normativo: Entre 2022 y 2026 el municipio de Rengo ha quedado sujeto a al menos cuatro nuevas obligaciones legales sustantivas (Ley Karin, Ley de Cambio Climatico, nueva reglamentacion de compras publicas, modificacion LOCMUN 2026) sin que sus instrumentos internos hayan sido actualizados correlativamente. Esta brecha entre la frontera normativa y la frontera institucional define el espacio de riesgo legal del municipio.</w:t>
      </w:r>
    </w:p>
    <w:p>
      <w:pPr>
        <w:spacing w:after="0" w:before="0"/>
      </w:pPr>
      <w:r>
        <w:rPr>
          <w:sz w:val="10"/>
          <w:szCs w:val="10"/>
        </w:rPr>
        <w:t xml:space="preserve"/>
      </w:r>
    </w:p>
    <w:p>
      <w:pPr>
        <w:spacing w:after="140" w:before="80" w:line="288"/>
        <w:jc w:val="both"/>
      </w:pPr>
      <w:r>
        <w:rPr>
          <w:rFonts w:ascii="Calibri" w:cs="Calibri" w:eastAsia="Calibri" w:hAnsi="Calibri"/>
          <w:b w:val="false"/>
          <w:bCs w:val="false"/>
          <w:i w:val="false"/>
          <w:iCs w:val="false"/>
          <w:color w:val="000000"/>
          <w:sz w:val="22"/>
          <w:szCs w:val="22"/>
        </w:rPr>
        <w:t xml:space="preserve">El municipio de Rengo se rige por una jerarquia normativa que en los ultimos cuatro anos ha experimentado una densificacion significativa. La Ley Organica Constitucional de Municipalidades (Ley 18.695, Arts. 6 y 7) establece las funciones privativas y las obligaciones de planificacion comunal; la Ley 18.883 regula el Estatuto Administrativo Municipal, con especial relevancia tras las modificaciones introducidas por la Ley 21.643 (Ley Karin, vigente desde el 1 de agosto de 2024). La Ley 18.575 fija el marco de probidad de los organos del Estado, base de la Politica de Integridad. La Ley 20.285 sobre acceso a la informacion publica obliga la transparencia activa y pasiva. La Ley 20.500 exige mecanismos formales de participacion ciudadana, incluyendo el COSOC, cuya operatividad es condicion de legitimidad del propio PLADECO.</w:t>
      </w:r>
    </w:p>
    <w:p>
      <w:pPr>
        <w:spacing w:after="140" w:before="80" w:line="288"/>
        <w:jc w:val="both"/>
      </w:pPr>
      <w:r>
        <w:rPr>
          <w:rFonts w:ascii="Calibri" w:cs="Calibri" w:eastAsia="Calibri" w:hAnsi="Calibri"/>
          <w:b w:val="false"/>
          <w:bCs w:val="false"/>
          <w:i w:val="false"/>
          <w:iCs w:val="false"/>
          <w:color w:val="000000"/>
          <w:sz w:val="22"/>
          <w:szCs w:val="22"/>
        </w:rPr>
        <w:t xml:space="preserve">En el ambito territorial y ambiental, la Ley 21.455 sobre Cambio Climatico (vigente desde 2022) obliga a los municipios a articular sus instrumentos de planificacion local con el Plan de Accion de Cambio Climatico Comunal (PACCC). El Decreto Supremo N 661/2024 modernizo el Reglamento de la Ley 19.886 de Compras Publicas, actualizando los criterios de elaboracion y seguimiento del Plan Anual de Compras. Finalmente, la Ley 21.807 (16 de febrero de 2026) modifico la LOCMUN imponiendo coherencia entre el PLADECO y el Plan Regulador Comunal (PRC), dimension que este analisis reconoce como exigencia de articulacion territorial en la hoja de ruta propuesta.</w:t>
      </w:r>
    </w:p>
    <w:p>
      <w:pPr>
        <w:spacing w:after="140" w:before="80" w:line="288"/>
        <w:jc w:val="both"/>
      </w:pPr>
      <w:r>
        <w:rPr>
          <w:rFonts w:ascii="Calibri" w:cs="Calibri" w:eastAsia="Calibri" w:hAnsi="Calibri"/>
          <w:b w:val="false"/>
          <w:bCs w:val="false"/>
          <w:i w:val="false"/>
          <w:iCs w:val="false"/>
          <w:color w:val="000000"/>
          <w:sz w:val="22"/>
          <w:szCs w:val="22"/>
        </w:rPr>
        <w:t xml:space="preserve">Esta densificacion normativa configura un escenario de alta exigencia para municipios de tamano mediano como Rengo, que no cuentan con equipos juridicos dedicados exclusivamente al cumplimiento normativo. La respuesta institucional adecuada no pasa por ignorar las nuevas obligaciones, sino por incorporarlas sistematicamente a los instrumentos de gestion existentes, aprovechando la ventana que abre el proceso de elaboracion del PLADECO.</w:t>
      </w:r>
    </w:p>
    <w:p>
      <w:r>
        <w:br w:type="page"/>
      </w:r>
    </w:p>
    <w:p>
      <w:pPr>
        <w:pStyle w:val="Heading1"/>
        <w:pBdr>
          <w:bottom w:val="single" w:color="2E5FA3" w:sz="10" w:space="4"/>
        </w:pBdr>
        <w:spacing w:after="60" w:before="300"/>
      </w:pPr>
      <w:r>
        <w:rPr>
          <w:rFonts w:ascii="Calibri" w:cs="Calibri" w:eastAsia="Calibri" w:hAnsi="Calibri"/>
          <w:b/>
          <w:bCs/>
          <w:color w:val="1F3864"/>
          <w:sz w:val="26"/>
          <w:szCs w:val="26"/>
        </w:rPr>
        <w:t xml:space="preserve">SECCION III: </w:t>
      </w:r>
      <w:r>
        <w:rPr>
          <w:rFonts w:ascii="Calibri" w:cs="Calibri" w:eastAsia="Calibri" w:hAnsi="Calibri"/>
          <w:b/>
          <w:bCs/>
          <w:color w:val="1F3864"/>
          <w:sz w:val="26"/>
          <w:szCs w:val="26"/>
        </w:rPr>
        <w:t xml:space="preserve">GOBERNANZA, PROBIDAD E INTEGRIDAD</w:t>
      </w:r>
      <w:r>
        <w:rPr>
          <w:rFonts w:ascii="Calibri" w:cs="Calibri" w:eastAsia="Calibri" w:hAnsi="Calibri"/>
          <w:color w:val="2E5FA3"/>
          <w:sz w:val="20"/>
          <w:szCs w:val="20"/>
        </w:rPr>
        <w:t xml:space="preserve">  -  Arquitectura formal vs. efectividad operativa</w:t>
      </w:r>
    </w:p>
    <w:p>
      <w:pPr>
        <w:spacing w:after="0" w:before="0"/>
      </w:pPr>
      <w:r>
        <w:rPr>
          <w:sz w:val="10"/>
          <w:szCs w:val="10"/>
        </w:rPr>
        <w:t xml:space="preserve"/>
      </w:r>
    </w:p>
    <w:p>
      <w:pPr>
        <w:pBdr>
          <w:left w:val="single" w:color="C00000" w:sz="16" w:space="12"/>
        </w:pBdr>
        <w:shd w:fill="FFCCCC" w:val="clear"/>
        <w:spacing w:after="140" w:before="140" w:line="288"/>
        <w:ind w:left="400" w:right="200"/>
        <w:jc w:val="both"/>
      </w:pPr>
      <w:r>
        <w:rPr>
          <w:rFonts w:ascii="Calibri" w:cs="Calibri" w:eastAsia="Calibri" w:hAnsi="Calibri"/>
          <w:i/>
          <w:iCs/>
          <w:color w:val="1A1A1A"/>
          <w:sz w:val="21"/>
          <w:szCs w:val="21"/>
        </w:rPr>
        <w:t xml:space="preserve">Tesis: El municipio de Rengo ha construido la arquitectura formal de la integridad institucional, pero sus mecanismos operativos permanecen inactivos. El Informe CIC N 20 de la Contraloria (marzo 2026) —que identifico funcionarios municipales con altos volumenes de transacciones en casinos— ilustra con precision esta brecha: los instrumentos existian, pero no funcionaron como mecanismos de prevencion.</w:t>
      </w:r>
    </w:p>
    <w:p>
      <w:pPr>
        <w:spacing w:after="0" w:before="0"/>
      </w:pPr>
      <w:r>
        <w:rPr>
          <w:sz w:val="10"/>
          <w:szCs w:val="10"/>
        </w:rPr>
        <w:t xml:space="preserve"/>
      </w:r>
    </w:p>
    <w:p>
      <w:pPr>
        <w:pStyle w:val="Heading2"/>
        <w:spacing w:after="60" w:before="200"/>
      </w:pPr>
      <w:r>
        <w:rPr>
          <w:rFonts w:ascii="Calibri" w:cs="Calibri" w:eastAsia="Calibri" w:hAnsi="Calibri"/>
          <w:b/>
          <w:bCs/>
          <w:color w:val="2E5FA3"/>
          <w:sz w:val="23"/>
          <w:szCs w:val="23"/>
        </w:rPr>
        <w:t xml:space="preserve">3.1 Sistema de Integridad Municipal: arquitectura de tres niveles</w:t>
      </w:r>
    </w:p>
    <w:p>
      <w:pPr>
        <w:spacing w:after="140" w:before="80" w:line="288"/>
        <w:jc w:val="both"/>
      </w:pPr>
      <w:r>
        <w:rPr>
          <w:rFonts w:ascii="Calibri" w:cs="Calibri" w:eastAsia="Calibri" w:hAnsi="Calibri"/>
          <w:b w:val="false"/>
          <w:bCs w:val="false"/>
          <w:i w:val="false"/>
          <w:iCs w:val="false"/>
          <w:color w:val="000000"/>
          <w:sz w:val="22"/>
          <w:szCs w:val="22"/>
        </w:rPr>
        <w:t xml:space="preserve">El Decreto N 1416/(MD) del 12 de septiembre de 2023, suscrito por el entonces Alcalde Carlos Soto Gonzalez, establece la Politica de Integridad Municipal con una arquitectura de tres niveles de responsabilidad. En el nivel superior, el Consejo Superior de Integridad (CSI) integra al Administrador Municipal, al Director de Control, al Director de Asesoria Juridica, al Director de Secretaria Municipal y al Director de Innovacion y Gestion, sesionando en forma trimestral. En el nivel intermedio, los Consejeros de Integridad (CI) —uno por unidad municipal, elegidos por sus pares cada dos anos— articulan la politica al interior de cada departamento. En el nivel operativo, el Oficial de Integridad (OI), designado por el Alcalde y dependiente de Innovacion y Gestion, coordina la implementacion del sistema.</w:t>
      </w:r>
    </w:p>
    <w:p>
      <w:pPr>
        <w:spacing w:after="140" w:before="80" w:line="288"/>
        <w:jc w:val="both"/>
      </w:pPr>
      <w:r>
        <w:rPr>
          <w:rFonts w:ascii="Calibri" w:cs="Calibri" w:eastAsia="Calibri" w:hAnsi="Calibri"/>
          <w:b w:val="false"/>
          <w:bCs w:val="false"/>
          <w:i w:val="false"/>
          <w:iCs w:val="false"/>
          <w:color w:val="000000"/>
          <w:sz w:val="22"/>
          <w:szCs w:val="22"/>
        </w:rPr>
        <w:t xml:space="preserve">El Decreto N 0645/(MD) del 25 de abril de 2023 formalizo la nomina de 12 directores y jefes de departamento que integran el sistema: Joel Henriquez Perez (SECPLAN s), Carolina Ossandon Villarroel (Asesoria Juridica), Danilo Briones Quinones (Control), Andrea Gomez Toledo (Obras Municipales), Katherine Gonzalez Gomez (DAF s), Andres Pavez Abarca (Transito), Andres Roldan Grez (Innovacion y Gestion, coordinador), Karen Lorca Saavedra (DIDECO), Oscar Beltran Rivas (Aseo y Ornato), Geraldine Montoya Medina (Secretaria Municipal), Pablo Villanueva Galaz (Salud Municipal) y Luis Sanchez Zamorano (Educacion Municipal). Esta nomina evidencia voluntad politica de incorporacion transversal; sin embargo, el documento no registro evidencia de sesiones del CSI ni actas de trabajo de los consejeros.</w:t>
      </w:r>
    </w:p>
    <w:p>
      <w:pPr>
        <w:pStyle w:val="Heading2"/>
        <w:spacing w:after="60" w:before="200"/>
      </w:pPr>
      <w:r>
        <w:rPr>
          <w:rFonts w:ascii="Calibri" w:cs="Calibri" w:eastAsia="Calibri" w:hAnsi="Calibri"/>
          <w:b/>
          <w:bCs/>
          <w:color w:val="2E5FA3"/>
          <w:sz w:val="23"/>
          <w:szCs w:val="23"/>
        </w:rPr>
        <w:t xml:space="preserve">3.2 Estado de los 9 componentes: la paradoja de la formalidad sin implementacion</w:t>
      </w:r>
    </w:p>
    <w:p>
      <w:pPr>
        <w:spacing w:after="140" w:before="80" w:line="288"/>
        <w:jc w:val="both"/>
      </w:pPr>
      <w:r>
        <w:rPr>
          <w:rFonts w:ascii="Calibri" w:cs="Calibri" w:eastAsia="Calibri" w:hAnsi="Calibri"/>
          <w:b w:val="false"/>
          <w:bCs w:val="false"/>
          <w:i w:val="false"/>
          <w:iCs w:val="false"/>
          <w:color w:val="000000"/>
          <w:sz w:val="22"/>
          <w:szCs w:val="22"/>
        </w:rPr>
        <w:t xml:space="preserve">La Politica de Integridad define nueve componentes del sistema. Solo uno —la propia Politica— puede considerarse plenamente cumplido. Cuatro alcanzan cumplimiento parcial: los protocolos de conducta, las capacitaciones iniciales, el canal de denuncias (formulario establecido) y la gestion de riesgos. Los cuatro restantes no han podido ser evidenciados: el Codigo de Etica, las campanas de difusion, la plataforma informatica y el modulo de compliance antilavado (Ley 20.818). La brecha mas critica es el Codigo de Etica: la propia Politica lo define como 'elemento minimo' del sistema, pero ante la solicitud de transparencia ORD. 276/2026, la Secretaria Municipal entrego el Protocolo de Acoso como documento sustituto, lo que confirma su inexistencia formal.</w:t>
      </w:r>
    </w:p>
    <w:p>
      <w:pPr>
        <w:spacing w:after="140" w:before="80" w:line="288"/>
        <w:jc w:val="both"/>
      </w:pPr>
      <w:r>
        <w:rPr>
          <w:rFonts w:ascii="Calibri" w:cs="Calibri" w:eastAsia="Calibri" w:hAnsi="Calibri"/>
          <w:b w:val="false"/>
          <w:bCs w:val="false"/>
          <w:i w:val="false"/>
          <w:iCs w:val="false"/>
          <w:color w:val="000000"/>
          <w:sz w:val="22"/>
          <w:szCs w:val="22"/>
        </w:rPr>
        <w:t xml:space="preserve">El Convenio con la Contraloria General de la Republica (Dec. N 1064/(MD), 05/08/2022), suscrito entre la Contralora Regional Rocio de la Mar Ortiz Perez y el entonces Alcalde Carlos Soto Gonzalez, acredita ocho etapas cumplidas con trazabilidad documental completa: suscripcion formal, designacion de coordinadores (Luis Antonio Gonzalez Alvarez y Andres Maxim Roldan Grez), realizacion del Taller AGIL, elaboracion del Informe (Memo N 075/2023 del 19 de junio de 2023) y sistematizacion de recomendaciones. La brecha restante es la ausencia del acta de cierre formal exigida por la Clausula 3d del Convenio, lo que mantiene el proceso tecnicamente inconcluso.</w:t>
      </w:r>
    </w:p>
    <w:p>
      <w:pPr>
        <w:pBdr>
          <w:left w:val="single" w:color="C00000" w:sz="16" w:space="12"/>
        </w:pBdr>
        <w:shd w:fill="FFCCCC" w:val="clear"/>
        <w:spacing w:after="140" w:before="140" w:line="288"/>
        <w:ind w:left="400" w:right="200"/>
        <w:jc w:val="both"/>
      </w:pPr>
      <w:r>
        <w:rPr>
          <w:rFonts w:ascii="Calibri" w:cs="Calibri" w:eastAsia="Calibri" w:hAnsi="Calibri"/>
          <w:i/>
          <w:iCs/>
          <w:color w:val="1A1A1A"/>
          <w:sz w:val="21"/>
          <w:szCs w:val="21"/>
        </w:rPr>
        <w:t xml:space="preserve">Hallazgo critico: El Informe CIC N 20 de la Contraloria (marzo 2026) identifico funcionarios municipales de Rengo con altos volumenes de transacciones en establecimientos de juego. El Alcalde Del Barrio instruyo apertura de sumario administrativo. Este episodio demuestra que el Sistema de Integridad formalizado en 2023 —sin canal de denuncia efectivo, sin sesiones del CSI, sin Codigo de Etica aprobado— no cumplio su funcion preventiva. La deteccion ocurrio externamente (CGR), no internamente. Esta es la diferencia operativa entre Nivel 2 y Nivel 3.</w:t>
      </w:r>
    </w:p>
    <w:p>
      <w:pPr>
        <w:spacing w:after="0" w:before="0"/>
      </w:pPr>
      <w:r>
        <w:rPr>
          <w:sz w:val="10"/>
          <w:szCs w:val="10"/>
        </w:rPr>
        <w:t xml:space="preserve"/>
      </w:r>
    </w:p>
    <w:p>
      <w:pPr>
        <w:spacing w:after="60" w:before="160"/>
        <w:jc w:val="center"/>
      </w:pPr>
      <w:r>
        <w:rPr>
          <w:rFonts w:ascii="Calibri" w:cs="Calibri" w:eastAsia="Calibri" w:hAnsi="Calibri"/>
          <w:b/>
          <w:bCs/>
          <w:i/>
          <w:iCs/>
          <w:color w:val="2E5FA3"/>
          <w:sz w:val="20"/>
          <w:szCs w:val="20"/>
        </w:rPr>
        <w:t xml:space="preserve">Tabla 2. Estado de los 9 componentes del Sistema de Integridad Municipal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080"/>
        <w:gridCol w:w="360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Componente del sistema</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Acto administrativo de sustento</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Estado actual</w:t>
            </w:r>
          </w:p>
        </w:tc>
        <w:tc>
          <w:tcPr>
            <w:tcW w:type="dxa" w:w="1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Nivel de riesgo</w:t>
            </w:r>
          </w:p>
        </w:tc>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Accion requerida para PLADECO</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Politica de Integridad</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Dec. N 1416/(MD), 12/09/2023</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375623"/>
                <w:sz w:val="18"/>
                <w:szCs w:val="18"/>
              </w:rPr>
              <w:t xml:space="preserve">Cumplido</w:t>
            </w:r>
          </w:p>
        </w:tc>
        <w:tc>
          <w:tcPr>
            <w:tcW w:type="dxa" w:w="1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Bajo</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Actualizar con nuevas obligaciones Ley Karin; incluir mecanismo de revision bienal</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Codigo de Etica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No aprobado (requiere Decreto Alcaldicio)</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C00000"/>
                <w:sz w:val="18"/>
                <w:szCs w:val="18"/>
              </w:rPr>
              <w:t xml:space="preserve">Inexistente</w:t>
            </w:r>
          </w:p>
        </w:tc>
        <w:tc>
          <w:tcPr>
            <w:tcW w:type="dxa" w:w="1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C00000"/>
                <w:sz w:val="18"/>
                <w:szCs w:val="18"/>
              </w:rPr>
              <w:t xml:space="preserve">CRITICO</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Aprobar mediante decreto en H1; es obligacion autoimpuesta por la propia Politica</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Canal de denuncias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Formulario en Protocolo de Acoso</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AA5500"/>
                <w:sz w:val="18"/>
                <w:szCs w:val="18"/>
              </w:rPr>
              <w:t xml:space="preserve">Parcial</w:t>
            </w:r>
          </w:p>
        </w:tc>
        <w:tc>
          <w:tcPr>
            <w:tcW w:type="dxa" w:w="1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Alto</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Habilitar canal digital anonimo; formalizar protocolo de recepcion y derivacion en 30 dias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Comite de Integridad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Dec. N 0645/(MD), 12 directores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AA5500"/>
                <w:sz w:val="18"/>
                <w:szCs w:val="18"/>
              </w:rPr>
              <w:t xml:space="preserve">Formado sin sesiones</w:t>
            </w:r>
          </w:p>
        </w:tc>
        <w:tc>
          <w:tcPr>
            <w:tcW w:type="dxa" w:w="1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Alto</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Convocar primera sesion CSI; establecer agenda trimestral y generar actas publicas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Capacitaciones en probidad</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Taller AGIL (Memo 075/2023)</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AA5500"/>
                <w:sz w:val="18"/>
                <w:szCs w:val="18"/>
              </w:rPr>
              <w:t xml:space="preserve">Evento unico</w:t>
            </w:r>
          </w:p>
        </w:tc>
        <w:tc>
          <w:tcPr>
            <w:tcW w:type="dxa" w:w="1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Alto</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Incluir formacion en probidad en Plan Capacitacion 2027; frecuencia minima anual</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Gestion de riesgos de corrupcion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No evidenciada documentalmente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AA5500"/>
                <w:sz w:val="18"/>
                <w:szCs w:val="18"/>
              </w:rPr>
              <w:t xml:space="preserve">Inicial</w:t>
            </w:r>
          </w:p>
        </w:tc>
        <w:tc>
          <w:tcPr>
            <w:tcW w:type="dxa" w:w="1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Alto</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Elaborar mapa de riesgos institucional articulado con Tabla 9 de este documento</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Plataforma informatica de integridad</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Prevista en Dec. 1416; no implementada</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375623"/>
                <w:sz w:val="18"/>
                <w:szCs w:val="18"/>
              </w:rPr>
              <w:t xml:space="preserve">Inexistente</w:t>
            </w:r>
          </w:p>
        </w:tc>
        <w:tc>
          <w:tcPr>
            <w:tcW w:type="dxa" w:w="1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Medio</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Incluir en Plan Digital Municipal; posible financiamiento SUBDERE o BID Mejora Municipal</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Campanas de difusion interna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No evidenciadas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375623"/>
                <w:sz w:val="18"/>
                <w:szCs w:val="18"/>
              </w:rPr>
              <w:t xml:space="preserve">Inexistente</w:t>
            </w:r>
          </w:p>
        </w:tc>
        <w:tc>
          <w:tcPr>
            <w:tcW w:type="dxa" w:w="1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Medio</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Programar en Plan Comunicacional 2026; puede integrarse con difusion Ley Karin</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Compliance antilavado (ROS)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Previsto Dec. 1416 + Of. Circular 20/2015</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375623"/>
                <w:sz w:val="18"/>
                <w:szCs w:val="18"/>
              </w:rPr>
              <w:t xml:space="preserve">Formalmente previsto</w:t>
            </w:r>
          </w:p>
        </w:tc>
        <w:tc>
          <w:tcPr>
            <w:tcW w:type="dxa" w:w="1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Medio</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Designar formalmente funcionario a cargo en Asesoria Juridica; presentar primer reporte</w:t>
            </w:r>
          </w:p>
        </w:tc>
      </w:tr>
    </w:tbl>
    <w:p>
      <w:pPr>
        <w:spacing w:after="0" w:before="0"/>
      </w:pPr>
      <w:r>
        <w:rPr>
          <w:sz w:val="10"/>
          <w:szCs w:val="10"/>
        </w:rPr>
        <w:t xml:space="preserve"/>
      </w:r>
    </w:p>
    <w:p>
      <w:pPr>
        <w:spacing w:after="140" w:before="80" w:line="288"/>
        <w:jc w:val="both"/>
      </w:pPr>
      <w:r>
        <w:rPr>
          <w:rFonts w:ascii="Calibri" w:cs="Calibri" w:eastAsia="Calibri" w:hAnsi="Calibri"/>
          <w:b w:val="false"/>
          <w:bCs w:val="false"/>
          <w:i w:val="false"/>
          <w:iCs w:val="false"/>
          <w:color w:val="000000"/>
          <w:sz w:val="22"/>
          <w:szCs w:val="22"/>
        </w:rPr>
        <w:t xml:space="preserve">En perspectiva comparada regional, Rengo se ubica en un nivel Medio-Alto de gobernanza respecto a las comunas de la Provincia de Cachapoal: supera ampliamente a San Fernando (Medio), Machalí (Medio-Bajo) y a las comunas rurales como Requinoa, Olivar y Coinco (nivel Bajo), pero se encuentra por debajo de Rancagua (nivel Alto, con Codigo de Etica aprobado, canal digital y Convenio CGR vigente) y muy lejos de los referentes nacionales como Providencia y Penalolen (nivel Optimo). El dato mas revelador del contexto es que en toda la Provincia de Cachapoal ningun municipio ha completado aun la aprobacion de un Codigo de Etica, mientras que a nivel nacional solo 53 de 345 municipios (15,4%) lo tienen aprobado.</w:t>
      </w:r>
    </w:p>
    <w:p>
      <w:r>
        <w:br w:type="page"/>
      </w:r>
    </w:p>
    <w:p>
      <w:pPr>
        <w:pStyle w:val="Heading1"/>
        <w:pBdr>
          <w:bottom w:val="single" w:color="2E5FA3" w:sz="10" w:space="4"/>
        </w:pBdr>
        <w:spacing w:after="60" w:before="300"/>
      </w:pPr>
      <w:r>
        <w:rPr>
          <w:rFonts w:ascii="Calibri" w:cs="Calibri" w:eastAsia="Calibri" w:hAnsi="Calibri"/>
          <w:b/>
          <w:bCs/>
          <w:color w:val="1F3864"/>
          <w:sz w:val="26"/>
          <w:szCs w:val="26"/>
        </w:rPr>
        <w:t xml:space="preserve">SECCION IV: </w:t>
      </w:r>
      <w:r>
        <w:rPr>
          <w:rFonts w:ascii="Calibri" w:cs="Calibri" w:eastAsia="Calibri" w:hAnsi="Calibri"/>
          <w:b/>
          <w:bCs/>
          <w:color w:val="1F3864"/>
          <w:sz w:val="26"/>
          <w:szCs w:val="26"/>
        </w:rPr>
        <w:t xml:space="preserve">GESTION ADMINISTRATIVA Y FINANCIERA</w:t>
      </w:r>
      <w:r>
        <w:rPr>
          <w:rFonts w:ascii="Calibri" w:cs="Calibri" w:eastAsia="Calibri" w:hAnsi="Calibri"/>
          <w:color w:val="2E5FA3"/>
          <w:sz w:val="20"/>
          <w:szCs w:val="20"/>
        </w:rPr>
        <w:t xml:space="preserve">  -  Estructura de ingresos, autonomia y capacidad de inversion</w:t>
      </w:r>
    </w:p>
    <w:p>
      <w:pPr>
        <w:spacing w:after="0" w:before="0"/>
      </w:pPr>
      <w:r>
        <w:rPr>
          <w:sz w:val="10"/>
          <w:szCs w:val="10"/>
        </w:rPr>
        <w:t xml:space="preserve"/>
      </w:r>
    </w:p>
    <w:p>
      <w:pPr>
        <w:pBdr>
          <w:left w:val="single" w:color="AA5500" w:sz="16" w:space="12"/>
        </w:pBdr>
        <w:shd w:fill="FFF2CC" w:val="clear"/>
        <w:spacing w:after="140" w:before="140" w:line="288"/>
        <w:ind w:left="400" w:right="200"/>
        <w:jc w:val="both"/>
      </w:pPr>
      <w:r>
        <w:rPr>
          <w:rFonts w:ascii="Calibri" w:cs="Calibri" w:eastAsia="Calibri" w:hAnsi="Calibri"/>
          <w:i/>
          <w:iCs/>
          <w:color w:val="1A1A1A"/>
          <w:sz w:val="21"/>
          <w:szCs w:val="21"/>
        </w:rPr>
        <w:t xml:space="preserve">Tesis financiera: La estructura presupuestaria de Rengo muestra una dependencia estructural del Fondo Comun Municipal (55,8% de ingresos) y una presion de gasto corriente que absorbe el 82,1% del total de egresos. Este patron limita de manera objetiva la capacidad de inversion en iniciativas del PLADECO y exige una gestion presupuestaria que priorice con evidencia, no por voluntarismo politico.</w:t>
      </w:r>
    </w:p>
    <w:p>
      <w:pPr>
        <w:spacing w:after="0" w:before="0"/>
      </w:pPr>
      <w:r>
        <w:rPr>
          <w:sz w:val="10"/>
          <w:szCs w:val="10"/>
        </w:rPr>
        <w:t xml:space="preserve"/>
      </w:r>
    </w:p>
    <w:p>
      <w:pPr>
        <w:spacing w:after="140" w:before="80" w:line="288"/>
        <w:jc w:val="both"/>
      </w:pPr>
      <w:r>
        <w:rPr>
          <w:rFonts w:ascii="Calibri" w:cs="Calibri" w:eastAsia="Calibri" w:hAnsi="Calibri"/>
          <w:b w:val="false"/>
          <w:bCs w:val="false"/>
          <w:i w:val="false"/>
          <w:iCs w:val="false"/>
          <w:color w:val="000000"/>
          <w:sz w:val="22"/>
          <w:szCs w:val="22"/>
        </w:rPr>
        <w:t xml:space="preserve">Los datos del Sistema Nacional de Informacion Municipal (SINIM 2024) revelan la siguiente estructura de ingresos para la Municipalidad de Rengo: ingreso total de $17.779.009 millones, del cual los Ingresos Propios Permanentes (IPP) representan solo el 34,6% ($6.155.098 M), el Fondo Comun Municipal el 55,8% ($9.922.557 M) y las transferencias el 2,7% ($472.006 M). En gasto, los compromisos corrientes alcanzan el 82,1% del total ($15.182.223 M de un gasto total de $18.497.693 M). Si se agregan los presupuestos de Educacion ($32.387.509 M) y Salud ($15.888.329 M), el municipio administra en total cerca de $66.000 millones anuales, de los cuales la gran mayoria corresponde a transferencias condicionadas del nivel central.</w:t>
      </w:r>
    </w:p>
    <w:p>
      <w:pPr>
        <w:spacing w:after="140" w:before="80" w:line="288"/>
        <w:jc w:val="both"/>
      </w:pPr>
      <w:r>
        <w:rPr>
          <w:rFonts w:ascii="Calibri" w:cs="Calibri" w:eastAsia="Calibri" w:hAnsi="Calibri"/>
          <w:b w:val="false"/>
          <w:bCs w:val="false"/>
          <w:i w:val="false"/>
          <w:iCs w:val="false"/>
          <w:color w:val="000000"/>
          <w:sz w:val="22"/>
          <w:szCs w:val="22"/>
        </w:rPr>
        <w:t xml:space="preserve">El Plan de Compras 2026 (Folio 891, publicado el 30 de enero de 2026 en Mercado Publico, cumpliendo el plazo legal) fue elaborado sobre tres presupuestos: el Dec. N 2117/(MD) para el municipio, el Dec. N 2164/(MD) para Salud y el Dec. N 2171/(MD) para Educacion, todos del mes de diciembre de 2025. El instrumento incorpora correctamente la actualizacion normativa del D.S. N 661/2024 (nuevo Reglamento de la Ley 19.886). Sin embargo, el analisis identifica tres brechas de gestion: ausencia de informes de cumplimiento de planes anteriores que permitan evaluar la tasa historica de ejecucion, falta de indicadores de rendimiento de proveedores y omision de criterios de evaluacion de impacto local. Sin este historial, cualquier proyeccion de inversion del PLADECO carece de una linea base de capacidad de ejecucion.</w:t>
      </w:r>
    </w:p>
    <w:p>
      <w:pPr>
        <w:spacing w:after="60" w:before="160"/>
        <w:jc w:val="center"/>
      </w:pPr>
      <w:r>
        <w:rPr>
          <w:rFonts w:ascii="Calibri" w:cs="Calibri" w:eastAsia="Calibri" w:hAnsi="Calibri"/>
          <w:b/>
          <w:bCs/>
          <w:i/>
          <w:iCs/>
          <w:color w:val="2E5FA3"/>
          <w:sz w:val="20"/>
          <w:szCs w:val="20"/>
        </w:rPr>
        <w:t xml:space="preserve">Tabla 3. Diagnostico financiero: semaforo de dimensiones criticas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300"/>
        <w:gridCol w:w="1300"/>
        <w:gridCol w:w="700"/>
        <w:gridCol w:w="3100"/>
      </w:tblGrid>
      <w:t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Dimension financiera</w:t>
            </w:r>
          </w:p>
        </w:tc>
        <w:tc>
          <w:tcPr>
            <w:tcW w:type="dxa" w:w="1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Indicador clave</w:t>
            </w:r>
          </w:p>
        </w:tc>
        <w:tc>
          <w:tcPr>
            <w:tcW w:type="dxa" w:w="13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Valor actual</w:t>
            </w:r>
          </w:p>
        </w:tc>
        <w:tc>
          <w:tcPr>
            <w:tcW w:type="dxa" w:w="13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Umbral critico</w:t>
            </w:r>
          </w:p>
        </w:tc>
        <w:tc>
          <w:tcPr>
            <w:tcW w:type="dxa" w:w="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Estado</w:t>
            </w:r>
          </w:p>
        </w:tc>
        <w:tc>
          <w:tcPr>
            <w:tcW w:type="dxa" w:w="3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Implicancia para el PLADECO</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Autonomia financiera (IPP)</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IPP / Ingreso total</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34,6%</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&lt; 40% = bajo</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ALERTA</w:t>
            </w:r>
          </w:p>
        </w:tc>
        <w:tc>
          <w:tcPr>
            <w:tcW w:type="dxa" w:w="3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Alta dependencia de transferencias condiciona la capacidad de reasignacion presupuestaria para iniciativas propias del PLADECO</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Dependencia FCM</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FCM / Ingreso total</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55,8%</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&lt; 50% = manejable</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C00000"/>
                <w:sz w:val="18"/>
                <w:szCs w:val="18"/>
              </w:rPr>
              <w:t xml:space="preserve">CRITICO</w:t>
            </w:r>
          </w:p>
        </w:tc>
        <w:tc>
          <w:tcPr>
            <w:tcW w:type="dxa" w:w="3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Variaciones en FCM afectan directamente la ejecucion del PLADECO; se requiere fondo de reserva o cofinanciamiento</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Presion de gasto corriente</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Gastos corrientes / Gasto total</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82,1%</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&lt; 75% = saludable</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C00000"/>
                <w:sz w:val="18"/>
                <w:szCs w:val="18"/>
              </w:rPr>
              <w:t xml:space="preserve">CRITICO</w:t>
            </w:r>
          </w:p>
        </w:tc>
        <w:tc>
          <w:tcPr>
            <w:tcW w:type="dxa" w:w="3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Margen minimo para inversion; PLADECO debe priorizar iniciativas con cofinanciamiento FNDR, BID o SUBDERE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Cobertura de compras planificadas</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Plan de Compras ejecutado / planificado</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Sin medicion</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&lt; 75% = deficiente</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SIN DATOS</w:t>
            </w:r>
          </w:p>
        </w:tc>
        <w:tc>
          <w:tcPr>
            <w:tcW w:type="dxa" w:w="3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Brecha de informacion: sin datos historicos no es posible estimar la capacidad real de ejecucion de nuevas iniciativas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Transparencia presupuestaria</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Instrumentos publicados en TA</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Dec. 2117, 2164, 2171</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100% instrumentos</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PARCIAL</w:t>
            </w:r>
          </w:p>
        </w:tc>
        <w:tc>
          <w:tcPr>
            <w:tcW w:type="dxa" w:w="3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Presupuestos publicados; falta desglose de IPP vs transferencias para evaluar autonomia real y rendir cuentas al Concejo</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Presupuesto educacion y salud</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Gestion de servicios traspasados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$48.275.838 M</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Marco Ley 21.040</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VIGILANCIA</w:t>
            </w:r>
          </w:p>
        </w:tc>
        <w:tc>
          <w:tcPr>
            <w:tcW w:type="dxa" w:w="3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Volumen elevado; auditoria financiera activa (Consultores y Auditores de Empresas Ltda., feb. 2026) confirma la importancia del control interno</w:t>
            </w:r>
          </w:p>
        </w:tc>
      </w:tr>
    </w:tbl>
    <w:p>
      <w:pPr>
        <w:spacing w:after="0" w:before="0"/>
      </w:pPr>
      <w:r>
        <w:rPr>
          <w:sz w:val="10"/>
          <w:szCs w:val="10"/>
        </w:rPr>
        <w:t xml:space="preserve"/>
      </w:r>
    </w:p>
    <w:p>
      <w:pPr>
        <w:spacing w:after="140" w:before="80" w:line="288"/>
        <w:jc w:val="both"/>
      </w:pPr>
      <w:r>
        <w:rPr>
          <w:rFonts w:ascii="Calibri" w:cs="Calibri" w:eastAsia="Calibri" w:hAnsi="Calibri"/>
          <w:b w:val="false"/>
          <w:bCs w:val="false"/>
          <w:i w:val="false"/>
          <w:iCs w:val="false"/>
          <w:color w:val="000000"/>
          <w:sz w:val="22"/>
          <w:szCs w:val="22"/>
        </w:rPr>
        <w:t xml:space="preserve">La auditoria financiera y presupuestaria integral iniciada el 5 de febrero de 2026 (firma Consultores y Auditores de Empresas Ltda.) sobre los sectores de Salud, Educacion y Gestion Municipal —abarcando remuneraciones, activos fijos, contabilidad, adquisiciones y gestion juridica— es una senal de madurez institucional que el PLADECO debe capitalizar. Los resultados de dicha auditoria deberan incorporarse como insumo de la linea base financiera del Plan, ajustando las proyecciones de inversion a la capacidad real de ejecucion del municipio.</w:t>
      </w:r>
    </w:p>
    <w:p>
      <w:r>
        <w:br w:type="page"/>
      </w:r>
    </w:p>
    <w:p>
      <w:pPr>
        <w:pStyle w:val="Heading1"/>
        <w:pBdr>
          <w:bottom w:val="single" w:color="2E5FA3" w:sz="10" w:space="4"/>
        </w:pBdr>
        <w:spacing w:after="60" w:before="300"/>
      </w:pPr>
      <w:r>
        <w:rPr>
          <w:rFonts w:ascii="Calibri" w:cs="Calibri" w:eastAsia="Calibri" w:hAnsi="Calibri"/>
          <w:b/>
          <w:bCs/>
          <w:color w:val="1F3864"/>
          <w:sz w:val="26"/>
          <w:szCs w:val="26"/>
        </w:rPr>
        <w:t xml:space="preserve">SECCION V: </w:t>
      </w:r>
      <w:r>
        <w:rPr>
          <w:rFonts w:ascii="Calibri" w:cs="Calibri" w:eastAsia="Calibri" w:hAnsi="Calibri"/>
          <w:b/>
          <w:bCs/>
          <w:color w:val="1F3864"/>
          <w:sz w:val="26"/>
          <w:szCs w:val="26"/>
        </w:rPr>
        <w:t xml:space="preserve">CAPITAL HUMANO Y CAPACITACION</w:t>
      </w:r>
      <w:r>
        <w:rPr>
          <w:rFonts w:ascii="Calibri" w:cs="Calibri" w:eastAsia="Calibri" w:hAnsi="Calibri"/>
          <w:color w:val="2E5FA3"/>
          <w:sz w:val="20"/>
          <w:szCs w:val="20"/>
        </w:rPr>
        <w:t xml:space="preserve">  -  Brechas del Plan 2026 y reglamento obsoleto</w:t>
      </w:r>
    </w:p>
    <w:p>
      <w:pPr>
        <w:spacing w:after="0" w:before="0"/>
      </w:pPr>
      <w:r>
        <w:rPr>
          <w:sz w:val="10"/>
          <w:szCs w:val="10"/>
        </w:rPr>
        <w:t xml:space="preserve"/>
      </w:r>
    </w:p>
    <w:p>
      <w:pPr>
        <w:pBdr>
          <w:left w:val="single" w:color="2E5FA3" w:sz="16" w:space="12"/>
        </w:pBdr>
        <w:shd w:fill="D5E8F0" w:val="clear"/>
        <w:spacing w:after="140" w:before="140" w:line="288"/>
        <w:ind w:left="400" w:right="200"/>
        <w:jc w:val="both"/>
      </w:pPr>
      <w:r>
        <w:rPr>
          <w:rFonts w:ascii="Calibri" w:cs="Calibri" w:eastAsia="Calibri" w:hAnsi="Calibri"/>
          <w:i/>
          <w:iCs/>
          <w:color w:val="1A1A1A"/>
          <w:sz w:val="21"/>
          <w:szCs w:val="21"/>
        </w:rPr>
        <w:t xml:space="preserve">Tesis: El Plan de Capacitacion 2026 refleja voluntad politica genuina —fue aprobado unanimemente por el Concejo Municipal— pero adolece de tres debilidades estructurales que limitan su impacto: dependencia de fuente unica de financiamiento, ausencia de un diagnostico previo de brechas de competencias, y desarticulacion con las obligaciones legales mas recientes (Ley Karin, gestion climatica, probidad). Ademas, el reglamento que lo rige data de 2011.</w:t>
      </w:r>
    </w:p>
    <w:p>
      <w:pPr>
        <w:spacing w:after="0" w:before="0"/>
      </w:pPr>
      <w:r>
        <w:rPr>
          <w:sz w:val="10"/>
          <w:szCs w:val="10"/>
        </w:rPr>
        <w:t xml:space="preserve"/>
      </w:r>
    </w:p>
    <w:p>
      <w:pPr>
        <w:spacing w:after="140" w:before="80" w:line="288"/>
        <w:jc w:val="both"/>
      </w:pPr>
      <w:r>
        <w:rPr>
          <w:rFonts w:ascii="Calibri" w:cs="Calibri" w:eastAsia="Calibri" w:hAnsi="Calibri"/>
          <w:b w:val="false"/>
          <w:bCs w:val="false"/>
          <w:i w:val="false"/>
          <w:iCs w:val="false"/>
          <w:color w:val="000000"/>
          <w:sz w:val="22"/>
          <w:szCs w:val="22"/>
        </w:rPr>
        <w:t xml:space="preserve">El Plan Anual de Capacitacion 2026, aprobado por el Alcalde Enrique del Barrio Hernandez mediante el Decreto N 229/(MD) del 31 de diciembre de 2025, fue ratificado en forma unanime por el Concejo Municipal mediante Certificado N 469 de la Sesion Ordinaria N 038 del 17 de diciembre de 2025. Este respaldo politico es un activo institucional relevante. El Plan se financia mediante el Fondo Concursable SUBDERE (Ley N 20.742), con un beneficio de hasta 13 UTM mensuales por funcionario durante un maximo de dos anos, segun lo informado por el Oficio SUBDERE N 4088/2025 de la Subsecretaria Francisca Perales Flores. Las cuatro areas prioritarias son: Desarrollo Social, Desarrollo Territorial, Gestion Interna y Gestion Financiera.</w:t>
      </w:r>
    </w:p>
    <w:p>
      <w:pPr>
        <w:spacing w:after="140" w:before="80" w:line="288"/>
        <w:jc w:val="both"/>
      </w:pPr>
      <w:r>
        <w:rPr>
          <w:rFonts w:ascii="Calibri" w:cs="Calibri" w:eastAsia="Calibri" w:hAnsi="Calibri"/>
          <w:b w:val="false"/>
          <w:bCs w:val="false"/>
          <w:i w:val="false"/>
          <w:iCs w:val="false"/>
          <w:color w:val="000000"/>
          <w:sz w:val="22"/>
          <w:szCs w:val="22"/>
        </w:rPr>
        <w:t xml:space="preserve">La primera debilidad estructural es la dependencia de fuente unica: si el Fondo SUBDERE no financia determinada capacitacion o si el municipio no resulta adjudicado en el concurso, no existe un mecanismo alternativo de financiamiento. La segunda debilidad es la ausencia de un diagnostico de brechas de competencias que oriente la seleccion de cursos: actualmente, la priorizacion responde a criterios declarativos y no a una medicion objetiva de las brechas entre las competencias requeridas por cada cargo y las que efectivamente poseen los funcionarios. La tercera debilidad —y la mas critica desde el punto de vista del riesgo legal— es que el Plan 2026 no contempla formacion en Ley Karin (vigente desde agosto 2024), en probidad e integridad ni en gestion del cambio climatico, materias que son obligaciones legales, no opcionales.</w:t>
      </w:r>
    </w:p>
    <w:p>
      <w:pPr>
        <w:spacing w:after="140" w:before="80" w:line="288"/>
        <w:jc w:val="both"/>
      </w:pPr>
      <w:r>
        <w:rPr>
          <w:rFonts w:ascii="Calibri" w:cs="Calibri" w:eastAsia="Calibri" w:hAnsi="Calibri"/>
          <w:b w:val="false"/>
          <w:bCs w:val="false"/>
          <w:i w:val="false"/>
          <w:iCs w:val="false"/>
          <w:color w:val="000000"/>
          <w:sz w:val="22"/>
          <w:szCs w:val="22"/>
        </w:rPr>
        <w:t xml:space="preserve">El Reglamento que norma los procesos de capacitacion municipal fue aprobado mediante el Decreto N 0626/(MD) del 11 de julio de 2011, lo que implica 14 anos de desactualizacion. Este reglamento precede a la Ley 20.742 de SUBDERE (2013), a la Ley Karin (2024) y a toda la normativa de gestion por competencias desarrollada en la ultima decada. El Plan Becas SUBDERE 2026 (Memo N 486, 12 de noviembre de 2025) complementa el plan de capacitacion pero opera como instrumento aislado, sin articulacion formal con un mapa de brechas ni con los ejes del PLADECO.</w:t>
      </w:r>
    </w:p>
    <w:p>
      <w:pPr>
        <w:spacing w:after="60" w:before="160"/>
        <w:jc w:val="center"/>
      </w:pPr>
      <w:r>
        <w:rPr>
          <w:rFonts w:ascii="Calibri" w:cs="Calibri" w:eastAsia="Calibri" w:hAnsi="Calibri"/>
          <w:b/>
          <w:bCs/>
          <w:i/>
          <w:iCs/>
          <w:color w:val="2E5FA3"/>
          <w:sz w:val="20"/>
          <w:szCs w:val="20"/>
        </w:rPr>
        <w:t xml:space="preserve">Tabla 4. Diagnostico del sistema de capital humano: 6 dimensiones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400"/>
        <w:gridCol w:w="1200"/>
        <w:gridCol w:w="360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Dimension</w:t>
            </w:r>
          </w:p>
        </w:tc>
        <w:tc>
          <w:tcPr>
            <w:tcW w:type="dxa" w:w="1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Instrumento vigente</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Estado</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Nivel riesgo</w:t>
            </w:r>
          </w:p>
        </w:tc>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Accion requerida (horizonte)</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Capacitacion general</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Plan 2026 Dec. 229/(MD)</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Aprobado Concejo</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Bajo</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Ampliar fuentes de financiamiento; incluir Karin, integridad y clima en 2027</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Becas profesionalizacion</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Plan Becas SUBDERE (Memo 486)</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Operativo</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Bajo</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Articular con mapa de brechas de competencias por direccion</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Reglamento de capacitacion</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Dec. 0626/(MD), 11/07/2011</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Obsoleto (14 anos)</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Alto</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Actualizar en H1 (0-6 meses); incorporar competencias digitales y legales nuevas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Diagnostico de competencias</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No existente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Inexistente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Alto</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Elaborar en H1 con apoyo metodologico SUBDERE o SERVICIO CIVIL</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Formacion en Ley Karin</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No contemplada en Plan 2026</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Incumplimiento legal</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C00000"/>
                <w:sz w:val="18"/>
                <w:szCs w:val="18"/>
              </w:rPr>
              <w:t xml:space="preserve">CRITICO</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Capacitacion semestral obligatoria Ley 21.643; incluir en primer semestre 2026</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Gestion del conocimiento</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Sin sistema formal</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Inicial</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Medio</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Disenar mecanismo de transferencia al interior del municipio (base en Taller AGIL)</w:t>
            </w:r>
          </w:p>
        </w:tc>
      </w:tr>
    </w:tbl>
    <w:p>
      <w:pPr>
        <w:spacing w:after="0" w:before="0"/>
      </w:pPr>
      <w:r>
        <w:rPr>
          <w:sz w:val="10"/>
          <w:szCs w:val="10"/>
        </w:rPr>
        <w:t xml:space="preserve"/>
      </w:r>
    </w:p>
    <w:p>
      <w:r>
        <w:br w:type="page"/>
      </w:r>
    </w:p>
    <w:p>
      <w:pPr>
        <w:pStyle w:val="Heading1"/>
        <w:pBdr>
          <w:bottom w:val="single" w:color="2E5FA3" w:sz="10" w:space="4"/>
        </w:pBdr>
        <w:spacing w:after="60" w:before="300"/>
      </w:pPr>
      <w:r>
        <w:rPr>
          <w:rFonts w:ascii="Calibri" w:cs="Calibri" w:eastAsia="Calibri" w:hAnsi="Calibri"/>
          <w:b/>
          <w:bCs/>
          <w:color w:val="1F3864"/>
          <w:sz w:val="26"/>
          <w:szCs w:val="26"/>
        </w:rPr>
        <w:t xml:space="preserve">SECCION VI: </w:t>
      </w:r>
      <w:r>
        <w:rPr>
          <w:rFonts w:ascii="Calibri" w:cs="Calibri" w:eastAsia="Calibri" w:hAnsi="Calibri"/>
          <w:b/>
          <w:bCs/>
          <w:color w:val="1F3864"/>
          <w:sz w:val="26"/>
          <w:szCs w:val="26"/>
        </w:rPr>
        <w:t xml:space="preserve">PROTECCION DE DERECHOS LABORALES — LEY KARIN</w:t>
      </w:r>
      <w:r>
        <w:rPr>
          <w:rFonts w:ascii="Calibri" w:cs="Calibri" w:eastAsia="Calibri" w:hAnsi="Calibri"/>
          <w:color w:val="2E5FA3"/>
          <w:sz w:val="20"/>
          <w:szCs w:val="20"/>
        </w:rPr>
        <w:t xml:space="preserve">  -  El riesgo legal mas inmediato y cuantificable</w:t>
      </w:r>
    </w:p>
    <w:p>
      <w:pPr>
        <w:spacing w:after="0" w:before="0"/>
      </w:pPr>
      <w:r>
        <w:rPr>
          <w:sz w:val="10"/>
          <w:szCs w:val="10"/>
        </w:rPr>
        <w:t xml:space="preserve"/>
      </w:r>
    </w:p>
    <w:p>
      <w:pPr>
        <w:pBdr>
          <w:left w:val="single" w:color="C00000" w:sz="16" w:space="12"/>
        </w:pBdr>
        <w:shd w:fill="FFCCCC" w:val="clear"/>
        <w:spacing w:after="140" w:before="140" w:line="288"/>
        <w:ind w:left="400" w:right="200"/>
        <w:jc w:val="both"/>
      </w:pPr>
      <w:r>
        <w:rPr>
          <w:rFonts w:ascii="Calibri" w:cs="Calibri" w:eastAsia="Calibri" w:hAnsi="Calibri"/>
          <w:i/>
          <w:iCs/>
          <w:color w:val="1A1A1A"/>
          <w:sz w:val="21"/>
          <w:szCs w:val="21"/>
        </w:rPr>
        <w:t xml:space="preserve">Tesis: La brecha entre el Protocolo de Acoso de noviembre de 2023 (Dec. N 1807/(MD)) y las 9 obligaciones de la Ley Karin (N 21.643, vigente desde 01/08/2024) constituye el riesgo legal mas inmediato, mas cuantificable y mas evitable del municipio. El costo de actualizacion es marginal frente al costo potencial de 100 UTM en multas Contraloria, tutela laboral y responsabilidad civil sin tope.</w:t>
      </w:r>
    </w:p>
    <w:p>
      <w:pPr>
        <w:spacing w:after="0" w:before="0"/>
      </w:pPr>
      <w:r>
        <w:rPr>
          <w:sz w:val="10"/>
          <w:szCs w:val="10"/>
        </w:rPr>
        <w:t xml:space="preserve"/>
      </w:r>
    </w:p>
    <w:p>
      <w:pPr>
        <w:spacing w:after="140" w:before="80" w:line="288"/>
        <w:jc w:val="both"/>
      </w:pPr>
      <w:r>
        <w:rPr>
          <w:rFonts w:ascii="Calibri" w:cs="Calibri" w:eastAsia="Calibri" w:hAnsi="Calibri"/>
          <w:b w:val="false"/>
          <w:bCs w:val="false"/>
          <w:i w:val="false"/>
          <w:iCs w:val="false"/>
          <w:color w:val="000000"/>
          <w:sz w:val="22"/>
          <w:szCs w:val="22"/>
        </w:rPr>
        <w:t xml:space="preserve">El Protocolo de Prevencion y Sancion del Acoso Laboral y Sexual (Dec. N 1807/(MD), 21 de noviembre de 2023), elaborado por la Directora de Asesoria Juridica Carolina Ossandon Villarroel con revision de la Direccion de Administracion y Finanzas, representa el estado mas avanzado de la gestion de recursos humanos en el municipio. Su fortaleza radica en tres dimensiones: amplitud de cobertura (incluye personal de planta, contrata, honorarios, externalizados y alumnos en practica), solidez normativa (referencia 8 normas: Constitucion, Ley 18.575, Ley 18.883, Codigo del Trabajo, Ley 20.609, OIT 190, CEDAW y Convencion de Belem do Para) y tipologia completa de conductas (acoso laboral en 4 tipos, acoso sexual en 3 tipos y acoso sexista). El documento incorpora ademas el dato estadistico de la Direccion Nacional del Servicio Civil que indica que las mujeres sufren acoso laboral un 30% mas que los hombres y que su revictimizacion se duplica en los procesos de investigacion.</w:t>
      </w:r>
    </w:p>
    <w:p>
      <w:pPr>
        <w:spacing w:after="140" w:before="80" w:line="288"/>
        <w:jc w:val="both"/>
      </w:pPr>
      <w:r>
        <w:rPr>
          <w:rFonts w:ascii="Calibri" w:cs="Calibri" w:eastAsia="Calibri" w:hAnsi="Calibri"/>
          <w:b w:val="false"/>
          <w:bCs w:val="false"/>
          <w:i w:val="false"/>
          <w:iCs w:val="false"/>
          <w:color w:val="000000"/>
          <w:sz w:val="22"/>
          <w:szCs w:val="22"/>
        </w:rPr>
        <w:t xml:space="preserve">Sin embargo, la Ley Karin (N 21.643, vigente desde el 1 de agosto de 2024) modifico sustancialmente la Ley 18.883 e introdujo nueve obligaciones nuevas o reformuladas que el Protocolo de 2023 no satisface. El dictamen de la Contraloria E516610/2024 del 19 de julio de 2024 obliga a actualizar todos los protocolos municipales incorporando los nuevos principios procesales (confidencialidad, perspectiva de genero, presuncion de buena fe del denunciante). El dictamen E30538/2025 del 24 de febrero de 2025 precisa que la destitucion no es automatica ante una condena y exige evaluacion de proporcionalidad. Un dictamen adicional de febrero de 2026 extendio expresamente la proteccion de la Ley Karin a los funcionarios a honorarios, lo que amplia el universo de obligados.</w:t>
      </w:r>
    </w:p>
    <w:p>
      <w:pPr>
        <w:spacing w:after="60" w:before="160"/>
        <w:jc w:val="center"/>
      </w:pPr>
      <w:r>
        <w:rPr>
          <w:rFonts w:ascii="Calibri" w:cs="Calibri" w:eastAsia="Calibri" w:hAnsi="Calibri"/>
          <w:b/>
          <w:bCs/>
          <w:i/>
          <w:iCs/>
          <w:color w:val="2E5FA3"/>
          <w:sz w:val="20"/>
          <w:szCs w:val="20"/>
        </w:rPr>
        <w:t xml:space="preserve">Tabla 5. Compliance Ley Karin N 21.643: estado de cumplimiento por obligacion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300"/>
        <w:gridCol w:w="900"/>
        <w:gridCol w:w="3880"/>
      </w:tblGrid>
      <w:tr>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Obligacion Ley 21.643</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Estado Municipalidad de Rengo</w:t>
            </w:r>
          </w:p>
        </w:tc>
        <w:tc>
          <w:tcPr>
            <w:tcW w:type="dxa" w:w="13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Evaluacion</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Riesgo</w:t>
            </w:r>
          </w:p>
        </w:tc>
        <w:tc>
          <w:tcPr>
            <w:tcW w:type="dxa" w:w="3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Accion requerida y plazo</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Protocolo de acoso laboral (Ley 18.883 mod.)</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Contemplado en Dec. 1807/2023</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375623"/>
                <w:sz w:val="18"/>
                <w:szCs w:val="18"/>
              </w:rPr>
              <w:t xml:space="preserve">Cumple base</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Bajo</w:t>
            </w:r>
          </w:p>
        </w:tc>
        <w:tc>
          <w:tcPr>
            <w:tcW w:type="dxa" w:w="3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Actualizar con principios procesales dictamen E516610/2024 antes de agosto 2026</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Protocolo de acoso sexual (Ley 20.005 mod.)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Contemplado en Dec. 1807/2023</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375623"/>
                <w:sz w:val="18"/>
                <w:szCs w:val="18"/>
              </w:rPr>
              <w:t xml:space="preserve">Cumple base</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Bajo</w:t>
            </w:r>
          </w:p>
        </w:tc>
        <w:tc>
          <w:tcPr>
            <w:tcW w:type="dxa" w:w="3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Actualizar formulario de denuncia; incluir plazo expreso de 30 dias habiles</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Prevencion de violencia por terceros (nuevas obligaciones Karin)</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No contemplado en protocolo</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C00000"/>
                <w:sz w:val="18"/>
                <w:szCs w:val="18"/>
              </w:rPr>
              <w:t xml:space="preserve">Brecha critica</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C00000"/>
                <w:sz w:val="18"/>
                <w:szCs w:val="18"/>
              </w:rPr>
              <w:t xml:space="preserve">CRITICO</w:t>
            </w:r>
          </w:p>
        </w:tc>
        <w:tc>
          <w:tcPr>
            <w:tcW w:type="dxa" w:w="3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Incorporar seccion especifica en protocolo; aplica a usuarios, contratistas, proveedores</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Canal de denuncia formal con garantia de confidencialidad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Formulario analogico establecido</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AA5500"/>
                <w:sz w:val="18"/>
                <w:szCs w:val="18"/>
              </w:rPr>
              <w:t xml:space="preserve">Cumple parcialmente</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Alto</w:t>
            </w:r>
          </w:p>
        </w:tc>
        <w:tc>
          <w:tcPr>
            <w:tcW w:type="dxa" w:w="3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Habilitar canal digital anonimo; publicar en sitio web y transparencia activa</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Investigacion en plazo maximo 30 dias habiles</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Referencia generica en protocolo</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2E5FA3"/>
                <w:sz w:val="18"/>
                <w:szCs w:val="18"/>
              </w:rPr>
              <w:t xml:space="preserve">Requiere precision</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Medio</w:t>
            </w:r>
          </w:p>
        </w:tc>
        <w:tc>
          <w:tcPr>
            <w:tcW w:type="dxa" w:w="3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Incorporar tabla de plazos maximos por etapa del proceso en protocolo actualizado</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Medidas de resguardo inmediatas al denunciante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Contempladas genericamente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2E5FA3"/>
                <w:sz w:val="18"/>
                <w:szCs w:val="18"/>
              </w:rPr>
              <w:t xml:space="preserve">Cumple parcialmente</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Medio</w:t>
            </w:r>
          </w:p>
        </w:tc>
        <w:tc>
          <w:tcPr>
            <w:tcW w:type="dxa" w:w="3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Protocolizar medidas especificas: cambio de dependencia, teletrabajo, suspension preventiva</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Capacitacion semestral obligatoria (Art. 6 Ley 21.643)</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No incluida en Plan Capacitacion 2026</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C00000"/>
                <w:sz w:val="18"/>
                <w:szCs w:val="18"/>
              </w:rPr>
              <w:t xml:space="preserve">Incumplimiento</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C00000"/>
                <w:sz w:val="18"/>
                <w:szCs w:val="18"/>
              </w:rPr>
              <w:t xml:space="preserve">CRITICO</w:t>
            </w:r>
          </w:p>
        </w:tc>
        <w:tc>
          <w:tcPr>
            <w:tcW w:type="dxa" w:w="3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Programar primera capacitacion antes del 01/08/2026; obligacion vigente desde 2024</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Registro institucional de denuncias y resoluciones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No evidenciado documentalmente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AA5500"/>
                <w:sz w:val="18"/>
                <w:szCs w:val="18"/>
              </w:rPr>
              <w:t xml:space="preserve">Brecha</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Alto</w:t>
            </w:r>
          </w:p>
        </w:tc>
        <w:tc>
          <w:tcPr>
            <w:tcW w:type="dxa" w:w="3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Crear registro formal; custodiar en Secretaria Municipal por 5 anos minimo</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Difusion semestral del protocolo a todos los funcionarios</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No programada en calendario</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2E5FA3"/>
                <w:sz w:val="18"/>
                <w:szCs w:val="18"/>
              </w:rPr>
              <w:t xml:space="preserve">Brecha</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Medio</w:t>
            </w:r>
          </w:p>
        </w:tc>
        <w:tc>
          <w:tcPr>
            <w:tcW w:type="dxa" w:w="3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Incorporar en plan de comunicaciones; incluir en agenda de capacitacion semestral</w:t>
            </w:r>
          </w:p>
        </w:tc>
      </w:tr>
    </w:tbl>
    <w:p>
      <w:pPr>
        <w:spacing w:after="0" w:before="0"/>
      </w:pPr>
      <w:r>
        <w:rPr>
          <w:sz w:val="10"/>
          <w:szCs w:val="10"/>
        </w:rPr>
        <w:t xml:space="preserve"/>
      </w:r>
    </w:p>
    <w:p>
      <w:pPr>
        <w:spacing w:after="140" w:before="80" w:line="288"/>
        <w:jc w:val="both"/>
      </w:pPr>
      <w:r>
        <w:rPr>
          <w:rFonts w:ascii="Calibri" w:cs="Calibri" w:eastAsia="Calibri" w:hAnsi="Calibri"/>
          <w:b w:val="false"/>
          <w:bCs w:val="false"/>
          <w:i w:val="false"/>
          <w:iCs w:val="false"/>
          <w:color w:val="000000"/>
          <w:sz w:val="22"/>
          <w:szCs w:val="22"/>
        </w:rPr>
        <w:t xml:space="preserve">El cuadro de sanciones aplicables por incumplimiento es el siguiente: la Inspeccion del Trabajo puede aplicar multas de 1 a 20 UTM (aprox. $67.000 a $1.340.000) al personal regido por el Codigo del Trabajo; la Contraloria General puede imponer multas administrativas de hasta 100 UTM al municipio como institucion; los tribunales ordinarios pueden imponer indemnizaciones de perjuicios sin tope legal en casos de dano psicologico acreditado; y en casos donde las conductas revistan caracter penal (Arts. 361-372 TER del Codigo Penal), el director responsable tiene obligacion de denunciar ante Carabineros o la Fiscalia.</w:t>
      </w:r>
    </w:p>
    <w:p>
      <w:r>
        <w:br w:type="page"/>
      </w:r>
    </w:p>
    <w:p>
      <w:pPr>
        <w:pStyle w:val="Heading1"/>
        <w:pBdr>
          <w:bottom w:val="single" w:color="2E5FA3" w:sz="10" w:space="4"/>
        </w:pBdr>
        <w:spacing w:after="60" w:before="300"/>
      </w:pPr>
      <w:r>
        <w:rPr>
          <w:rFonts w:ascii="Calibri" w:cs="Calibri" w:eastAsia="Calibri" w:hAnsi="Calibri"/>
          <w:b/>
          <w:bCs/>
          <w:color w:val="1F3864"/>
          <w:sz w:val="26"/>
          <w:szCs w:val="26"/>
        </w:rPr>
        <w:t xml:space="preserve">SECCION VII: </w:t>
      </w:r>
      <w:r>
        <w:rPr>
          <w:rFonts w:ascii="Calibri" w:cs="Calibri" w:eastAsia="Calibri" w:hAnsi="Calibri"/>
          <w:b/>
          <w:bCs/>
          <w:color w:val="1F3864"/>
          <w:sz w:val="26"/>
          <w:szCs w:val="26"/>
        </w:rPr>
        <w:t xml:space="preserve">PLANIFICACION TERRITORIAL Y MEDIO AMBIENTE</w:t>
      </w:r>
      <w:r>
        <w:rPr>
          <w:rFonts w:ascii="Calibri" w:cs="Calibri" w:eastAsia="Calibri" w:hAnsi="Calibri"/>
          <w:color w:val="2E5FA3"/>
          <w:sz w:val="20"/>
          <w:szCs w:val="20"/>
        </w:rPr>
        <w:t xml:space="preserve">  -  El activo diferenciador: PACCC en el 6,4% nacional</w:t>
      </w:r>
    </w:p>
    <w:p>
      <w:pPr>
        <w:spacing w:after="0" w:before="0"/>
      </w:pPr>
      <w:r>
        <w:rPr>
          <w:sz w:val="10"/>
          <w:szCs w:val="10"/>
        </w:rPr>
        <w:t xml:space="preserve"/>
      </w:r>
    </w:p>
    <w:p>
      <w:pPr>
        <w:pBdr>
          <w:left w:val="single" w:color="375623" w:sz="16" w:space="12"/>
        </w:pBdr>
        <w:shd w:fill="E2EFDA" w:val="clear"/>
        <w:spacing w:after="140" w:before="140" w:line="288"/>
        <w:ind w:left="400" w:right="200"/>
        <w:jc w:val="both"/>
      </w:pPr>
      <w:r>
        <w:rPr>
          <w:rFonts w:ascii="Calibri" w:cs="Calibri" w:eastAsia="Calibri" w:hAnsi="Calibri"/>
          <w:i/>
          <w:iCs/>
          <w:color w:val="1A1A1A"/>
          <w:sz w:val="21"/>
          <w:szCs w:val="21"/>
        </w:rPr>
        <w:t xml:space="preserve">Tesis: El Plan de Accion de Cambio Climatico Comunal (PACCC) de Rengo es el activo institucional mas diferenciador del municipio en el contexto regional: pertenecer al 6,4% de municipios con PACCC aprobado es una ventaja comparativa concreta que el PLADECO debe capitalizar con articulacion presupuestaria explicita. No hacerlo seria desperdiciar el unico instrumento que posiciona a Rengo como lider en su provincia.</w:t>
      </w:r>
    </w:p>
    <w:p>
      <w:pPr>
        <w:spacing w:after="0" w:before="0"/>
      </w:pPr>
      <w:r>
        <w:rPr>
          <w:sz w:val="10"/>
          <w:szCs w:val="10"/>
        </w:rPr>
        <w:t xml:space="preserve"/>
      </w:r>
    </w:p>
    <w:p>
      <w:pPr>
        <w:spacing w:after="140" w:before="80" w:line="288"/>
        <w:jc w:val="both"/>
      </w:pPr>
      <w:r>
        <w:rPr>
          <w:rFonts w:ascii="Calibri" w:cs="Calibri" w:eastAsia="Calibri" w:hAnsi="Calibri"/>
          <w:b w:val="false"/>
          <w:bCs w:val="false"/>
          <w:i w:val="false"/>
          <w:iCs w:val="false"/>
          <w:color w:val="000000"/>
          <w:sz w:val="22"/>
          <w:szCs w:val="22"/>
        </w:rPr>
        <w:t xml:space="preserve">El PACCC de Rengo, elaborado por IDOM Consulting y formalizado mediante Memo N 89 del 25 de febrero de 2026, coloca al municipio entre los 22 de 345 comunas del pais (6,4%) que cuentan con este instrumento aprobado, segun datos del Centro de Ciencia del Clima y la Resiliencia (CR2, marzo 2025). A nivel nacional, 147 municipios (42,6%) lo tienen en elaboracion, 107 (31,0%) no registran avances y 20 (5,7%) no tienen informacion disponible. La brecha provincial es aun mas pronunciada: ninguna otra comuna de la Provincia de Cachapoal ha completado su PACCC.</w:t>
      </w:r>
    </w:p>
    <w:p>
      <w:pPr>
        <w:spacing w:after="140" w:before="80" w:line="288"/>
        <w:jc w:val="both"/>
      </w:pPr>
      <w:r>
        <w:rPr>
          <w:rFonts w:ascii="Calibri" w:cs="Calibri" w:eastAsia="Calibri" w:hAnsi="Calibri"/>
          <w:b w:val="false"/>
          <w:bCs w:val="false"/>
          <w:i w:val="false"/>
          <w:iCs w:val="false"/>
          <w:color w:val="000000"/>
          <w:sz w:val="22"/>
          <w:szCs w:val="22"/>
        </w:rPr>
        <w:t xml:space="preserve">El PACCC documenta seis amenazas climaticas concretas para el territorio: estres hidrico, incendios forestales, olas de calor, eventos de precipitacion extrema, perdida de biodiversidad y variabilidad de las precipitaciones con impacto en la actividad agricola. El Plan se estructura en diez secciones: marco institucional, metodologia, diagnostico climatico, cartografias participativas, cobeneficios, perfiles de medidas de adaptacion, reduccion de emisiones, planificacion temporal y presupuestaria, y articulacion con el Plan Regional de Recursos Hidricos 2020-2024. Este ultimo punto es especialmente relevante para Rengo, dado que 800 de las 4.439 empresas de la comuna pertenecen al sector agricola y forestal (SII 2023), cuya actividad depende directamente de la disponibilidad hidrica.</w:t>
      </w:r>
    </w:p>
    <w:p>
      <w:pPr>
        <w:spacing w:after="140" w:before="80" w:line="288"/>
        <w:jc w:val="both"/>
      </w:pPr>
      <w:r>
        <w:rPr>
          <w:rFonts w:ascii="Calibri" w:cs="Calibri" w:eastAsia="Calibri" w:hAnsi="Calibri"/>
          <w:b w:val="false"/>
          <w:bCs w:val="false"/>
          <w:i w:val="false"/>
          <w:iCs w:val="false"/>
          <w:color w:val="000000"/>
          <w:sz w:val="22"/>
          <w:szCs w:val="22"/>
        </w:rPr>
        <w:t xml:space="preserve">La brecha critica del PACCC es la ausencia de articulacion con el PLADECO y con el Plan Regulador Comunal (PRC), obligacion que impone la Ley 21.455 y que la Ley 21.807 de febrero de 2026 ha reforzado al exigir coherencia entre instrumentos de planificacion comunal. Un segundo problema es la carencia de asignacion presupuestaria para las medidas del PACCC: el instrumento existe formalmente pero no tiene recursos propios para ejecucion, lo que lo mantiene en Nivel 2 de madurez. El dictamen CGR N E74165/2025 identifico un vacio legal en las sanciones por incumplimiento del PACCC, lo que paradojicamente reduce el incentivo inmediato para su implementacion efectiva, aunque no elimina la responsabilidad politica y de gestion.</w:t>
      </w:r>
    </w:p>
    <w:p>
      <w:r>
        <w:br w:type="page"/>
      </w:r>
    </w:p>
    <w:p>
      <w:pPr>
        <w:pStyle w:val="Heading1"/>
        <w:pBdr>
          <w:bottom w:val="single" w:color="2E5FA3" w:sz="10" w:space="4"/>
        </w:pBdr>
        <w:spacing w:after="60" w:before="300"/>
      </w:pPr>
      <w:r>
        <w:rPr>
          <w:rFonts w:ascii="Calibri" w:cs="Calibri" w:eastAsia="Calibri" w:hAnsi="Calibri"/>
          <w:b/>
          <w:bCs/>
          <w:color w:val="1F3864"/>
          <w:sz w:val="26"/>
          <w:szCs w:val="26"/>
        </w:rPr>
        <w:t xml:space="preserve">SECCION VIII: </w:t>
      </w:r>
      <w:r>
        <w:rPr>
          <w:rFonts w:ascii="Calibri" w:cs="Calibri" w:eastAsia="Calibri" w:hAnsi="Calibri"/>
          <w:b/>
          <w:bCs/>
          <w:color w:val="1F3864"/>
          <w:sz w:val="26"/>
          <w:szCs w:val="26"/>
        </w:rPr>
        <w:t xml:space="preserve">TRANSPARENCIA Y PARTICIPACION CIUDADANA</w:t>
      </w:r>
      <w:r>
        <w:rPr>
          <w:rFonts w:ascii="Calibri" w:cs="Calibri" w:eastAsia="Calibri" w:hAnsi="Calibri"/>
          <w:color w:val="2E5FA3"/>
          <w:sz w:val="20"/>
          <w:szCs w:val="20"/>
        </w:rPr>
        <w:t xml:space="preserve">  -  Deuda participativa y legitimidad del PLADECO</w:t>
      </w:r>
    </w:p>
    <w:p>
      <w:pPr>
        <w:spacing w:after="0" w:before="0"/>
      </w:pPr>
      <w:r>
        <w:rPr>
          <w:sz w:val="10"/>
          <w:szCs w:val="10"/>
        </w:rPr>
        <w:t xml:space="preserve"/>
      </w:r>
    </w:p>
    <w:p>
      <w:pPr>
        <w:pBdr>
          <w:left w:val="single" w:color="AA5500" w:sz="16" w:space="12"/>
        </w:pBdr>
        <w:shd w:fill="FCE4D6" w:val="clear"/>
        <w:spacing w:after="140" w:before="140" w:line="288"/>
        <w:ind w:left="400" w:right="200"/>
        <w:jc w:val="both"/>
      </w:pPr>
      <w:r>
        <w:rPr>
          <w:rFonts w:ascii="Calibri" w:cs="Calibri" w:eastAsia="Calibri" w:hAnsi="Calibri"/>
          <w:i/>
          <w:iCs/>
          <w:color w:val="1A1A1A"/>
          <w:sz w:val="21"/>
          <w:szCs w:val="21"/>
        </w:rPr>
        <w:t xml:space="preserve">Tesis: La transparencia pasiva opera correctamente en Rengo, pero la participacion ciudadana permanece como la deuda institucional mas critica para la legitimidad del PLADECO: sin un COSOC operativo, el Plan de Desarrollo Comunal carece del sustento participativo que exige el Art. 7 de la Ley 18.695 y la Ley 20.500, exponiendolo a impugnaciones de legitimidad.</w:t>
      </w:r>
    </w:p>
    <w:p>
      <w:pPr>
        <w:spacing w:after="0" w:before="0"/>
      </w:pPr>
      <w:r>
        <w:rPr>
          <w:sz w:val="10"/>
          <w:szCs w:val="10"/>
        </w:rPr>
        <w:t xml:space="preserve"/>
      </w:r>
    </w:p>
    <w:p>
      <w:pPr>
        <w:spacing w:after="140" w:before="80" w:line="288"/>
        <w:jc w:val="both"/>
      </w:pPr>
      <w:r>
        <w:rPr>
          <w:rFonts w:ascii="Calibri" w:cs="Calibri" w:eastAsia="Calibri" w:hAnsi="Calibri"/>
          <w:b w:val="false"/>
          <w:bCs w:val="false"/>
          <w:i w:val="false"/>
          <w:iCs w:val="false"/>
          <w:color w:val="000000"/>
          <w:sz w:val="22"/>
          <w:szCs w:val="22"/>
        </w:rPr>
        <w:t xml:space="preserve">La respuesta al ORD. N 276/2026 evidencia que el municipio cumple adecuadamente sus obligaciones de transparencia pasiva: respondio en plazo (20 dias habiles, conforme a la Ley 20.285), coordino cuatro direcciones distintas para la compilacion de antecedentes y respondio sustantivamente 5 de 6 items consultados. Este desempeno contrasta favorablemente con los datos del Consejo para la Transparencia (CPLT): el promedio de cumplimiento de transparencia activa municipal a nivel nacional fue de 78,1% en 2024 (con una baja de 1,2 puntos porcentuales respecto al periodo anterior) y 81,76% en 2025 (mejor resultado historico). Las areas de mayor incumplimiento nacional son ordenes de compra (37,2%), actas de sesiones del Concejo (27,9%) y participacion ciudadana (22,6%). El CPLT ordeno mas de 60 investigaciones sumarias a municipios con bajo desempeno en 2024.</w:t>
      </w:r>
    </w:p>
    <w:p>
      <w:pPr>
        <w:spacing w:after="140" w:before="80" w:line="288"/>
        <w:jc w:val="both"/>
      </w:pPr>
      <w:r>
        <w:rPr>
          <w:rFonts w:ascii="Calibri" w:cs="Calibri" w:eastAsia="Calibri" w:hAnsi="Calibri"/>
          <w:b w:val="false"/>
          <w:bCs w:val="false"/>
          <w:i w:val="false"/>
          <w:iCs w:val="false"/>
          <w:color w:val="000000"/>
          <w:sz w:val="22"/>
          <w:szCs w:val="22"/>
        </w:rPr>
        <w:t xml:space="preserve">La debilidad critica en este eje no es la transparencia sino la participacion ciudadana. No se identifican mecanismos formales operativos de participacion en Rengo: el Consejo de Organizaciones de la Sociedad Civil (COSOC), exigido por la Ley 20.500, no ha podido ser evidenciado como instancia activa. Su ausencia no es menor: el COSOC es el mecanismo legal de participacion vinculado al proceso de elaboracion y seguimiento del PLADECO (Art. 7 Ley 18.695). Un PLADECO elaborado sin un COSOC funcionando corre el riesgo de ser impugnado en su legitimidad participativa, lo que puede limitar su respaldo ciudadano y politico en la fase de implementacion. Los datos de poblacion confirman la urgencia de este punto: Rengo cuenta con 51.657 electores habilitados (SERVEL, octubre 2024), una tasa de participacion electoral del 91,4% y una tasa de VIF de 729,6 por 100.000 habitantes, lo que revela una ciudadania activa en contextos de demanda social alta.</w:t>
      </w:r>
    </w:p>
    <w:p>
      <w:r>
        <w:br w:type="page"/>
      </w:r>
    </w:p>
    <w:p>
      <w:pPr>
        <w:pStyle w:val="Heading1"/>
        <w:pBdr>
          <w:bottom w:val="single" w:color="2E5FA3" w:sz="10" w:space="4"/>
        </w:pBdr>
        <w:spacing w:after="60" w:before="300"/>
      </w:pPr>
      <w:r>
        <w:rPr>
          <w:rFonts w:ascii="Calibri" w:cs="Calibri" w:eastAsia="Calibri" w:hAnsi="Calibri"/>
          <w:b/>
          <w:bCs/>
          <w:color w:val="1F3864"/>
          <w:sz w:val="26"/>
          <w:szCs w:val="26"/>
        </w:rPr>
        <w:t xml:space="preserve">SECCION IX: </w:t>
      </w:r>
      <w:r>
        <w:rPr>
          <w:rFonts w:ascii="Calibri" w:cs="Calibri" w:eastAsia="Calibri" w:hAnsi="Calibri"/>
          <w:b/>
          <w:bCs/>
          <w:color w:val="1F3864"/>
          <w:sz w:val="26"/>
          <w:szCs w:val="26"/>
        </w:rPr>
        <w:t xml:space="preserve">DIAGNOSTICO FODA PROFUNDIZADO</w:t>
      </w:r>
      <w:r>
        <w:rPr>
          <w:rFonts w:ascii="Calibri" w:cs="Calibri" w:eastAsia="Calibri" w:hAnsi="Calibri"/>
          <w:color w:val="2E5FA3"/>
          <w:sz w:val="20"/>
          <w:szCs w:val="20"/>
        </w:rPr>
        <w:t xml:space="preserve">  -  Con evidencia documental verificable por cada elemento</w:t>
      </w:r>
    </w:p>
    <w:p>
      <w:pPr>
        <w:spacing w:after="0" w:before="0"/>
      </w:pPr>
      <w:r>
        <w:rPr>
          <w:sz w:val="10"/>
          <w:szCs w:val="10"/>
        </w:rPr>
        <w:t xml:space="preserve"/>
      </w:r>
    </w:p>
    <w:p>
      <w:pPr>
        <w:spacing w:after="140" w:before="80" w:line="288"/>
        <w:jc w:val="both"/>
      </w:pPr>
      <w:r>
        <w:rPr>
          <w:rFonts w:ascii="Calibri" w:cs="Calibri" w:eastAsia="Calibri" w:hAnsi="Calibri"/>
          <w:b w:val="false"/>
          <w:bCs w:val="false"/>
          <w:i w:val="false"/>
          <w:iCs w:val="false"/>
          <w:color w:val="000000"/>
          <w:sz w:val="22"/>
          <w:szCs w:val="22"/>
        </w:rPr>
        <w:t xml:space="preserve">El diagnostico FODA que se presenta no es un ejercicio de enumeracion retorica, sino una sintesis analitica fundamentada en evidencia documental verificable. Cada fortaleza, debilidad, oportunidad y amenaza ha sido extraida directamente de los instrumentos revisados, de los datos estadisticos disponibles y de la normativa vigente. Esta base empirica es lo que distingue un FODA util de uno decorativo, y es la condicion para que el analisis de cruce estrategico que le sigue tenga valor normativo para la planificacion del PLADECO 2025-2035.</w:t>
      </w:r>
    </w:p>
    <w:p>
      <w:pPr>
        <w:spacing w:after="0" w:before="0"/>
      </w:pPr>
      <w:r>
        <w:rPr>
          <w:sz w:val="10"/>
          <w:szCs w:val="10"/>
        </w:rPr>
        <w:t xml:space="preserve"/>
      </w:r>
    </w:p>
    <w:p>
      <w:pPr>
        <w:spacing w:after="60" w:before="160"/>
        <w:jc w:val="center"/>
      </w:pPr>
      <w:r>
        <w:rPr>
          <w:rFonts w:ascii="Calibri" w:cs="Calibri" w:eastAsia="Calibri" w:hAnsi="Calibri"/>
          <w:b/>
          <w:bCs/>
          <w:i/>
          <w:iCs/>
          <w:color w:val="2E5FA3"/>
          <w:sz w:val="20"/>
          <w:szCs w:val="20"/>
        </w:rPr>
        <w:t xml:space="preserve">Tabla 6. Matriz FODA institucional con evidencia documental y relevancia para el PLADECO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0"/>
        <w:gridCol w:w="460"/>
        <w:gridCol w:w="2860"/>
        <w:gridCol w:w="2980"/>
        <w:gridCol w:w="3000"/>
      </w:tblGrid>
      <w:tr>
        <w:tc>
          <w:tcPr>
            <w:tcW w:type="dxa" w:w="7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Categoria</w:t>
            </w:r>
          </w:p>
        </w:tc>
        <w:tc>
          <w:tcPr>
            <w:tcW w:type="dxa" w:w="4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Cod.</w:t>
            </w:r>
          </w:p>
        </w:tc>
        <w:tc>
          <w:tcPr>
            <w:tcW w:type="dxa" w:w="2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Elemento</w:t>
            </w:r>
          </w:p>
        </w:tc>
        <w:tc>
          <w:tcPr>
            <w:tcW w:type="dxa" w:w="29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Evidencia documental especifica</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Relevancia para el PLADECO 2025-2035</w:t>
            </w:r>
          </w:p>
        </w:tc>
      </w:tr>
      <w:tr>
        <w:tc>
          <w:tcPr>
            <w:tcW w:type="dxa" w:w="780"/>
            <w:vMerge w:val="restart"/>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FORTALEZAS</w:t>
            </w:r>
          </w:p>
        </w:tc>
        <w:tc>
          <w:tcPr>
            <w:tcW w:type="dxa" w:w="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F1</w:t>
            </w:r>
          </w:p>
        </w:tc>
        <w:tc>
          <w:tcPr>
            <w:tcW w:type="dxa" w:w="28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Marco normativo de integridad formalizado y operativo (3 niveles: CSI, CI, OI con 12 directores)</w:t>
            </w:r>
          </w:p>
        </w:tc>
        <w:tc>
          <w:tcPr>
            <w:tcW w:type="dxa" w:w="298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Dec. N 1416/(MD), 12/09/2023; Dec. N 0645/(MD), 12 directores nombrados; Memo 075/2023 Taller AGIL</w:t>
            </w:r>
          </w:p>
        </w:tc>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Plataforma institucional para articular todos los ejes del PLADECO bajo principios de probidad; reduce riesgo de desvios en implementacion</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F2</w:t>
            </w:r>
          </w:p>
        </w:tc>
        <w:tc>
          <w:tcPr>
            <w:tcW w:type="dxa" w:w="28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Convenio CGR con trazabilidad documental completa de 8 etapas ejecutadas</w:t>
            </w:r>
          </w:p>
        </w:tc>
        <w:tc>
          <w:tcPr>
            <w:tcW w:type="dxa" w:w="298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Dec. N 1064/(MD), 05/08/2022; correos coordinadores CGR (cfigueroar@contraloria.cl); Informe Taller AGIL Memo 075/2023</w:t>
            </w:r>
          </w:p>
        </w:tc>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Relacion activa con Contraloria facilita renovacion del convenio y asistencia tecnica para fortalecer sistema de control interno del PLADECO</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F3</w:t>
            </w:r>
          </w:p>
        </w:tc>
        <w:tc>
          <w:tcPr>
            <w:tcW w:type="dxa" w:w="28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Cuatro instrumentos operativos vigentes con cobertura institucional amplia (Compras, Presupuesto, Capacitacion, PACCC)</w:t>
            </w:r>
          </w:p>
        </w:tc>
        <w:tc>
          <w:tcPr>
            <w:tcW w:type="dxa" w:w="298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Folio 891, Dec. 2117-2164-2171, Dec. 229/(MD), Memo N 89/2026</w:t>
            </w:r>
          </w:p>
        </w:tc>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Base material para la programacion de inversiones del PLADECO; los cuatro instrumentos activos reducen el costo de arranque</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F4</w:t>
            </w:r>
          </w:p>
        </w:tc>
        <w:tc>
          <w:tcPr>
            <w:tcW w:type="dxa" w:w="28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Transparencia pasiva eficaz: respuesta coordinada de 4 direcciones en 20 dias habiles</w:t>
            </w:r>
          </w:p>
        </w:tc>
        <w:tc>
          <w:tcPr>
            <w:tcW w:type="dxa" w:w="298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ORD. N 276/2026; 4 directores coordinados; 5 de 6 items respondidos sustantivamente</w:t>
            </w:r>
          </w:p>
        </w:tc>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Genera confianza ciudadana; base para el modelo de participacion del PLADECO segun Art. 7 Ley 18.695</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F5</w:t>
            </w:r>
          </w:p>
        </w:tc>
        <w:tc>
          <w:tcPr>
            <w:tcW w:type="dxa" w:w="28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Protocolo de acoso tecnicamente solido: 8 normas referenciadas, tipologia completa, formulario estandarizado</w:t>
            </w:r>
          </w:p>
        </w:tc>
        <w:tc>
          <w:tcPr>
            <w:tcW w:type="dxa" w:w="298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Dec. N 1807/(MD), 21/11/2023; datos DNSC (mujeres 30% mas afectadas); referencia Ley 20.005, OIT 190, CEDAW</w:t>
            </w:r>
          </w:p>
        </w:tc>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Brinda base para actualizacion rapida a Ley Karin; la estructura ya existe, solo requiere actualizacion de 6 brechas especificas</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F6</w:t>
            </w:r>
          </w:p>
        </w:tc>
        <w:tc>
          <w:tcPr>
            <w:tcW w:type="dxa" w:w="28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Plan de Capacitacion aprobado unanimemente por Concejo Municipal; articulado con Fondo SUBDERE</w:t>
            </w:r>
          </w:p>
        </w:tc>
        <w:tc>
          <w:tcPr>
            <w:tcW w:type="dxa" w:w="298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Dec. N 229/(MD); Certificado N 469, Sesion N 038, 17/12/2025; Oficio SUBDERE N 4088/2025</w:t>
            </w:r>
          </w:p>
        </w:tc>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Respaldo politico para ampliar el plan; posibilidad de vincular nuevas capacitaciones a compromisos del PLADECO</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F7</w:t>
            </w:r>
          </w:p>
        </w:tc>
        <w:tc>
          <w:tcPr>
            <w:tcW w:type="dxa" w:w="28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Continuidad de politicas entre periodos alcaldicios (2022-2026): instrumentos de Soto vigentes bajo Del Barrio</w:t>
            </w:r>
          </w:p>
        </w:tc>
        <w:tc>
          <w:tcPr>
            <w:tcW w:type="dxa" w:w="298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Dec. 1416 (Soto, 2023) + Dec. 229 (Del Barrio, 2025); mismos coordinadores (Roldan Grez)</w:t>
            </w:r>
          </w:p>
        </w:tc>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Senyal de estabilidad institucional que protege las inversiones del PLADECO frente al ciclo politico</w:t>
            </w:r>
          </w:p>
        </w:tc>
      </w:tr>
      <w:tr>
        <w:tc>
          <w:tcPr>
            <w:tcW w:type="dxa" w:w="780"/>
            <w:vMerge w:val="restart"/>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C00000"/>
                <w:sz w:val="18"/>
                <w:szCs w:val="18"/>
              </w:rPr>
              <w:t xml:space="preserve">DEBILIDADES</w:t>
            </w:r>
          </w:p>
        </w:tc>
        <w:tc>
          <w:tcPr>
            <w:tcW w:type="dxa" w:w="46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D1</w:t>
            </w:r>
          </w:p>
        </w:tc>
        <w:tc>
          <w:tcPr>
            <w:tcW w:type="dxa" w:w="286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9 de 16 dimensiones evaluadas en Nivel 2: decreto aprobado sin evidencia de implementacion verificable</w:t>
            </w:r>
          </w:p>
        </w:tc>
        <w:tc>
          <w:tcPr>
            <w:tcW w:type="dxa" w:w="298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Distribucion madurez: 37,5% Nivel 1, 50% Nivel 2, 6,25% Nivel 3, 0% Nivel 4</w:t>
            </w:r>
          </w:p>
        </w:tc>
        <w:tc>
          <w:tcPr>
            <w:tcW w:type="dxa" w:w="300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El PLADECO no puede basarse en instrumentos que existen en papel pero no operan; requiere indicadores de transicion N2 a N3</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D2</w:t>
            </w:r>
          </w:p>
        </w:tc>
        <w:tc>
          <w:tcPr>
            <w:tcW w:type="dxa" w:w="286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Codigo de Etica inexistente pese a ser componente minimo autoimpuesto por la propia Politica de Integridad</w:t>
            </w:r>
          </w:p>
        </w:tc>
        <w:tc>
          <w:tcPr>
            <w:tcW w:type="dxa" w:w="298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Dec. 1416 lo define como 'elemento minimo'; ORD. 276/2026 no pudo entregarlo; se entrego Protocolo de Acoso en su lugar</w:t>
            </w:r>
          </w:p>
        </w:tc>
        <w:tc>
          <w:tcPr>
            <w:tcW w:type="dxa" w:w="300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Brecha de credibilidad institucional; su ausencia expone al municipio ante el escrutinio ciudadano y mediatico</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D3</w:t>
            </w:r>
          </w:p>
        </w:tc>
        <w:tc>
          <w:tcPr>
            <w:tcW w:type="dxa" w:w="286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Protocolo de Acoso con 6 de 9 obligaciones de Ley Karin incumplidas: riesgo legal vigente desde agosto 2024</w:t>
            </w:r>
          </w:p>
        </w:tc>
        <w:tc>
          <w:tcPr>
            <w:tcW w:type="dxa" w:w="298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Dec. 1807/2023 vs. obligaciones Ley 21.643; dictamenes CGR E516610/2024 y E30538/2025</w:t>
            </w:r>
          </w:p>
        </w:tc>
        <w:tc>
          <w:tcPr>
            <w:tcW w:type="dxa" w:w="300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Riesgo de multas DT (hasta 100 UTM) y demandas civiles sin tope; la inaccion aumenta el pasivo institucional diariamente</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D4</w:t>
            </w:r>
          </w:p>
        </w:tc>
        <w:tc>
          <w:tcPr>
            <w:tcW w:type="dxa" w:w="286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Desarticulacion entre los 12 instrumentos: ningun mecanismo formal de coherencia o seguimiento conjunto</w:t>
            </w:r>
          </w:p>
        </w:tc>
        <w:tc>
          <w:tcPr>
            <w:tcW w:type="dxa" w:w="298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Plan Compras no cita PLADECO; Plan Capacitacion no incluye Karin ni PACCC; Presupuesto no distingue IPP de transferencias</w:t>
            </w:r>
          </w:p>
        </w:tc>
        <w:tc>
          <w:tcPr>
            <w:tcW w:type="dxa" w:w="300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El PLADECO requiere un sistema de gestion integrada que vincule estos instrumentos; sin el, cada ano se parte de cero</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D5</w:t>
            </w:r>
          </w:p>
        </w:tc>
        <w:tc>
          <w:tcPr>
            <w:tcW w:type="dxa" w:w="286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Fuente unica de capacitacion (SUBDERE) y reglamento de 14 anos de desactualizacion</w:t>
            </w:r>
          </w:p>
        </w:tc>
        <w:tc>
          <w:tcPr>
            <w:tcW w:type="dxa" w:w="298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Dec. 0626/(MD), 11/07/2011; dependencia Oficio SUBDERE 4088/2025</w:t>
            </w:r>
          </w:p>
        </w:tc>
        <w:tc>
          <w:tcPr>
            <w:tcW w:type="dxa" w:w="300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Vulnerabilidad financiera del capital humano; reglamento anterior a Ley 20.742, Ley Karin y normativas de gestion por competencias</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D6</w:t>
            </w:r>
          </w:p>
        </w:tc>
        <w:tc>
          <w:tcPr>
            <w:tcW w:type="dxa" w:w="286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Ausencia de sistema de monitoreo y evaluacion: sin tablero de indicadores, sin informes de gestion, sin reportes al Concejo</w:t>
            </w:r>
          </w:p>
        </w:tc>
        <w:tc>
          <w:tcPr>
            <w:tcW w:type="dxa" w:w="298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Ningun instrumento revisado incluye indicadores de resultado ni mecanismo de reporte periodico</w:t>
            </w:r>
          </w:p>
        </w:tc>
        <w:tc>
          <w:tcPr>
            <w:tcW w:type="dxa" w:w="300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El PLADECO es ineficaz sin indicadores de seguimiento; esta brecha es condicion necesaria de todo lo demas</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D7</w:t>
            </w:r>
          </w:p>
        </w:tc>
        <w:tc>
          <w:tcPr>
            <w:tcW w:type="dxa" w:w="286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Convenio CGR sin acta de cierre formal; proceso tecnicamente inconcluso segun Clausula 3d</w:t>
            </w:r>
          </w:p>
        </w:tc>
        <w:tc>
          <w:tcPr>
            <w:tcW w:type="dxa" w:w="298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Dec. N 1064/(MD); 8 etapas documentadas pero sin acta final</w:t>
            </w:r>
          </w:p>
        </w:tc>
        <w:tc>
          <w:tcPr>
            <w:tcW w:type="dxa" w:w="3000"/>
            <w:tcBorders>
              <w:top w:val="single" w:color="CCCCCC" w:sz="4"/>
              <w:left w:val="single" w:color="CCCCCC" w:sz="4"/>
              <w:bottom w:val="single" w:color="CCCCCC" w:sz="4"/>
              <w:right w:val="single" w:color="CCCCCC" w:sz="4"/>
            </w:tcBorders>
            <w:shd w:fill="FFCC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Impide formalizar el cierre y dificulta la renovacion del convenio para un nuevo ciclo de asistencia tecnica CGR</w:t>
            </w:r>
          </w:p>
        </w:tc>
      </w:tr>
      <w:tr>
        <w:tc>
          <w:tcPr>
            <w:tcW w:type="dxa" w:w="780"/>
            <w:vMerge w:val="restart"/>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OPORTUNIDADES</w:t>
            </w:r>
          </w:p>
        </w:tc>
        <w:tc>
          <w:tcPr>
            <w:tcW w:type="dxa" w:w="46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O1</w:t>
            </w:r>
          </w:p>
        </w:tc>
        <w:tc>
          <w:tcPr>
            <w:tcW w:type="dxa" w:w="286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Proceso PLADECO como catalizador de articulacion sistemica de todos los instrumentos municipales</w:t>
            </w:r>
          </w:p>
        </w:tc>
        <w:tc>
          <w:tcPr>
            <w:tcW w:type="dxa" w:w="298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Ley 18.695 Arts. 6/7; Ley 21.807 (coherencia PLADECO-PRC, feb. 2026)</w:t>
            </w:r>
          </w:p>
        </w:tc>
        <w:tc>
          <w:tcPr>
            <w:tcW w:type="dxa" w:w="30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La elaboracion del PLADECO es el momento politico ideal para exigir coherencia entre instrumentos; oportunidad unica en 10 anos</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O2</w:t>
            </w:r>
          </w:p>
        </w:tc>
        <w:tc>
          <w:tcPr>
            <w:tcW w:type="dxa" w:w="286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Ley Karin como oportunidad para revision integral de condiciones laborales y cultura organizacional</w:t>
            </w:r>
          </w:p>
        </w:tc>
        <w:tc>
          <w:tcPr>
            <w:tcW w:type="dxa" w:w="298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Ley 21.643 vigente; dictamenes E516610/2024, E30538/2025, dictamen feb. 2026 (honorarios)</w:t>
            </w:r>
          </w:p>
        </w:tc>
        <w:tc>
          <w:tcPr>
            <w:tcW w:type="dxa" w:w="30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El cumplimiento normativo puede convertirse en mejora real de clima laboral si se aborda con perspectiva organizacional y no solo legal</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O3</w:t>
            </w:r>
          </w:p>
        </w:tc>
        <w:tc>
          <w:tcPr>
            <w:tcW w:type="dxa" w:w="286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Fondos SUBDERE disponibles para modernizacion municipal: capacitacion, digitalizacion e instrumentos de gestion</w:t>
            </w:r>
          </w:p>
        </w:tc>
        <w:tc>
          <w:tcPr>
            <w:tcW w:type="dxa" w:w="298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Ley 20.742; Oficio 4088/2025; programas BID Mejora Municipal y SUBDERE GPA</w:t>
            </w:r>
          </w:p>
        </w:tc>
        <w:tc>
          <w:tcPr>
            <w:tcW w:type="dxa" w:w="30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Financiamiento disponible no competitivo para actualizar Reglamento de Capacitacion, diagnostico de competencias y tablero de indicadores</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O4</w:t>
            </w:r>
          </w:p>
        </w:tc>
        <w:tc>
          <w:tcPr>
            <w:tcW w:type="dxa" w:w="286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Convenio CGR renovable para nuevo ciclo de asistencia tecnica en probidad y control de gestion</w:t>
            </w:r>
          </w:p>
        </w:tc>
        <w:tc>
          <w:tcPr>
            <w:tcW w:type="dxa" w:w="298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Art. 21A Ley 10.336; antecedente del Convenio 2022 con 8 etapas cumplidas</w:t>
            </w:r>
          </w:p>
        </w:tc>
        <w:tc>
          <w:tcPr>
            <w:tcW w:type="dxa" w:w="30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CGR como aliado tecnico para disenar el sistema de monitoreo del PLADECO y actualizar Codigo de Etica</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O5</w:t>
            </w:r>
          </w:p>
        </w:tc>
        <w:tc>
          <w:tcPr>
            <w:tcW w:type="dxa" w:w="286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Digitalizacion prevista en la Politica de Integridad (plataforma informatica) pero no implementada</w:t>
            </w:r>
          </w:p>
        </w:tc>
        <w:tc>
          <w:tcPr>
            <w:tcW w:type="dxa" w:w="298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Dec. N 1416/(MD), Objetivo (e): plataforma informatica para integridad</w:t>
            </w:r>
          </w:p>
        </w:tc>
        <w:tc>
          <w:tcPr>
            <w:tcW w:type="dxa" w:w="30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Infraestructura digital pendiente que puede ser el nucleo del sistema de seguimiento del PLADECO; evita duplicar esfuerzos</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O6</w:t>
            </w:r>
          </w:p>
        </w:tc>
        <w:tc>
          <w:tcPr>
            <w:tcW w:type="dxa" w:w="286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Marco legal favorable para modernizacion: Ley Cambio Climatico, Ley Participacion, Politica Nacional Integridad</w:t>
            </w:r>
          </w:p>
        </w:tc>
        <w:tc>
          <w:tcPr>
            <w:tcW w:type="dxa" w:w="298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Ley 21.455, Ley 20.500, Politica Nacional Probidad 2022</w:t>
            </w:r>
          </w:p>
        </w:tc>
        <w:tc>
          <w:tcPr>
            <w:tcW w:type="dxa" w:w="30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El contexto normativo empuja en la misma direccion que las brechas identificadas; el costo de accion es menor que el de inaccion</w:t>
            </w:r>
          </w:p>
        </w:tc>
      </w:tr>
      <w:tr>
        <w:tc>
          <w:tcPr>
            <w:tcW w:type="dxa" w:w="780"/>
            <w:vMerge w:val="restart"/>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AMENAZAS</w:t>
            </w:r>
          </w:p>
        </w:tc>
        <w:tc>
          <w:tcPr>
            <w:tcW w:type="dxa" w:w="46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A1</w:t>
            </w:r>
          </w:p>
        </w:tc>
        <w:tc>
          <w:tcPr>
            <w:tcW w:type="dxa" w:w="286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Riesgo legal inminente y cuantificable por incumplimiento Ley Karin: multas DT, CGR, demandas civiles</w:t>
            </w:r>
          </w:p>
        </w:tc>
        <w:tc>
          <w:tcPr>
            <w:tcW w:type="dxa" w:w="298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Ley 21.643 vigente desde 01/08/2024; dictamen E516610/2024; 6 brechas identificadas</w:t>
            </w:r>
          </w:p>
        </w:tc>
        <w:tc>
          <w:tcPr>
            <w:tcW w:type="dxa" w:w="30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Cada mes de demora en actualizar el Protocolo incrementa el pasivo legal; la accion correctiva es tecnicamente sencilla</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A2</w:t>
            </w:r>
          </w:p>
        </w:tc>
        <w:tc>
          <w:tcPr>
            <w:tcW w:type="dxa" w:w="286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Cambio climatico con 6 amenazas territoriales documentadas en el PACCC: estres hidrico, incendios, calor extremo</w:t>
            </w:r>
          </w:p>
        </w:tc>
        <w:tc>
          <w:tcPr>
            <w:tcW w:type="dxa" w:w="298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PACCC aprobado IDOM; Plan Regional Recursos Hidricos 2020-2024; 800 empresas agricolas vulnerables</w:t>
            </w:r>
          </w:p>
        </w:tc>
        <w:tc>
          <w:tcPr>
            <w:tcW w:type="dxa" w:w="30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Sin articulacion presupuestaria, el PACCC es letra muerta; las amenazas climaticas son reales para la base productiva de la comuna</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A3</w:t>
            </w:r>
          </w:p>
        </w:tc>
        <w:tc>
          <w:tcPr>
            <w:tcW w:type="dxa" w:w="286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Restricciones presupuestarias estructurales: dependencia FCM 55,8%, gastos corrientes 82,1% del total</w:t>
            </w:r>
          </w:p>
        </w:tc>
        <w:tc>
          <w:tcPr>
            <w:tcW w:type="dxa" w:w="298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SINIM 2024; auditoria financiera activa (feb. 2026)</w:t>
            </w:r>
          </w:p>
        </w:tc>
        <w:tc>
          <w:tcPr>
            <w:tcW w:type="dxa" w:w="30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Limita la capacidad de inversion propia en iniciativas PLADECO; exige gestion de cofinanciamiento con FNDR, SUBDERE y BID</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A4</w:t>
            </w:r>
          </w:p>
        </w:tc>
        <w:tc>
          <w:tcPr>
            <w:tcW w:type="dxa" w:w="286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Rotacion politica: cambio de alcalde ya documentado (Soto 2022 a Del Barrio 2025); riesgo de discontinuidad</w:t>
            </w:r>
          </w:p>
        </w:tc>
        <w:tc>
          <w:tcPr>
            <w:tcW w:type="dxa" w:w="298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Continuidad parcial evidenciada (instrumentos vigentes); pero sin institucionalizar los procesos</w:t>
            </w:r>
          </w:p>
        </w:tc>
        <w:tc>
          <w:tcPr>
            <w:tcW w:type="dxa" w:w="30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Sin un sistema formal de gestion que trascienda los periodos alcaldicios, cada cambio de autoridad puede reiniciar el ciclo desde Nivel 1</w:t>
            </w:r>
          </w:p>
        </w:tc>
      </w:tr>
      <w:tr>
        <w:tc>
          <w:tcPr>
            <w:vMerge w:val="continue"/>
            <w:tcBorders>
              <w:top w:val="single" w:color="CCCCCC" w:sz="4"/>
              <w:left w:val="single" w:color="CCCCCC" w:sz="4"/>
              <w:bottom w:val="single" w:color="CCCCCC" w:sz="4"/>
              <w:right w:val="single" w:color="CCCCCC" w:sz="4"/>
            </w:tcBorders>
          </w:tcPr>
          <w:p/>
        </w:tc>
        <w:tc>
          <w:tcPr>
            <w:tcW w:type="dxa" w:w="780"/>
            <w:tcBorders>
              <w:top w:val="single" w:color="CCCCCC" w:sz="4"/>
              <w:left w:val="single" w:color="CCCCCC" w:sz="4"/>
              <w:bottom w:val="single" w:color="CCCCCC" w:sz="4"/>
              <w:right w:val="single" w:color="CCCCCC" w:sz="4"/>
            </w:tcBorders>
          </w:tcPr>
          <w:p/>
        </w:tc>
        <w:tc>
          <w:tcPr>
            <w:tcW w:type="dxa" w:w="46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A5</w:t>
            </w:r>
          </w:p>
        </w:tc>
        <w:tc>
          <w:tcPr>
            <w:tcW w:type="dxa" w:w="286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Escrutinio ciudadano e institucional creciente: caso CIC N 20 (casino), auditoria financiera, CPLT activo</w:t>
            </w:r>
          </w:p>
        </w:tc>
        <w:tc>
          <w:tcPr>
            <w:tcW w:type="dxa" w:w="298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iCs/>
                <w:color w:val="000000"/>
                <w:sz w:val="17"/>
                <w:szCs w:val="17"/>
              </w:rPr>
              <w:t xml:space="preserve">Informe CIC N 20, marzo 2026; auditoria Consultores y Auditores de Empresas Ltda., feb. 2026</w:t>
            </w:r>
          </w:p>
        </w:tc>
        <w:tc>
          <w:tcPr>
            <w:tcW w:type="dxa" w:w="30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La reputacion institucional es un activo del PLADECO; incidentes como el caso casino erosionan la confianza y legitiman la demanda de transparencia</w:t>
            </w:r>
          </w:p>
        </w:tc>
      </w:tr>
    </w:tbl>
    <w:p>
      <w:pPr>
        <w:spacing w:after="0" w:before="0"/>
      </w:pPr>
      <w:r>
        <w:rPr>
          <w:sz w:val="10"/>
          <w:szCs w:val="10"/>
        </w:rPr>
        <w:t xml:space="preserve"/>
      </w:r>
    </w:p>
    <w:p>
      <w:pPr>
        <w:pStyle w:val="Heading2"/>
        <w:spacing w:after="60" w:before="200"/>
      </w:pPr>
      <w:r>
        <w:rPr>
          <w:rFonts w:ascii="Calibri" w:cs="Calibri" w:eastAsia="Calibri" w:hAnsi="Calibri"/>
          <w:b/>
          <w:bCs/>
          <w:color w:val="2E5FA3"/>
          <w:sz w:val="23"/>
          <w:szCs w:val="23"/>
        </w:rPr>
        <w:t xml:space="preserve">9.1 Analisis de cruce estrategico: Matriz CAME</w:t>
      </w:r>
    </w:p>
    <w:p>
      <w:pPr>
        <w:spacing w:after="140" w:before="80" w:line="288"/>
        <w:jc w:val="both"/>
      </w:pPr>
      <w:r>
        <w:rPr>
          <w:rFonts w:ascii="Calibri" w:cs="Calibri" w:eastAsia="Calibri" w:hAnsi="Calibri"/>
          <w:b w:val="false"/>
          <w:bCs w:val="false"/>
          <w:i w:val="false"/>
          <w:iCs w:val="false"/>
          <w:color w:val="000000"/>
          <w:sz w:val="22"/>
          <w:szCs w:val="22"/>
        </w:rPr>
        <w:t xml:space="preserve">El analisis CAME (Corregir las debilidades, Afrontar las amenazas, Mantener las fortalezas, Explotar las oportunidades) traduce el diagnostico FODA en lineamientos estrategicos. Este es el puente entre el diagnostico institucional y las politicas del PLADECO 2025-2035.</w:t>
      </w:r>
    </w:p>
    <w:p>
      <w:pPr>
        <w:spacing w:after="0" w:before="0"/>
      </w:pPr>
      <w:r>
        <w:rPr>
          <w:sz w:val="10"/>
          <w:szCs w:val="10"/>
        </w:rPr>
        <w:t xml:space="preserve"/>
      </w:r>
    </w:p>
    <w:p>
      <w:pPr>
        <w:spacing w:after="60" w:before="160"/>
        <w:jc w:val="center"/>
      </w:pPr>
      <w:r>
        <w:rPr>
          <w:rFonts w:ascii="Calibri" w:cs="Calibri" w:eastAsia="Calibri" w:hAnsi="Calibri"/>
          <w:b/>
          <w:bCs/>
          <w:i/>
          <w:iCs/>
          <w:color w:val="2E5FA3"/>
          <w:sz w:val="20"/>
          <w:szCs w:val="20"/>
        </w:rPr>
        <w:t xml:space="preserve">Tabla 7. Estrategias cruzadas FODA para el PLADECO 2025-2035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490"/>
        <w:gridCol w:w="4490"/>
      </w:tblGrid>
      <w:tr>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
            </w:r>
          </w:p>
        </w:tc>
        <w:tc>
          <w:tcPr>
            <w:tcW w:type="dxa" w:w="449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OPORTUNIDADES (O1-O6)</w:t>
            </w:r>
          </w:p>
        </w:tc>
        <w:tc>
          <w:tcPr>
            <w:tcW w:type="dxa" w:w="449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AMENAZAS (A1-A5)</w:t>
            </w:r>
          </w:p>
        </w:tc>
      </w:tr>
      <w:tr>
        <w:tc>
          <w:tcPr>
            <w:tcW w:type="dxa" w:w="1100"/>
            <w:tcBorders>
              <w:top w:val="single" w:color="CCCCCC" w:sz="4"/>
              <w:left w:val="single" w:color="CCCCCC" w:sz="4"/>
              <w:bottom w:val="single" w:color="CCCCCC" w:sz="4"/>
              <w:right w:val="single" w:color="CCCCCC" w:sz="4"/>
            </w:tcBorders>
            <w:shd w:fill="375623"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FORTALEZAS (F1-F7)</w:t>
            </w:r>
          </w:p>
        </w:tc>
        <w:tc>
          <w:tcPr>
            <w:tcW w:type="dxa" w:w="449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FO - Estrategia ofensiva: Capitalizar el PACCC (F3+O6) articulandolo en el PLADECO como eje de planificacion territorial sostenible, aprovechando la Ley 21.455 y el marco del cambio climatico. // Usar el Convenio CGR (F2+O4) para renovar el programa de integridad e incorporar el Codigo de Etica con asistencia tecnica de Contraloria, transformando una debilidad conocida en un hito de gestyon del primer ano.</w:t>
            </w:r>
          </w:p>
        </w:tc>
        <w:tc>
          <w:tcPr>
            <w:tcW w:type="dxa" w:w="449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FA - Estrategia defensiva: Activar el CSI (F1) para gestionar el riesgo reputacional del caso CIC N 20 (A5): sesiones trimestrales, reportes al Concejo y campana interna de probidad en los primeros 6 meses. // Usar el marco normativo consolidado (F5+F3) para actualizar el Protocolo de Acoso (Ley Karin, A1) antes del primer verano 2026, cerrando las 6 brechas identificadas con el respaldo politico del Concejo (F6).</w:t>
            </w:r>
          </w:p>
        </w:tc>
      </w:tr>
      <w:tr>
        <w:tc>
          <w:tcPr>
            <w:tcW w:type="dxa" w:w="1100"/>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DEBILIDADES (D1-D7)</w:t>
            </w:r>
          </w:p>
        </w:tc>
        <w:tc>
          <w:tcPr>
            <w:tcW w:type="dxa" w:w="449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DO - Estrategia de correccion: Usar el proceso PLADECO (O1) como catalizador para articular los 12 instrumentos desconectados (D4), creando un sistema de monitoreo integrado que vincule Plan de Compras, Presupuesto, PACCC y Plan de Capacitacion con indicadores comunes. // Financiar con fondos SUBDERE (O3) la actualizacion del Reglamento de Capacitacion de 2011 (D5) e incorporar formacion en Ley Karin, integridad y cambio climatico como areas prioritarias del Plan 2027.</w:t>
            </w:r>
          </w:p>
        </w:tc>
        <w:tc>
          <w:tcPr>
            <w:tcW w:type="dxa" w:w="449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DA - Estrategia de supervivencia: Disenar un Reglamento de Gestion Institucional que institucionalice los procesos mas alla de los ciclos politicos (D4+D6 vs. A4): los indicadores del PLADECO deben ser reportados al Concejo y publicados en Transparencia Activa, generando una presion publica de rendicion de cuentas que trascienda las personas. // Crear un fondo de contingencia presupuestaria (D1+D6 vs. A3) que garantice la continuidad operativa de los instrumentos de gestion ante variaciones del FCM.</w:t>
            </w:r>
          </w:p>
        </w:tc>
      </w:tr>
    </w:tbl>
    <w:p>
      <w:pPr>
        <w:spacing w:after="0" w:before="0"/>
      </w:pPr>
      <w:r>
        <w:rPr>
          <w:sz w:val="10"/>
          <w:szCs w:val="10"/>
        </w:rPr>
        <w:t xml:space="preserve"/>
      </w:r>
    </w:p>
    <w:p>
      <w:pPr>
        <w:spacing w:after="140" w:before="80" w:line="288"/>
        <w:jc w:val="both"/>
      </w:pPr>
      <w:r>
        <w:rPr>
          <w:rFonts w:ascii="Calibri" w:cs="Calibri" w:eastAsia="Calibri" w:hAnsi="Calibri"/>
          <w:b w:val="false"/>
          <w:bCs w:val="false"/>
          <w:i w:val="false"/>
          <w:iCs w:val="false"/>
          <w:color w:val="000000"/>
          <w:sz w:val="22"/>
          <w:szCs w:val="22"/>
        </w:rPr>
        <w:t xml:space="preserve">Las estrategias FO (ofensivas) representan la agenda de crecimiento del municipio: aprovechar sus activos diferenciadores para explotar las oportunidades del contexto. Las estrategias FA (defensivas) priorizan la proteccion de los activos ante las amenazas mas inminentes. Las estrategias DO (correctivas) atacan las brechas internas usando los recursos disponibles. Las estrategias DA (de supervivencia) son la respuesta ante la combinacion mas desfavorable: debilidades propias amplifican el impacto de amenazas externas. El PLADECO 2025-2035 debe contemplar las cuatro lineas estrategicas en su diseno, priorizando DO y FA en el corto plazo (0-12 meses) y FO en el mediano y largo plazo.</w:t>
      </w:r>
    </w:p>
    <w:p>
      <w:r>
        <w:br w:type="page"/>
      </w:r>
    </w:p>
    <w:p>
      <w:pPr>
        <w:pStyle w:val="Heading1"/>
        <w:pBdr>
          <w:bottom w:val="single" w:color="2E5FA3" w:sz="10" w:space="4"/>
        </w:pBdr>
        <w:spacing w:after="60" w:before="300"/>
      </w:pPr>
      <w:r>
        <w:rPr>
          <w:rFonts w:ascii="Calibri" w:cs="Calibri" w:eastAsia="Calibri" w:hAnsi="Calibri"/>
          <w:b/>
          <w:bCs/>
          <w:color w:val="1F3864"/>
          <w:sz w:val="26"/>
          <w:szCs w:val="26"/>
        </w:rPr>
        <w:t xml:space="preserve">SECCION X: </w:t>
      </w:r>
      <w:r>
        <w:rPr>
          <w:rFonts w:ascii="Calibri" w:cs="Calibri" w:eastAsia="Calibri" w:hAnsi="Calibri"/>
          <w:b/>
          <w:bCs/>
          <w:color w:val="1F3864"/>
          <w:sz w:val="26"/>
          <w:szCs w:val="26"/>
        </w:rPr>
        <w:t xml:space="preserve">BRECHAS CRITICAS Y PRIORIZACION</w:t>
      </w:r>
      <w:r>
        <w:rPr>
          <w:rFonts w:ascii="Calibri" w:cs="Calibri" w:eastAsia="Calibri" w:hAnsi="Calibri"/>
          <w:color w:val="2E5FA3"/>
          <w:sz w:val="20"/>
          <w:szCs w:val="20"/>
        </w:rPr>
        <w:t xml:space="preserve">  -  Del diagnostico a la accion: 10 brechas con base normativa</w:t>
      </w:r>
    </w:p>
    <w:p>
      <w:pPr>
        <w:spacing w:after="0" w:before="0"/>
      </w:pPr>
      <w:r>
        <w:rPr>
          <w:sz w:val="10"/>
          <w:szCs w:val="10"/>
        </w:rPr>
        <w:t xml:space="preserve"/>
      </w:r>
    </w:p>
    <w:p>
      <w:pPr>
        <w:spacing w:after="140" w:before="80" w:line="288"/>
        <w:jc w:val="both"/>
      </w:pPr>
      <w:r>
        <w:rPr>
          <w:rFonts w:ascii="Calibri" w:cs="Calibri" w:eastAsia="Calibri" w:hAnsi="Calibri"/>
          <w:b w:val="false"/>
          <w:bCs w:val="false"/>
          <w:i w:val="false"/>
          <w:iCs w:val="false"/>
          <w:color w:val="000000"/>
          <w:sz w:val="22"/>
          <w:szCs w:val="22"/>
        </w:rPr>
        <w:t xml:space="preserve">Las brechas que se presentan a continuacion han sido priorizadas segun tres criterios: urgencia legal (existencia de obligaciones formales con sanciones vigentes), impacto sobre la legitimidad del PLADECO (brechas que comprometen la capacidad de implementacion o la confianza ciudadana) y viabilidad de cierre en el horizonte del Plan. No se trata de una lista exhaustiva sino de las diez brechas cuyo cierre genera el mayor retorno institucional.</w:t>
      </w:r>
    </w:p>
    <w:p>
      <w:pPr>
        <w:spacing w:after="0" w:before="0"/>
      </w:pPr>
      <w:r>
        <w:rPr>
          <w:sz w:val="10"/>
          <w:szCs w:val="10"/>
        </w:rPr>
        <w:t xml:space="preserve"/>
      </w:r>
    </w:p>
    <w:p>
      <w:pPr>
        <w:spacing w:after="60" w:before="160"/>
        <w:jc w:val="center"/>
      </w:pPr>
      <w:r>
        <w:rPr>
          <w:rFonts w:ascii="Calibri" w:cs="Calibri" w:eastAsia="Calibri" w:hAnsi="Calibri"/>
          <w:b/>
          <w:bCs/>
          <w:i/>
          <w:iCs/>
          <w:color w:val="2E5FA3"/>
          <w:sz w:val="20"/>
          <w:szCs w:val="20"/>
        </w:rPr>
        <w:t xml:space="preserve">Tabla 8. Las 10 brechas criticas: priorizacion, base normativa y vinculacion al PLADECO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1980"/>
        <w:gridCol w:w="1000"/>
        <w:gridCol w:w="860"/>
        <w:gridCol w:w="3480"/>
      </w:tblGrid>
      <w:tr>
        <w:tc>
          <w:tcPr>
            <w:tcW w:type="dxa" w:w="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N</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Brecha critica</w:t>
            </w:r>
          </w:p>
        </w:tc>
        <w:tc>
          <w:tcPr>
            <w:tcW w:type="dxa" w:w="19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Base normativa</w:t>
            </w:r>
          </w:p>
        </w:tc>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Nivel riesgo</w:t>
            </w:r>
          </w:p>
        </w:tc>
        <w:tc>
          <w:tcPr>
            <w:tcW w:type="dxa" w:w="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Horizonte</w:t>
            </w:r>
          </w:p>
        </w:tc>
        <w:tc>
          <w:tcPr>
            <w:tcW w:type="dxa" w:w="3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Articulacion con eje PLADECO</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C00000"/>
                <w:sz w:val="18"/>
                <w:szCs w:val="18"/>
              </w:rPr>
              <w:t xml:space="preserve">1</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Protocolo de Acoso no actualizado a Ley Karin: 6 de 9 obligaciones incumplidas</w:t>
            </w:r>
          </w:p>
        </w:tc>
        <w:tc>
          <w:tcPr>
            <w:tcW w:type="dxa" w:w="19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Ley N 21.643 (vigente 01/08/2024); dictamenes CGR E516610/2024, E30538/2025</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C00000"/>
                <w:sz w:val="18"/>
                <w:szCs w:val="18"/>
              </w:rPr>
              <w:t xml:space="preserve">CRITICO</w:t>
            </w:r>
          </w:p>
        </w:tc>
        <w:tc>
          <w:tcPr>
            <w:tcW w:type="dxa" w:w="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H1 (0-3 m)</w:t>
            </w:r>
          </w:p>
        </w:tc>
        <w:tc>
          <w:tcPr>
            <w:tcW w:type="dxa" w:w="34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Eje Gobernanza: politica de integridad laboral; Eje RRHH: derechos y bienestar de funcionarios</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C00000"/>
                <w:sz w:val="18"/>
                <w:szCs w:val="18"/>
              </w:rPr>
              <w:t xml:space="preserve">2</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Codigo de Etica inexistente: componente minimo autoimpuesto por la Politica de Integridad</w:t>
            </w:r>
          </w:p>
        </w:tc>
        <w:tc>
          <w:tcPr>
            <w:tcW w:type="dxa" w:w="19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Dec. N 1416/(MD), 12/09/2023 (autoimpuesto); Ley 18.575 probidad</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C00000"/>
                <w:sz w:val="18"/>
                <w:szCs w:val="18"/>
              </w:rPr>
              <w:t xml:space="preserve">CRITICO</w:t>
            </w:r>
          </w:p>
        </w:tc>
        <w:tc>
          <w:tcPr>
            <w:tcW w:type="dxa" w:w="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H1 (0-3 m)</w:t>
            </w:r>
          </w:p>
        </w:tc>
        <w:tc>
          <w:tcPr>
            <w:tcW w:type="dxa" w:w="3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Eje Gobernanza: refuerza credibilidad de todo el sistema institucional del PLADECO</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3</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Sin sistema de monitoreo y evaluacion de la gestion municipal</w:t>
            </w:r>
          </w:p>
        </w:tc>
        <w:tc>
          <w:tcPr>
            <w:tcW w:type="dxa" w:w="19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Art. 7 Ley 18.695; principio de eficiencia Ley 18.575</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Alta</w:t>
            </w:r>
          </w:p>
        </w:tc>
        <w:tc>
          <w:tcPr>
            <w:tcW w:type="dxa" w:w="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H1 (3-6 m)</w:t>
            </w:r>
          </w:p>
        </w:tc>
        <w:tc>
          <w:tcPr>
            <w:tcW w:type="dxa" w:w="34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Todos los ejes: es la condicion tecnica para medir el avance del PLADECO; sin esto, el Plan es declarativo</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Desarticulacion entre los 12 instrumentos de gestion: ausencia de coherencia sistematica</w:t>
            </w:r>
          </w:p>
        </w:tc>
        <w:tc>
          <w:tcPr>
            <w:tcW w:type="dxa" w:w="19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Principio de coordinacion Ley 18.575; Art. 6 Ley 18.695</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Alta</w:t>
            </w:r>
          </w:p>
        </w:tc>
        <w:tc>
          <w:tcPr>
            <w:tcW w:type="dxa" w:w="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H1 (3-6 m)</w:t>
            </w:r>
          </w:p>
        </w:tc>
        <w:tc>
          <w:tcPr>
            <w:tcW w:type="dxa" w:w="3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Eje de Gestion: arquitectura institucional del PLADECO; requiere un Marco de Gestion Integrada</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5</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COSOC inoperativo: ausencia de mecanismo formal de participacion ciudadana</w:t>
            </w:r>
          </w:p>
        </w:tc>
        <w:tc>
          <w:tcPr>
            <w:tcW w:type="dxa" w:w="19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Ley 20.500 Art. 94; Art. 7 Ley 18.695 (elaboracion PLADECO)</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Alta</w:t>
            </w:r>
          </w:p>
        </w:tc>
        <w:tc>
          <w:tcPr>
            <w:tcW w:type="dxa" w:w="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H1 (0-6 m)</w:t>
            </w:r>
          </w:p>
        </w:tc>
        <w:tc>
          <w:tcPr>
            <w:tcW w:type="dxa" w:w="34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Eje Participacion: sin COSOC el PLADECO carece de legitimidad participativa; riesgo de impugnacion</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PACCC sin articulacion presupuestaria ni vinculacion al PLADECO</w:t>
            </w:r>
          </w:p>
        </w:tc>
        <w:tc>
          <w:tcPr>
            <w:tcW w:type="dxa" w:w="19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Ley N 21.455 Art. 9; Ley 21.807 (coherencia PLADECO-PRC)</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AA5500"/>
                <w:sz w:val="18"/>
                <w:szCs w:val="18"/>
              </w:rPr>
              <w:t xml:space="preserve">Alta</w:t>
            </w:r>
          </w:p>
        </w:tc>
        <w:tc>
          <w:tcPr>
            <w:tcW w:type="dxa" w:w="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H2 (6-12 m)</w:t>
            </w:r>
          </w:p>
        </w:tc>
        <w:tc>
          <w:tcPr>
            <w:tcW w:type="dxa" w:w="3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Eje Territorial: articular 6 amenazas climaticas con OE del PLADECO; ventaja competitiva aprovechable</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7</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Plan de Capacitacion sin diagnostico de brechas de competencias como base</w:t>
            </w:r>
          </w:p>
        </w:tc>
        <w:tc>
          <w:tcPr>
            <w:tcW w:type="dxa" w:w="19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Ley 20.742; buenas practicas Servicio Civil</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Media</w:t>
            </w:r>
          </w:p>
        </w:tc>
        <w:tc>
          <w:tcPr>
            <w:tcW w:type="dxa" w:w="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H2 (6-12 m)</w:t>
            </w:r>
          </w:p>
        </w:tc>
        <w:tc>
          <w:tcPr>
            <w:tcW w:type="dxa" w:w="34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Eje Capital Humano: calidad de la dotacion es factor de capacidad de ejecucion del PLADECO</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8</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Reglamento de Capacitacion obsoleto (Dec. 0626/2011, 14 anos)</w:t>
            </w:r>
          </w:p>
        </w:tc>
        <w:tc>
          <w:tcPr>
            <w:tcW w:type="dxa" w:w="19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Ley 20.742; Ley 21.643; normativa Servicio Civil vigente</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Media</w:t>
            </w:r>
          </w:p>
        </w:tc>
        <w:tc>
          <w:tcPr>
            <w:tcW w:type="dxa" w:w="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H2 (6-12 m)</w:t>
            </w:r>
          </w:p>
        </w:tc>
        <w:tc>
          <w:tcPr>
            <w:tcW w:type="dxa" w:w="3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Eje Capital Humano: marco normativo inadecuado para las obligaciones de 2024-2026</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9</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Sin indicadores de ejecucion del Plan de Compras: ausencia de linea base</w:t>
            </w:r>
          </w:p>
        </w:tc>
        <w:tc>
          <w:tcPr>
            <w:tcW w:type="dxa" w:w="19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Art. 14 D.S. N 661/2024; principios Ley 19.886</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Media</w:t>
            </w:r>
          </w:p>
        </w:tc>
        <w:tc>
          <w:tcPr>
            <w:tcW w:type="dxa" w:w="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H2 (6-12 m)</w:t>
            </w:r>
          </w:p>
        </w:tc>
        <w:tc>
          <w:tcPr>
            <w:tcW w:type="dxa" w:w="34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Eje Gestion Financiera: sin tasa de ejecucion historica, las proyecciones del PLADECO carecen de sustento</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10</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Convenio CGR sin acta de cierre formal segun Clausula 3d del propio convenio</w:t>
            </w:r>
          </w:p>
        </w:tc>
        <w:tc>
          <w:tcPr>
            <w:tcW w:type="dxa" w:w="19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Dec. N 1064/(MD), Clausula 3d</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Baja</w:t>
            </w:r>
          </w:p>
        </w:tc>
        <w:tc>
          <w:tcPr>
            <w:tcW w:type="dxa" w:w="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val="false"/>
                <w:bCs w:val="false"/>
                <w:i w:val="false"/>
                <w:iCs w:val="false"/>
                <w:color w:val="000000"/>
                <w:sz w:val="18"/>
                <w:szCs w:val="18"/>
              </w:rPr>
              <w:t xml:space="preserve">H3 (12-24 m)</w:t>
            </w:r>
          </w:p>
        </w:tc>
        <w:tc>
          <w:tcPr>
            <w:tcW w:type="dxa" w:w="3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Eje Gobernanza: cierre formal permite renovacion del convenio para nuevo ciclo de asistencia tecnica</w:t>
            </w:r>
          </w:p>
        </w:tc>
      </w:tr>
    </w:tbl>
    <w:p>
      <w:pPr>
        <w:spacing w:after="0" w:before="0"/>
      </w:pPr>
      <w:r>
        <w:rPr>
          <w:sz w:val="10"/>
          <w:szCs w:val="10"/>
        </w:rPr>
        <w:t xml:space="preserve"/>
      </w:r>
    </w:p>
    <w:p>
      <w:r>
        <w:br w:type="page"/>
      </w:r>
    </w:p>
    <w:p>
      <w:pPr>
        <w:pStyle w:val="Heading1"/>
        <w:pBdr>
          <w:bottom w:val="single" w:color="2E5FA3" w:sz="10" w:space="4"/>
        </w:pBdr>
        <w:spacing w:after="60" w:before="300"/>
      </w:pPr>
      <w:r>
        <w:rPr>
          <w:rFonts w:ascii="Calibri" w:cs="Calibri" w:eastAsia="Calibri" w:hAnsi="Calibri"/>
          <w:b/>
          <w:bCs/>
          <w:color w:val="1F3864"/>
          <w:sz w:val="26"/>
          <w:szCs w:val="26"/>
        </w:rPr>
        <w:t xml:space="preserve">SECCION XI: </w:t>
      </w:r>
      <w:r>
        <w:rPr>
          <w:rFonts w:ascii="Calibri" w:cs="Calibri" w:eastAsia="Calibri" w:hAnsi="Calibri"/>
          <w:b/>
          <w:bCs/>
          <w:color w:val="1F3864"/>
          <w:sz w:val="26"/>
          <w:szCs w:val="26"/>
        </w:rPr>
        <w:t xml:space="preserve">HOJA DE RUTA INSTITUCIONAL</w:t>
      </w:r>
      <w:r>
        <w:rPr>
          <w:rFonts w:ascii="Calibri" w:cs="Calibri" w:eastAsia="Calibri" w:hAnsi="Calibri"/>
          <w:color w:val="2E5FA3"/>
          <w:sz w:val="20"/>
          <w:szCs w:val="20"/>
        </w:rPr>
        <w:t xml:space="preserve">  -  Tres horizontes: 0-6, 6-12 y 12-24 meses</w:t>
      </w:r>
    </w:p>
    <w:p>
      <w:pPr>
        <w:spacing w:after="0" w:before="0"/>
      </w:pPr>
      <w:r>
        <w:rPr>
          <w:sz w:val="10"/>
          <w:szCs w:val="10"/>
        </w:rPr>
        <w:t xml:space="preserve"/>
      </w:r>
    </w:p>
    <w:p>
      <w:pPr>
        <w:spacing w:after="140" w:before="80" w:line="288"/>
        <w:jc w:val="both"/>
      </w:pPr>
      <w:r>
        <w:rPr>
          <w:rFonts w:ascii="Calibri" w:cs="Calibri" w:eastAsia="Calibri" w:hAnsi="Calibri"/>
          <w:b w:val="false"/>
          <w:bCs w:val="false"/>
          <w:i w:val="false"/>
          <w:iCs w:val="false"/>
          <w:color w:val="000000"/>
          <w:sz w:val="22"/>
          <w:szCs w:val="22"/>
        </w:rPr>
        <w:t xml:space="preserve">La hoja de ruta que se presenta traduce el diagnostico en un programa de accion secuenciado, priorizando en el Horizonte 1 (0-6 meses) las acciones con mayor urgencia legal o impacto sobre la legitimidad del PLADECO, en el Horizonte 2 (6-12 meses) las acciones estructurales de mediano plazo, y en el Horizonte 3 (12-24 meses) las acciones de consolidacion e innovacion institucional. Cada accion incluye el responsable sugerido y la fuente de financiamiento identificada.</w:t>
      </w:r>
    </w:p>
    <w:p>
      <w:pPr>
        <w:spacing w:after="0" w:before="0"/>
      </w:pPr>
      <w:r>
        <w:rPr>
          <w:sz w:val="10"/>
          <w:szCs w:val="10"/>
        </w:rPr>
        <w:t xml:space="preserve"/>
      </w:r>
    </w:p>
    <w:p>
      <w:pPr>
        <w:spacing w:after="60" w:before="160"/>
        <w:jc w:val="center"/>
      </w:pPr>
      <w:r>
        <w:rPr>
          <w:rFonts w:ascii="Calibri" w:cs="Calibri" w:eastAsia="Calibri" w:hAnsi="Calibri"/>
          <w:b/>
          <w:bCs/>
          <w:i/>
          <w:iCs/>
          <w:color w:val="2E5FA3"/>
          <w:sz w:val="20"/>
          <w:szCs w:val="20"/>
        </w:rPr>
        <w:t xml:space="preserve">Tabla 9. Hoja de ruta institucional: 18 acciones en 3 horizontes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80"/>
        <w:gridCol w:w="2800"/>
        <w:gridCol w:w="1800"/>
        <w:gridCol w:w="1500"/>
        <w:gridCol w:w="3000"/>
      </w:tblGrid>
      <w:tr>
        <w:tc>
          <w:tcPr>
            <w:tcW w:type="dxa" w:w="9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Horizonte</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Accion especifica</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Responsable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Financiamiento</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Indicador de logro</w:t>
            </w:r>
          </w:p>
        </w:tc>
      </w:tr>
      <w:tr>
        <w:tc>
          <w:tcPr>
            <w:tcW w:type="dxa" w:w="98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H1 (0-3 m)</w:t>
            </w:r>
          </w:p>
        </w:tc>
        <w:tc>
          <w:tcPr>
            <w:tcW w:type="dxa" w:w="2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Actualizar Protocolo de Acoso a Ley Karin (6 brechas)</w:t>
            </w:r>
          </w:p>
        </w:tc>
        <w:tc>
          <w:tcPr>
            <w:tcW w:type="dxa" w:w="1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Asesoria Juridica + DAF/RRHH</w:t>
            </w:r>
          </w:p>
        </w:tc>
        <w:tc>
          <w:tcPr>
            <w:tcW w:type="dxa" w:w="15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Presupuesto municipal operacional</w:t>
            </w:r>
          </w:p>
        </w:tc>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Decreto Alcaldicio aprobado; 0 brechas Karin pendientes</w:t>
            </w:r>
          </w:p>
        </w:tc>
      </w:tr>
      <w:tr>
        <w:tc>
          <w:tcPr>
            <w:tcW w:type="dxa" w:w="98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H1 (0-3 m)</w:t>
            </w:r>
          </w:p>
        </w:tc>
        <w:tc>
          <w:tcPr>
            <w:tcW w:type="dxa" w:w="2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Aprobar Codigo de Etica Municipal mediante Decreto Alcaldicio</w:t>
            </w:r>
          </w:p>
        </w:tc>
        <w:tc>
          <w:tcPr>
            <w:tcW w:type="dxa" w:w="1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Asesoria Juridica + CSI</w:t>
            </w:r>
          </w:p>
        </w:tc>
        <w:tc>
          <w:tcPr>
            <w:tcW w:type="dxa" w:w="15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Presupuesto municipal operacional</w:t>
            </w:r>
          </w:p>
        </w:tc>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Dec. alcaldicio publicado en TA; documento accesible en sitio web</w:t>
            </w:r>
          </w:p>
        </w:tc>
      </w:tr>
      <w:tr>
        <w:tc>
          <w:tcPr>
            <w:tcW w:type="dxa" w:w="98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H1 (0-3 m)</w:t>
            </w:r>
          </w:p>
        </w:tc>
        <w:tc>
          <w:tcPr>
            <w:tcW w:type="dxa" w:w="2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Primera capacitacion obligatoria Ley Karin a toda la dotacion</w:t>
            </w:r>
          </w:p>
        </w:tc>
        <w:tc>
          <w:tcPr>
            <w:tcW w:type="dxa" w:w="1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DAF/RRHH + proveedor SENCE</w:t>
            </w:r>
          </w:p>
        </w:tc>
        <w:tc>
          <w:tcPr>
            <w:tcW w:type="dxa" w:w="15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SUBDERE Fondo Capacitacion</w:t>
            </w:r>
          </w:p>
        </w:tc>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100% del personal con capacitacion acreditada antes del 01/08/2026</w:t>
            </w:r>
          </w:p>
        </w:tc>
      </w:tr>
      <w:tr>
        <w:tc>
          <w:tcPr>
            <w:tcW w:type="dxa" w:w="98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H1 (0-6 m)</w:t>
            </w:r>
          </w:p>
        </w:tc>
        <w:tc>
          <w:tcPr>
            <w:tcW w:type="dxa" w:w="2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Activar COSOC: convocatoria, elecciones y primera sesion formal</w:t>
            </w:r>
          </w:p>
        </w:tc>
        <w:tc>
          <w:tcPr>
            <w:tcW w:type="dxa" w:w="1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DIDECO + Secretaria Municipal</w:t>
            </w:r>
          </w:p>
        </w:tc>
        <w:tc>
          <w:tcPr>
            <w:tcW w:type="dxa" w:w="15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Presupuesto DIDECO</w:t>
            </w:r>
          </w:p>
        </w:tc>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Acta de constitucion COSOC publicada; calendario de sesiones 2026</w:t>
            </w:r>
          </w:p>
        </w:tc>
      </w:tr>
      <w:tr>
        <w:tc>
          <w:tcPr>
            <w:tcW w:type="dxa" w:w="98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H1 (0-6 m)</w:t>
            </w:r>
          </w:p>
        </w:tc>
        <w:tc>
          <w:tcPr>
            <w:tcW w:type="dxa" w:w="2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Convocar primera sesion del Consejo Superior de Integridad</w:t>
            </w:r>
          </w:p>
        </w:tc>
        <w:tc>
          <w:tcPr>
            <w:tcW w:type="dxa" w:w="1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Innovacion y Gestion (coordinador Roldan Grez)</w:t>
            </w:r>
          </w:p>
        </w:tc>
        <w:tc>
          <w:tcPr>
            <w:tcW w:type="dxa" w:w="15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Sin costo adicional (funcionarios internos)</w:t>
            </w:r>
          </w:p>
        </w:tc>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Acta de sesion CSI; agenda trimestral aprobada y publicada</w:t>
            </w:r>
          </w:p>
        </w:tc>
      </w:tr>
      <w:tr>
        <w:tc>
          <w:tcPr>
            <w:tcW w:type="dxa" w:w="98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H1 (3-6 m)</w:t>
            </w:r>
          </w:p>
        </w:tc>
        <w:tc>
          <w:tcPr>
            <w:tcW w:type="dxa" w:w="2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Elaborar diagnostico de brechas de competencias por direccion</w:t>
            </w:r>
          </w:p>
        </w:tc>
        <w:tc>
          <w:tcPr>
            <w:tcW w:type="dxa" w:w="18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DAF/RRHH + Servicio Civil</w:t>
            </w:r>
          </w:p>
        </w:tc>
        <w:tc>
          <w:tcPr>
            <w:tcW w:type="dxa" w:w="15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SUBDERE programa modernizacion</w:t>
            </w:r>
          </w:p>
        </w:tc>
        <w:tc>
          <w:tcPr>
            <w:tcW w:type="dxa" w:w="300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Informe de brechas con mapa por cargo y prioridades de capacitacion</w:t>
            </w:r>
          </w:p>
        </w:tc>
      </w:tr>
      <w:tr>
        <w:tc>
          <w:tcPr>
            <w:tcW w:type="dxa" w:w="98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H2 (6-12 m)</w:t>
            </w:r>
          </w:p>
        </w:tc>
        <w:tc>
          <w:tcPr>
            <w:tcW w:type="dxa" w:w="28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Disenyar tablero de indicadores de gestion institucional</w:t>
            </w:r>
          </w:p>
        </w:tc>
        <w:tc>
          <w:tcPr>
            <w:tcW w:type="dxa" w:w="18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SECPLAN + Control + Innovacion</w:t>
            </w:r>
          </w:p>
        </w:tc>
        <w:tc>
          <w:tcPr>
            <w:tcW w:type="dxa" w:w="15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BID Mejora Municipal o SUBDERE</w:t>
            </w:r>
          </w:p>
        </w:tc>
        <w:tc>
          <w:tcPr>
            <w:tcW w:type="dxa" w:w="30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Tablero operativo; primer reporte trimestral al Concejo en mes 9</w:t>
            </w:r>
          </w:p>
        </w:tc>
      </w:tr>
      <w:tr>
        <w:tc>
          <w:tcPr>
            <w:tcW w:type="dxa" w:w="98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H2 (6-12 m)</w:t>
            </w:r>
          </w:p>
        </w:tc>
        <w:tc>
          <w:tcPr>
            <w:tcW w:type="dxa" w:w="28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Digitalizar canal de denuncias Ley Karin y Sistema Integridad</w:t>
            </w:r>
          </w:p>
        </w:tc>
        <w:tc>
          <w:tcPr>
            <w:tcW w:type="dxa" w:w="18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Innovacion y Gestion</w:t>
            </w:r>
          </w:p>
        </w:tc>
        <w:tc>
          <w:tcPr>
            <w:tcW w:type="dxa" w:w="15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SUBDERE digitalizacion o FNDR</w:t>
            </w:r>
          </w:p>
        </w:tc>
        <w:tc>
          <w:tcPr>
            <w:tcW w:type="dxa" w:w="30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Canal digital activo; protocolo de recepcion en 30 dias publicado en TA</w:t>
            </w:r>
          </w:p>
        </w:tc>
      </w:tr>
      <w:tr>
        <w:tc>
          <w:tcPr>
            <w:tcW w:type="dxa" w:w="98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H2 (6-12 m)</w:t>
            </w:r>
          </w:p>
        </w:tc>
        <w:tc>
          <w:tcPr>
            <w:tcW w:type="dxa" w:w="28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Actualizar Reglamento de Capacitacion (Dec. 0626/2011)</w:t>
            </w:r>
          </w:p>
        </w:tc>
        <w:tc>
          <w:tcPr>
            <w:tcW w:type="dxa" w:w="18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DAF/RRHH + Asesoria Juridica</w:t>
            </w:r>
          </w:p>
        </w:tc>
        <w:tc>
          <w:tcPr>
            <w:tcW w:type="dxa" w:w="15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Presupuesto municipal operacional</w:t>
            </w:r>
          </w:p>
        </w:tc>
        <w:tc>
          <w:tcPr>
            <w:tcW w:type="dxa" w:w="30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Nuevo decreto reglamentario aprobado; incluye competencias digitales y Karin</w:t>
            </w:r>
          </w:p>
        </w:tc>
      </w:tr>
      <w:tr>
        <w:tc>
          <w:tcPr>
            <w:tcW w:type="dxa" w:w="98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H2 (6-12 m)</w:t>
            </w:r>
          </w:p>
        </w:tc>
        <w:tc>
          <w:tcPr>
            <w:tcW w:type="dxa" w:w="28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Articular PACCC con PLADECO: vincular 6 amenazas a OE especificos</w:t>
            </w:r>
          </w:p>
        </w:tc>
        <w:tc>
          <w:tcPr>
            <w:tcW w:type="dxa" w:w="18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SECPLAN + Medio Ambiente</w:t>
            </w:r>
          </w:p>
        </w:tc>
        <w:tc>
          <w:tcPr>
            <w:tcW w:type="dxa" w:w="15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FNDR Region O'Higgins</w:t>
            </w:r>
          </w:p>
        </w:tc>
        <w:tc>
          <w:tcPr>
            <w:tcW w:type="dxa" w:w="30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Capitulo ambiental PLADECO aprobado; al menos 2 OE con medida PACCC</w:t>
            </w:r>
          </w:p>
        </w:tc>
      </w:tr>
      <w:tr>
        <w:tc>
          <w:tcPr>
            <w:tcW w:type="dxa" w:w="98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H2 (6-12 m)</w:t>
            </w:r>
          </w:p>
        </w:tc>
        <w:tc>
          <w:tcPr>
            <w:tcW w:type="dxa" w:w="28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Capacitar al 100% del personal en probidad e integridad</w:t>
            </w:r>
          </w:p>
        </w:tc>
        <w:tc>
          <w:tcPr>
            <w:tcW w:type="dxa" w:w="18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Innovacion y Gestion + Taller AGIL</w:t>
            </w:r>
          </w:p>
        </w:tc>
        <w:tc>
          <w:tcPr>
            <w:tcW w:type="dxa" w:w="15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Renovacion Convenio CGR</w:t>
            </w:r>
          </w:p>
        </w:tc>
        <w:tc>
          <w:tcPr>
            <w:tcW w:type="dxa" w:w="30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Lista de asistencia y evaluacion de conocimientos; reporte al Alcalde</w:t>
            </w:r>
          </w:p>
        </w:tc>
      </w:tr>
      <w:tr>
        <w:tc>
          <w:tcPr>
            <w:tcW w:type="dxa" w:w="98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H2 (6-12 m)</w:t>
            </w:r>
          </w:p>
        </w:tc>
        <w:tc>
          <w:tcPr>
            <w:tcW w:type="dxa" w:w="28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Cerrar formalmente el Convenio CGR (acta de cierre Clausula 3d)</w:t>
            </w:r>
          </w:p>
        </w:tc>
        <w:tc>
          <w:tcPr>
            <w:tcW w:type="dxa" w:w="18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Administrador Municipal (L. Gonzalez)</w:t>
            </w:r>
          </w:p>
        </w:tc>
        <w:tc>
          <w:tcPr>
            <w:tcW w:type="dxa" w:w="15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Sin costo adicional</w:t>
            </w:r>
          </w:p>
        </w:tc>
        <w:tc>
          <w:tcPr>
            <w:tcW w:type="dxa" w:w="30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Acta de cierre firmada por ambas partes; expediente completo en Secretaria Municipal</w:t>
            </w:r>
          </w:p>
        </w:tc>
      </w:tr>
      <w:tr>
        <w:tc>
          <w:tcPr>
            <w:tcW w:type="dxa" w:w="98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H3 (12-18 m)</w:t>
            </w:r>
          </w:p>
        </w:tc>
        <w:tc>
          <w:tcPr>
            <w:tcW w:type="dxa" w:w="28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Publicar primer Informe Anual de Gestion Institucional</w:t>
            </w:r>
          </w:p>
        </w:tc>
        <w:tc>
          <w:tcPr>
            <w:tcW w:type="dxa" w:w="18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Administrador Municipal + Control</w:t>
            </w:r>
          </w:p>
        </w:tc>
        <w:tc>
          <w:tcPr>
            <w:tcW w:type="dxa" w:w="15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Presupuesto municipal</w:t>
            </w:r>
          </w:p>
        </w:tc>
        <w:tc>
          <w:tcPr>
            <w:tcW w:type="dxa" w:w="30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Informe publicado en TA; presentado al Concejo y a la ciudadania</w:t>
            </w:r>
          </w:p>
        </w:tc>
      </w:tr>
      <w:tr>
        <w:tc>
          <w:tcPr>
            <w:tcW w:type="dxa" w:w="98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H3 (12-18 m)</w:t>
            </w:r>
          </w:p>
        </w:tc>
        <w:tc>
          <w:tcPr>
            <w:tcW w:type="dxa" w:w="28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Renovar Convenio CGR para nuevo ciclo 2027-2028</w:t>
            </w:r>
          </w:p>
        </w:tc>
        <w:tc>
          <w:tcPr>
            <w:tcW w:type="dxa" w:w="18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Alcalde + Administrador Municipal</w:t>
            </w:r>
          </w:p>
        </w:tc>
        <w:tc>
          <w:tcPr>
            <w:tcW w:type="dxa" w:w="15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Sin costo institucional</w:t>
            </w:r>
          </w:p>
        </w:tc>
        <w:tc>
          <w:tcPr>
            <w:tcW w:type="dxa" w:w="30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Convenio firmado; plan de trabajo aprobado con metas 2027</w:t>
            </w:r>
          </w:p>
        </w:tc>
      </w:tr>
      <w:tr>
        <w:tc>
          <w:tcPr>
            <w:tcW w:type="dxa" w:w="98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H3 (12-24 m)</w:t>
            </w:r>
          </w:p>
        </w:tc>
        <w:tc>
          <w:tcPr>
            <w:tcW w:type="dxa" w:w="28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Asignar presupuesto para al menos 3 medidas del PACCC</w:t>
            </w:r>
          </w:p>
        </w:tc>
        <w:tc>
          <w:tcPr>
            <w:tcW w:type="dxa" w:w="18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Alcalde + DAF + Concejo Municipal</w:t>
            </w:r>
          </w:p>
        </w:tc>
        <w:tc>
          <w:tcPr>
            <w:tcW w:type="dxa" w:w="15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FNDR + SUBDERE + presupuesto municipal</w:t>
            </w:r>
          </w:p>
        </w:tc>
        <w:tc>
          <w:tcPr>
            <w:tcW w:type="dxa" w:w="30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Dec. presupuestario con partida PACCC aprobado por Concejo</w:t>
            </w:r>
          </w:p>
        </w:tc>
      </w:tr>
      <w:tr>
        <w:tc>
          <w:tcPr>
            <w:tcW w:type="dxa" w:w="98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H3 (12-24 m)</w:t>
            </w:r>
          </w:p>
        </w:tc>
        <w:tc>
          <w:tcPr>
            <w:tcW w:type="dxa" w:w="28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Implementar plataforma informatica Sistema de Integridad</w:t>
            </w:r>
          </w:p>
        </w:tc>
        <w:tc>
          <w:tcPr>
            <w:tcW w:type="dxa" w:w="18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Innovacion y Gestion + externo</w:t>
            </w:r>
          </w:p>
        </w:tc>
        <w:tc>
          <w:tcPr>
            <w:tcW w:type="dxa" w:w="15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SUBDERE o BID Mejora Municipal</w:t>
            </w:r>
          </w:p>
        </w:tc>
        <w:tc>
          <w:tcPr>
            <w:tcW w:type="dxa" w:w="30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Plataforma operativa; modulos activos: integridad, denuncias, compliance</w:t>
            </w:r>
          </w:p>
        </w:tc>
      </w:tr>
      <w:tr>
        <w:tc>
          <w:tcPr>
            <w:tcW w:type="dxa" w:w="98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H3 (18-24 m)</w:t>
            </w:r>
          </w:p>
        </w:tc>
        <w:tc>
          <w:tcPr>
            <w:tcW w:type="dxa" w:w="28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Actualizar Politica de Integridad (bienal segun propio Dec. 1416)</w:t>
            </w:r>
          </w:p>
        </w:tc>
        <w:tc>
          <w:tcPr>
            <w:tcW w:type="dxa" w:w="18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CSI + Asesoria Juridica</w:t>
            </w:r>
          </w:p>
        </w:tc>
        <w:tc>
          <w:tcPr>
            <w:tcW w:type="dxa" w:w="15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Presupuesto municipal</w:t>
            </w:r>
          </w:p>
        </w:tc>
        <w:tc>
          <w:tcPr>
            <w:tcW w:type="dxa" w:w="30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Nueva Politica aprobada con indicadores, Codigo de Etica y mapa de riesgos integrado</w:t>
            </w:r>
          </w:p>
        </w:tc>
      </w:tr>
      <w:tr>
        <w:tc>
          <w:tcPr>
            <w:tcW w:type="dxa" w:w="98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H3 (18-24 m)</w:t>
            </w:r>
          </w:p>
        </w:tc>
        <w:tc>
          <w:tcPr>
            <w:tcW w:type="dxa" w:w="28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Revision integral de ordenanzas municipales para coherencia PLADECO</w:t>
            </w:r>
          </w:p>
        </w:tc>
        <w:tc>
          <w:tcPr>
            <w:tcW w:type="dxa" w:w="18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SECPLAN + Asesoria Juridica</w:t>
            </w:r>
          </w:p>
        </w:tc>
        <w:tc>
          <w:tcPr>
            <w:tcW w:type="dxa" w:w="15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Presupuesto municipal</w:t>
            </w:r>
          </w:p>
        </w:tc>
        <w:tc>
          <w:tcPr>
            <w:tcW w:type="dxa" w:w="30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Inventario de ordenanzas actualizado; al menos 5 revisadas en coherencia con PLADECO</w:t>
            </w:r>
          </w:p>
        </w:tc>
      </w:tr>
    </w:tbl>
    <w:p>
      <w:pPr>
        <w:spacing w:after="0" w:before="0"/>
      </w:pPr>
      <w:r>
        <w:rPr>
          <w:sz w:val="10"/>
          <w:szCs w:val="10"/>
        </w:rPr>
        <w:t xml:space="preserve"/>
      </w:r>
    </w:p>
    <w:p>
      <w:r>
        <w:br w:type="page"/>
      </w:r>
    </w:p>
    <w:p>
      <w:pPr>
        <w:pStyle w:val="Heading1"/>
        <w:pBdr>
          <w:bottom w:val="single" w:color="2E5FA3" w:sz="10" w:space="4"/>
        </w:pBdr>
        <w:spacing w:after="60" w:before="300"/>
      </w:pPr>
      <w:r>
        <w:rPr>
          <w:rFonts w:ascii="Calibri" w:cs="Calibri" w:eastAsia="Calibri" w:hAnsi="Calibri"/>
          <w:b/>
          <w:bCs/>
          <w:color w:val="1F3864"/>
          <w:sz w:val="26"/>
          <w:szCs w:val="26"/>
        </w:rPr>
        <w:t xml:space="preserve">SECCION XII: </w:t>
      </w:r>
      <w:r>
        <w:rPr>
          <w:rFonts w:ascii="Calibri" w:cs="Calibri" w:eastAsia="Calibri" w:hAnsi="Calibri"/>
          <w:b/>
          <w:bCs/>
          <w:color w:val="1F3864"/>
          <w:sz w:val="26"/>
          <w:szCs w:val="26"/>
        </w:rPr>
        <w:t xml:space="preserve">INDICADORES DE SEGUIMIENTO INSTITUCIONAL</w:t>
      </w:r>
      <w:r>
        <w:rPr>
          <w:rFonts w:ascii="Calibri" w:cs="Calibri" w:eastAsia="Calibri" w:hAnsi="Calibri"/>
          <w:color w:val="2E5FA3"/>
          <w:sz w:val="20"/>
          <w:szCs w:val="20"/>
        </w:rPr>
        <w:t xml:space="preserve">  -  14 indicadores con linea base y metas</w:t>
      </w:r>
    </w:p>
    <w:p>
      <w:pPr>
        <w:spacing w:after="0" w:before="0"/>
      </w:pPr>
      <w:r>
        <w:rPr>
          <w:sz w:val="10"/>
          <w:szCs w:val="10"/>
        </w:rPr>
        <w:t xml:space="preserve"/>
      </w:r>
    </w:p>
    <w:p>
      <w:pPr>
        <w:spacing w:after="140" w:before="80" w:line="288"/>
        <w:jc w:val="both"/>
      </w:pPr>
      <w:r>
        <w:rPr>
          <w:rFonts w:ascii="Calibri" w:cs="Calibri" w:eastAsia="Calibri" w:hAnsi="Calibri"/>
          <w:b w:val="false"/>
          <w:bCs w:val="false"/>
          <w:i w:val="false"/>
          <w:iCs w:val="false"/>
          <w:color w:val="000000"/>
          <w:sz w:val="22"/>
          <w:szCs w:val="22"/>
        </w:rPr>
        <w:t xml:space="preserve">Los 14 indicadores propuestos permiten monitorear la transicion institucional del municipio a lo largo del periodo del PLADECO. Para cada indicador se establece la linea base 2026 (situacion actual verificada), la meta al primer ano (2027) y la meta al cuarto ano (2029). Los indicadores han sido calibrados para ser alcanzables con los recursos disponibles, verificables con datos existentes y relevantes para los ejes del PLADECO.</w:t>
      </w:r>
    </w:p>
    <w:p>
      <w:pPr>
        <w:spacing w:after="0" w:before="0"/>
      </w:pPr>
      <w:r>
        <w:rPr>
          <w:sz w:val="10"/>
          <w:szCs w:val="10"/>
        </w:rPr>
        <w:t xml:space="preserve"/>
      </w:r>
    </w:p>
    <w:p>
      <w:pPr>
        <w:spacing w:after="60" w:before="160"/>
        <w:jc w:val="center"/>
      </w:pPr>
      <w:r>
        <w:rPr>
          <w:rFonts w:ascii="Calibri" w:cs="Calibri" w:eastAsia="Calibri" w:hAnsi="Calibri"/>
          <w:b/>
          <w:bCs/>
          <w:i/>
          <w:iCs/>
          <w:color w:val="2E5FA3"/>
          <w:sz w:val="20"/>
          <w:szCs w:val="20"/>
        </w:rPr>
        <w:t xml:space="preserve">Tabla 10. Sistema de indicadores institucionales del PLADECO 2025-2035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
        <w:gridCol w:w="2500"/>
        <w:gridCol w:w="1680"/>
        <w:gridCol w:w="1280"/>
        <w:gridCol w:w="1280"/>
        <w:gridCol w:w="1480"/>
        <w:gridCol w:w="1500"/>
      </w:tblGrid>
      <w:tr>
        <w:tc>
          <w:tcPr>
            <w:tcW w:type="dxa" w:w="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N</w:t>
            </w:r>
          </w:p>
        </w:tc>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Indicador</w:t>
            </w:r>
          </w:p>
        </w:tc>
        <w:tc>
          <w:tcPr>
            <w:tcW w:type="dxa" w:w="1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Linea base 2026</w:t>
            </w:r>
          </w:p>
        </w:tc>
        <w:tc>
          <w:tcPr>
            <w:tcW w:type="dxa" w:w="12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Meta Ano 1 (2027)</w:t>
            </w:r>
          </w:p>
        </w:tc>
        <w:tc>
          <w:tcPr>
            <w:tcW w:type="dxa" w:w="12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Meta Ano 4 (2029)</w:t>
            </w:r>
          </w:p>
        </w:tc>
        <w:tc>
          <w:tcPr>
            <w:tcW w:type="dxa" w:w="1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Fuente de verificacion</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18"/>
                <w:szCs w:val="18"/>
              </w:rPr>
              <w:t xml:space="preserve">Eje PLADECO</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I-1</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Instrumentos en Nivel 3 o superior de madurez institucional</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1 de 12 (8%)</w:t>
            </w:r>
          </w:p>
        </w:tc>
        <w:tc>
          <w:tcPr>
            <w:tcW w:type="dxa" w:w="1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5 de 12 (42%)</w:t>
            </w:r>
          </w:p>
        </w:tc>
        <w:tc>
          <w:tcPr>
            <w:tcW w:type="dxa" w:w="1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9 de 12 (75%)</w:t>
            </w:r>
          </w:p>
        </w:tc>
        <w:tc>
          <w:tcPr>
            <w:tcW w:type="dxa" w:w="14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Informe anual gestion municipal</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Gobernanza / Gestion</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I-2</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Tasa de ejecucion del Plan Anual de Compras</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Sin medicion historica</w:t>
            </w:r>
          </w:p>
        </w:tc>
        <w:tc>
          <w:tcPr>
            <w:tcW w:type="dxa" w:w="1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Mayor o igual 75%</w:t>
            </w:r>
          </w:p>
        </w:tc>
        <w:tc>
          <w:tcPr>
            <w:tcW w:type="dxa" w:w="1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Mayor o igual 90%</w:t>
            </w:r>
          </w:p>
        </w:tc>
        <w:tc>
          <w:tcPr>
            <w:tcW w:type="dxa" w:w="1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SINIM / Mercado Publico</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Gestion Financiera</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I-3</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Porcentaje de funcionarios capacitados en Ley Karin</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0% (sin capacitacion)</w:t>
            </w:r>
          </w:p>
        </w:tc>
        <w:tc>
          <w:tcPr>
            <w:tcW w:type="dxa" w:w="1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100% al 01/08/2026</w:t>
            </w:r>
          </w:p>
        </w:tc>
        <w:tc>
          <w:tcPr>
            <w:tcW w:type="dxa" w:w="1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100% semestral</w:t>
            </w:r>
          </w:p>
        </w:tc>
        <w:tc>
          <w:tcPr>
            <w:tcW w:type="dxa" w:w="14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Registro DAF/RRHH</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Capital Humano / Derechos Lab.</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I-4</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Sesiones del Consejo Superior de Integridad realizadas por ano</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0 sesiones</w:t>
            </w:r>
          </w:p>
        </w:tc>
        <w:tc>
          <w:tcPr>
            <w:tcW w:type="dxa" w:w="1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4 sesiones (trimestral)</w:t>
            </w:r>
          </w:p>
        </w:tc>
        <w:tc>
          <w:tcPr>
            <w:tcW w:type="dxa" w:w="1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4 sesiones con actas publicas</w:t>
            </w:r>
          </w:p>
        </w:tc>
        <w:tc>
          <w:tcPr>
            <w:tcW w:type="dxa" w:w="1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Secretaria Municipal</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Gobernanza / Probidad</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I-5</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Porcentaje de denuncias Karin gestionadas en plazo (30 dias)</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Sin registro activo</w:t>
            </w:r>
          </w:p>
        </w:tc>
        <w:tc>
          <w:tcPr>
            <w:tcW w:type="dxa" w:w="1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100% en plazo</w:t>
            </w:r>
          </w:p>
        </w:tc>
        <w:tc>
          <w:tcPr>
            <w:tcW w:type="dxa" w:w="1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100% en plazo con seguimiento</w:t>
            </w:r>
          </w:p>
        </w:tc>
        <w:tc>
          <w:tcPr>
            <w:tcW w:type="dxa" w:w="14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Registro Secretaria Municipal</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Derechos Laborales</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I-6</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Sesiones del COSOC realizadas por ano</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0 (COSOC inactivo)</w:t>
            </w:r>
          </w:p>
        </w:tc>
        <w:tc>
          <w:tcPr>
            <w:tcW w:type="dxa" w:w="1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Mayor o igual 4</w:t>
            </w:r>
          </w:p>
        </w:tc>
        <w:tc>
          <w:tcPr>
            <w:tcW w:type="dxa" w:w="1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Mayor o igual 6 con actas</w:t>
            </w:r>
          </w:p>
        </w:tc>
        <w:tc>
          <w:tcPr>
            <w:tcW w:type="dxa" w:w="1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DIDECO / Secretaria Municipal</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Participacion Ciudadana</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I-7</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Medidas del PACCC con presupuesto asignado y en ejecucion</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0 medidas</w:t>
            </w:r>
          </w:p>
        </w:tc>
        <w:tc>
          <w:tcPr>
            <w:tcW w:type="dxa" w:w="1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1 medida financiada</w:t>
            </w:r>
          </w:p>
        </w:tc>
        <w:tc>
          <w:tcPr>
            <w:tcW w:type="dxa" w:w="1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3 o mas medidas activas</w:t>
            </w:r>
          </w:p>
        </w:tc>
        <w:tc>
          <w:tcPr>
            <w:tcW w:type="dxa" w:w="14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DAF / SECPLAN</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Territorial / Medioambiente</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I-8</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Instrumentos publicados en Transparencia Activa segun Ley 20.285</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Parcial (faltan 4 items)</w:t>
            </w:r>
          </w:p>
        </w:tc>
        <w:tc>
          <w:tcPr>
            <w:tcW w:type="dxa" w:w="1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100% de instrumentos vigentes</w:t>
            </w:r>
          </w:p>
        </w:tc>
        <w:tc>
          <w:tcPr>
            <w:tcW w:type="dxa" w:w="1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100% actualizado trimestralmente</w:t>
            </w:r>
          </w:p>
        </w:tc>
        <w:tc>
          <w:tcPr>
            <w:tcW w:type="dxa" w:w="1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CPLT / sitio web municipal</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Transparencia</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I-9</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Brechas Ley Karin cerradas (sobre 6 identificadas)</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0 de 6</w:t>
            </w:r>
          </w:p>
        </w:tc>
        <w:tc>
          <w:tcPr>
            <w:tcW w:type="dxa" w:w="1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6 de 6 (cierre total)</w:t>
            </w:r>
          </w:p>
        </w:tc>
        <w:tc>
          <w:tcPr>
            <w:tcW w:type="dxa" w:w="1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Protocolo Karin 2da version</w:t>
            </w:r>
          </w:p>
        </w:tc>
        <w:tc>
          <w:tcPr>
            <w:tcW w:type="dxa" w:w="14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Asesoria Juridica</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Derechos Laborales</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I-10</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Porcentaje de ejecucion del Plan de Capacitacion</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Sin medicion</w:t>
            </w:r>
          </w:p>
        </w:tc>
        <w:tc>
          <w:tcPr>
            <w:tcW w:type="dxa" w:w="1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Mayor o igual 80%</w:t>
            </w:r>
          </w:p>
        </w:tc>
        <w:tc>
          <w:tcPr>
            <w:tcW w:type="dxa" w:w="1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Mayor o igual 90%</w:t>
            </w:r>
          </w:p>
        </w:tc>
        <w:tc>
          <w:tcPr>
            <w:tcW w:type="dxa" w:w="1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Informe anual DAF/RRHH</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Capital Humano</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I-11</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Auditorias internas de gestion realizadas por ano</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0 (auditoria externa en curso)</w:t>
            </w:r>
          </w:p>
        </w:tc>
        <w:tc>
          <w:tcPr>
            <w:tcW w:type="dxa" w:w="1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1 auditoria interna</w:t>
            </w:r>
          </w:p>
        </w:tc>
        <w:tc>
          <w:tcPr>
            <w:tcW w:type="dxa" w:w="1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2 auditorias (semestral)</w:t>
            </w:r>
          </w:p>
        </w:tc>
        <w:tc>
          <w:tcPr>
            <w:tcW w:type="dxa" w:w="14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Departamento de Control</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Gestion / Probidad</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I-12</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Posicion regional en IIGAM (Indice Institucionalizacion Gestion Municipal)</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15/33 en Region O'Higgins</w:t>
            </w:r>
          </w:p>
        </w:tc>
        <w:tc>
          <w:tcPr>
            <w:tcW w:type="dxa" w:w="1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Menor o igual 10/33</w:t>
            </w:r>
          </w:p>
        </w:tc>
        <w:tc>
          <w:tcPr>
            <w:tcW w:type="dxa" w:w="1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Menor o igual 7/33</w:t>
            </w:r>
          </w:p>
        </w:tc>
        <w:tc>
          <w:tcPr>
            <w:tcW w:type="dxa" w:w="1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IIGAM / CGR anual</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Gestion Institucional</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I-13</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Incidentes formalizados Ley Karin con resolucion documentada</w:t>
            </w:r>
          </w:p>
        </w:tc>
        <w:tc>
          <w:tcPr>
            <w:tcW w:type="dxa" w:w="1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Sin registro activo</w:t>
            </w:r>
          </w:p>
        </w:tc>
        <w:tc>
          <w:tcPr>
            <w:tcW w:type="dxa" w:w="1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Registro activo desde H1</w:t>
            </w:r>
          </w:p>
        </w:tc>
        <w:tc>
          <w:tcPr>
            <w:tcW w:type="dxa" w:w="1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Tasa decreciente con seguimiento</w:t>
            </w:r>
          </w:p>
        </w:tc>
        <w:tc>
          <w:tcPr>
            <w:tcW w:type="dxa" w:w="14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DAF/RRHH + Asesoria Juridica</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Derechos Laborales</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000000"/>
                <w:sz w:val="18"/>
                <w:szCs w:val="18"/>
              </w:rPr>
              <w:t xml:space="preserve">I-14</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bCs/>
                <w:i w:val="false"/>
                <w:iCs w:val="false"/>
                <w:color w:val="000000"/>
                <w:sz w:val="18"/>
                <w:szCs w:val="18"/>
              </w:rPr>
              <w:t xml:space="preserve">Satisfaccion ciudadana con la gestion municipal (encuesta PLADECO)</w:t>
            </w:r>
          </w:p>
        </w:tc>
        <w:tc>
          <w:tcPr>
            <w:tcW w:type="dxa" w:w="1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Sin medicion de linea base</w:t>
            </w:r>
          </w:p>
        </w:tc>
        <w:tc>
          <w:tcPr>
            <w:tcW w:type="dxa" w:w="1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2E5FA3"/>
                <w:sz w:val="18"/>
                <w:szCs w:val="18"/>
              </w:rPr>
              <w:t xml:space="preserve">Primera medicion realizada</w:t>
            </w:r>
          </w:p>
        </w:tc>
        <w:tc>
          <w:tcPr>
            <w:tcW w:type="dxa" w:w="1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center"/>
            </w:pPr>
            <w:r>
              <w:rPr>
                <w:rFonts w:ascii="Calibri" w:cs="Calibri" w:eastAsia="Calibri" w:hAnsi="Calibri"/>
                <w:b/>
                <w:bCs/>
                <w:i w:val="false"/>
                <w:iCs w:val="false"/>
                <w:color w:val="375623"/>
                <w:sz w:val="18"/>
                <w:szCs w:val="18"/>
              </w:rPr>
              <w:t xml:space="preserve">Mayor o igual 65% satisfaccion</w:t>
            </w:r>
          </w:p>
        </w:tc>
        <w:tc>
          <w:tcPr>
            <w:tcW w:type="dxa" w:w="1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SECPLAN / Encuesta comunal</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before="0"/>
              <w:jc w:val="left"/>
            </w:pPr>
            <w:r>
              <w:rPr>
                <w:rFonts w:ascii="Calibri" w:cs="Calibri" w:eastAsia="Calibri" w:hAnsi="Calibri"/>
                <w:b w:val="false"/>
                <w:bCs w:val="false"/>
                <w:i w:val="false"/>
                <w:iCs w:val="false"/>
                <w:color w:val="000000"/>
                <w:sz w:val="18"/>
                <w:szCs w:val="18"/>
              </w:rPr>
              <w:t xml:space="preserve">Participacion / Gobernanza</w:t>
            </w:r>
          </w:p>
        </w:tc>
      </w:tr>
    </w:tbl>
    <w:p>
      <w:pPr>
        <w:spacing w:after="0" w:before="0"/>
      </w:pPr>
      <w:r>
        <w:rPr>
          <w:sz w:val="10"/>
          <w:szCs w:val="10"/>
        </w:rPr>
        <w:t xml:space="preserve"/>
      </w:r>
    </w:p>
    <w:p>
      <w:r>
        <w:br w:type="page"/>
      </w:r>
    </w:p>
    <w:p>
      <w:pPr>
        <w:pStyle w:val="Heading1"/>
        <w:pBdr>
          <w:bottom w:val="single" w:color="2E5FA3" w:sz="10" w:space="4"/>
        </w:pBdr>
        <w:spacing w:after="60" w:before="300"/>
      </w:pPr>
      <w:r>
        <w:rPr>
          <w:rFonts w:ascii="Calibri" w:cs="Calibri" w:eastAsia="Calibri" w:hAnsi="Calibri"/>
          <w:b/>
          <w:bCs/>
          <w:color w:val="1F3864"/>
          <w:sz w:val="26"/>
          <w:szCs w:val="26"/>
        </w:rPr>
        <w:t xml:space="preserve">SECCION XIII: </w:t>
      </w:r>
      <w:r>
        <w:rPr>
          <w:rFonts w:ascii="Calibri" w:cs="Calibri" w:eastAsia="Calibri" w:hAnsi="Calibri"/>
          <w:b/>
          <w:bCs/>
          <w:color w:val="1F3864"/>
          <w:sz w:val="26"/>
          <w:szCs w:val="26"/>
        </w:rPr>
        <w:t xml:space="preserve">CONCLUSIONES ESTRATEGICAS</w:t>
      </w:r>
      <w:r>
        <w:rPr>
          <w:rFonts w:ascii="Calibri" w:cs="Calibri" w:eastAsia="Calibri" w:hAnsi="Calibri"/>
          <w:color w:val="2E5FA3"/>
          <w:sz w:val="20"/>
          <w:szCs w:val="20"/>
        </w:rPr>
        <w:t xml:space="preserve">  -  Tres tesis sobre la institucionalidad municipal de Rengo</w:t>
      </w:r>
    </w:p>
    <w:p>
      <w:pPr>
        <w:spacing w:after="0" w:before="0"/>
      </w:pPr>
      <w:r>
        <w:rPr>
          <w:sz w:val="10"/>
          <w:szCs w:val="10"/>
        </w:rPr>
        <w:t xml:space="preserve"/>
      </w:r>
    </w:p>
    <w:p>
      <w:pPr>
        <w:pStyle w:val="Heading2"/>
        <w:spacing w:after="60" w:before="200"/>
      </w:pPr>
      <w:r>
        <w:rPr>
          <w:rFonts w:ascii="Calibri" w:cs="Calibri" w:eastAsia="Calibri" w:hAnsi="Calibri"/>
          <w:b/>
          <w:bCs/>
          <w:color w:val="2E5FA3"/>
          <w:sz w:val="23"/>
          <w:szCs w:val="23"/>
        </w:rPr>
        <w:t xml:space="preserve">13.1 Primera tesis: La formalidad institucional no es suficiente</w:t>
      </w:r>
    </w:p>
    <w:p>
      <w:pPr>
        <w:pBdr>
          <w:left w:val="single" w:color="1F3864" w:sz="16" w:space="12"/>
        </w:pBdr>
        <w:shd w:fill="D5E8F0" w:val="clear"/>
        <w:spacing w:after="140" w:before="140" w:line="288"/>
        <w:ind w:left="400" w:right="200"/>
        <w:jc w:val="both"/>
      </w:pPr>
      <w:r>
        <w:rPr>
          <w:rFonts w:ascii="Calibri" w:cs="Calibri" w:eastAsia="Calibri" w:hAnsi="Calibri"/>
          <w:i/>
          <w:iCs/>
          <w:color w:val="1A1A1A"/>
          <w:sz w:val="21"/>
          <w:szCs w:val="21"/>
        </w:rPr>
        <w:t xml:space="preserve">El municipio de Rengo ha completado la fase de formalización: tiene Politica de Integridad, Protocolo de Acoso, Plan de Compras, Presupuesto, Plan de Capacitacion y PACCC vigentes. Pero ninguno de estos instrumentos opera en su potencial pleno: el 50% de las dimensiones evaluadas se ubica en Nivel 2, el unico nivel donde existe decreto sin implementacion verificable. Esto no es una critica a la voluntad politica; es una descripcion de una trampa institucional comun en municipios de tamano medio que deben administrar muchas obligaciones con equipos tecnicos limitados.</w:t>
      </w:r>
    </w:p>
    <w:p>
      <w:pPr>
        <w:spacing w:after="140" w:before="80" w:line="288"/>
        <w:jc w:val="both"/>
      </w:pPr>
      <w:r>
        <w:rPr>
          <w:rFonts w:ascii="Calibri" w:cs="Calibri" w:eastAsia="Calibri" w:hAnsi="Calibri"/>
          <w:b w:val="false"/>
          <w:bCs w:val="false"/>
          <w:i w:val="false"/>
          <w:iCs w:val="false"/>
          <w:color w:val="000000"/>
          <w:sz w:val="22"/>
          <w:szCs w:val="22"/>
        </w:rPr>
        <w:t xml:space="preserve">La evidencia de esta tesis es contundente: la Politica de Integridad existe desde 2023 pero el Codigo de Etica —su componente minimo autoimpuesto— no ha sido aprobado. El Protocolo de Acoso es tecnicamente solido pero no fue actualizado en 11 meses desde la entrada en vigor de la Ley Karin. El Plan de Capacitacion tiene respaldo unanime del Concejo pero no incluye formacion en las materias legalmente obligatorias. El PACCC es el mejor posicionado del pais pero no tiene presupuesto para ejecutar ninguna de sus medidas. En todos los casos, el diagnostico es el mismo: la inversion en producir el instrumento no fue seguida de la inversion en hacerlo funcionar.</w:t>
      </w:r>
    </w:p>
    <w:p>
      <w:pPr>
        <w:pStyle w:val="Heading2"/>
        <w:spacing w:after="60" w:before="200"/>
      </w:pPr>
      <w:r>
        <w:rPr>
          <w:rFonts w:ascii="Calibri" w:cs="Calibri" w:eastAsia="Calibri" w:hAnsi="Calibri"/>
          <w:b/>
          <w:bCs/>
          <w:color w:val="2E5FA3"/>
          <w:sz w:val="23"/>
          <w:szCs w:val="23"/>
        </w:rPr>
        <w:t xml:space="preserve">13.2 Segunda tesis: Los riesgos son inmediatos, cuantificables y evitables</w:t>
      </w:r>
    </w:p>
    <w:p>
      <w:pPr>
        <w:pBdr>
          <w:left w:val="single" w:color="C00000" w:sz="16" w:space="12"/>
        </w:pBdr>
        <w:shd w:fill="FFCCCC" w:val="clear"/>
        <w:spacing w:after="140" w:before="140" w:line="288"/>
        <w:ind w:left="400" w:right="200"/>
        <w:jc w:val="both"/>
      </w:pPr>
      <w:r>
        <w:rPr>
          <w:rFonts w:ascii="Calibri" w:cs="Calibri" w:eastAsia="Calibri" w:hAnsi="Calibri"/>
          <w:i/>
          <w:iCs/>
          <w:color w:val="1A1A1A"/>
          <w:sz w:val="21"/>
          <w:szCs w:val="21"/>
        </w:rPr>
        <w:t xml:space="preserve">Los riesgos legales identificados en este analisis no son hipoteticos ni de largo plazo: la Ley Karin es exigible desde el 1 de agosto de 2024 y el municipio tiene 6 brechas activas. El caso CIC N 20 de la Contraloria (marzo 2026) es una amenaza reputacional concreta que ya se materializo. La auditoria financiera activa desde febrero de 2026 puede revelar pasivos adicionales. Cada mes de demora en cerrar estas brechas aumenta la exposicion legal sin aumentar los costos de correccion.</w:t>
      </w:r>
    </w:p>
    <w:p>
      <w:pPr>
        <w:spacing w:after="140" w:before="80" w:line="288"/>
        <w:jc w:val="both"/>
      </w:pPr>
      <w:r>
        <w:rPr>
          <w:rFonts w:ascii="Calibri" w:cs="Calibri" w:eastAsia="Calibri" w:hAnsi="Calibri"/>
          <w:b w:val="false"/>
          <w:bCs w:val="false"/>
          <w:i w:val="false"/>
          <w:iCs w:val="false"/>
          <w:color w:val="000000"/>
          <w:sz w:val="22"/>
          <w:szCs w:val="22"/>
        </w:rPr>
        <w:t xml:space="preserve">El cuadro de riesgos cuantificados es el siguiente: incumplimiento Ley Karin puede generar multas de hasta 100 UTM de la Contraloria y responsabilidad civil sin tope; ausencia de COSOC expone el PLADECO a impugnaciones de legitimidad que podrian paralizar su implementacion; dependencia del FCM (55,8% de ingresos) ante variaciones presupuestarias del nivel central puede comprometer la ejecucion de iniciativas clave; la desarticulacion entre instrumentos genera ineficiencias que la auditoria financiera en curso probablemente evidenciara. La buena noticia es que todos estos riesgos son evitables con acciones tecnicas de costo marginal, descritas en la Hoja de Ruta de la Seccion XI.</w:t>
      </w:r>
    </w:p>
    <w:p>
      <w:pPr>
        <w:pStyle w:val="Heading2"/>
        <w:spacing w:after="60" w:before="200"/>
      </w:pPr>
      <w:r>
        <w:rPr>
          <w:rFonts w:ascii="Calibri" w:cs="Calibri" w:eastAsia="Calibri" w:hAnsi="Calibri"/>
          <w:b/>
          <w:bCs/>
          <w:color w:val="2E5FA3"/>
          <w:sz w:val="23"/>
          <w:szCs w:val="23"/>
        </w:rPr>
        <w:t xml:space="preserve">13.3 Tercera tesis: El PLADECO es la ventana historica para la transicion institucional</w:t>
      </w:r>
    </w:p>
    <w:p>
      <w:pPr>
        <w:pBdr>
          <w:left w:val="single" w:color="375623" w:sz="16" w:space="12"/>
        </w:pBdr>
        <w:shd w:fill="E2EFDA" w:val="clear"/>
        <w:spacing w:after="140" w:before="140" w:line="288"/>
        <w:ind w:left="400" w:right="200"/>
        <w:jc w:val="both"/>
      </w:pPr>
      <w:r>
        <w:rPr>
          <w:rFonts w:ascii="Calibri" w:cs="Calibri" w:eastAsia="Calibri" w:hAnsi="Calibri"/>
          <w:i/>
          <w:iCs/>
          <w:color w:val="1A1A1A"/>
          <w:sz w:val="21"/>
          <w:szCs w:val="21"/>
        </w:rPr>
        <w:t xml:space="preserve">El PLADECO 2025-2035 tiene la oportunidad —que no se repetira en 10 anos— de ser el instrumento articulador que active la transicion del Nivel 2 al Nivel 3 en la mayoria de las dimensiones institucionales del municipio. Para lograrlo, no basta con incluir metas en los ejes tematicos: el propio diseno del proceso de planificacion debe incorporar los mecanismos de gestion que garantizan la implementacion. Dicho de otra manera, el PLADECO debe planificar no solo 'que' hacer sino 'como' asegurar que lo planeado se ejecute.</w:t>
      </w:r>
    </w:p>
    <w:p>
      <w:pPr>
        <w:spacing w:after="140" w:before="80" w:line="288"/>
        <w:jc w:val="both"/>
      </w:pPr>
      <w:r>
        <w:rPr>
          <w:rFonts w:ascii="Calibri" w:cs="Calibri" w:eastAsia="Calibri" w:hAnsi="Calibri"/>
          <w:b w:val="false"/>
          <w:bCs w:val="false"/>
          <w:i w:val="false"/>
          <w:iCs w:val="false"/>
          <w:color w:val="000000"/>
          <w:sz w:val="22"/>
          <w:szCs w:val="22"/>
        </w:rPr>
        <w:t xml:space="preserve">Esta tercera tesis tiene tres condiciones habilitantes concretas. Primera, activar el COSOC antes del cierre del proceso de elaboracion del PLADECO: es la unica forma de garantizar la legitimidad participativa que exige el Art. 7 de la Ley 18.695 y que blindara el Plan ante cualquier cuestionamiento. Segunda, adoptar el sistema de indicadores propuesto en la Seccion XII como el mecanismo formal de seguimiento del PLADECO, vinculando cada indicador a un responsable, un presupuesto y un ciclo de reporte al Concejo Municipal y a la ciudadania. Tercera, articular explicitamente el PACCC con los ejes territoriales del PLADECO: Rengo es uno de los 22 municipios del pais con PACCC aprobado, y esa ventaja comparativa solo tiene valor si los 10 anos del PLADECO le asignan recursos y responsables.</w:t>
      </w:r>
    </w:p>
    <w:p>
      <w:pPr>
        <w:spacing w:after="140" w:before="80" w:line="288"/>
        <w:jc w:val="both"/>
      </w:pPr>
      <w:r>
        <w:rPr>
          <w:rFonts w:ascii="Calibri" w:cs="Calibri" w:eastAsia="Calibri" w:hAnsi="Calibri"/>
          <w:b w:val="false"/>
          <w:bCs w:val="false"/>
          <w:i w:val="false"/>
          <w:iCs w:val="false"/>
          <w:color w:val="000000"/>
          <w:sz w:val="22"/>
          <w:szCs w:val="22"/>
        </w:rPr>
        <w:t xml:space="preserve">El diagnostico presentado en este documento no describe un municipio en crisis: describe un municipio en transicion. Rengo tiene los instrumentos, los activos comparativos y el respaldo politico para dar el paso desde la formalidad hacia la efectividad institucional. La pregunta no es si puede hacerlo, sino si el PLADECO 2025-2035 sera el marco que organice ese salto.</w:t>
      </w:r>
    </w:p>
    <w:p>
      <w:pPr>
        <w:spacing w:after="0" w:before="0"/>
      </w:pPr>
      <w:r>
        <w:rPr>
          <w:sz w:val="10"/>
          <w:szCs w:val="10"/>
        </w:rPr>
        <w:t xml:space="preserve"/>
      </w:r>
    </w:p>
    <w:p>
      <w:pPr>
        <w:spacing w:after="0" w:before="0"/>
      </w:pPr>
      <w:r>
        <w:rPr>
          <w:sz w:val="10"/>
          <w:szCs w:val="10"/>
        </w:rPr>
        <w:t xml:space="preserve"/>
      </w:r>
    </w:p>
    <w:p>
      <w:pPr>
        <w:spacing w:after="140" w:before="80" w:line="288"/>
        <w:jc w:val="center"/>
      </w:pPr>
      <w:r>
        <w:rPr>
          <w:rFonts w:ascii="Calibri" w:cs="Calibri" w:eastAsia="Calibri" w:hAnsi="Calibri"/>
          <w:b w:val="false"/>
          <w:bCs w:val="false"/>
          <w:i/>
          <w:iCs/>
          <w:color w:val="777777"/>
          <w:sz w:val="18"/>
          <w:szCs w:val="18"/>
        </w:rPr>
        <w:t xml:space="preserve">Documento elaborado como insumo estrategico para el PLADECO 2025-2035.</w:t>
      </w:r>
    </w:p>
    <w:p>
      <w:pPr>
        <w:spacing w:after="140" w:before="80" w:line="288"/>
        <w:jc w:val="center"/>
      </w:pPr>
      <w:r>
        <w:rPr>
          <w:rFonts w:ascii="Calibri" w:cs="Calibri" w:eastAsia="Calibri" w:hAnsi="Calibri"/>
          <w:b w:val="false"/>
          <w:bCs w:val="false"/>
          <w:i/>
          <w:iCs/>
          <w:color w:val="777777"/>
          <w:sz w:val="17"/>
          <w:szCs w:val="17"/>
        </w:rPr>
        <w:t xml:space="preserve">Fuentes: ORD. N 276/2026 (MU266T0002807) | SINIM 2024 | CASEN 2022 | Censo 2024 INE | DEIS 2022-2025 | CPLT 2024-2025 | CR2 marzo 2025 | Informe CIC N 20, CGR marzo 2026 | Ley N 21.643 | Ley N 21.455 | Ley N 21.807 | Dictamenes CGR E516610/2024, E30538/2025.</w:t>
      </w:r>
    </w:p>
    <w:p>
      <w:pPr>
        <w:spacing w:after="140" w:before="80" w:line="288"/>
        <w:jc w:val="center"/>
      </w:pPr>
      <w:r>
        <w:rPr>
          <w:rFonts w:ascii="Calibri" w:cs="Calibri" w:eastAsia="Calibri" w:hAnsi="Calibri"/>
          <w:b/>
          <w:bCs/>
          <w:i w:val="false"/>
          <w:iCs w:val="false"/>
          <w:color w:val="2E5FA3"/>
          <w:sz w:val="18"/>
          <w:szCs w:val="18"/>
        </w:rPr>
        <w:t xml:space="preserve">Rengo, abril de 2026</w:t>
      </w:r>
    </w:p>
    <w:sectPr>
      <w:headerReference w:type="default" r:id="rId7"/>
      <w:footerReference w:type="default" r:id="rId8"/>
      <w:type w:val="nextPage"/>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spacing w:after="0" w:before="80"/>
      <w:jc w:val="center"/>
    </w:pPr>
    <w:r>
      <w:rPr>
        <w:rFonts w:ascii="Calibri" w:cs="Calibri" w:eastAsia="Calibri" w:hAnsi="Calibri"/>
        <w:color w:val="777777"/>
        <w:sz w:val="17"/>
        <w:szCs w:val="17"/>
      </w:rPr>
      <w:t xml:space="preserve">Pagina </w:t>
    </w:r>
    <w:r>
      <w:rPr>
        <w:rFonts w:ascii="Calibri" w:cs="Calibri" w:eastAsia="Calibri" w:hAnsi="Calibri"/>
        <w:color w:val="777777"/>
        <w:sz w:val="17"/>
        <w:szCs w:val="17"/>
      </w:rPr>
      <w:fldChar w:fldCharType="begin"/>
      <w:instrText xml:space="preserve">PAGE</w:instrText>
      <w:fldChar w:fldCharType="separate"/>
      <w:fldChar w:fldCharType="end"/>
    </w:r>
    <w:r>
      <w:rPr>
        <w:rFonts w:ascii="Calibri" w:cs="Calibri" w:eastAsia="Calibri" w:hAnsi="Calibri"/>
        <w:color w:val="777777"/>
        <w:sz w:val="17"/>
        <w:szCs w:val="17"/>
      </w:rPr>
      <w:t xml:space="preserve"> de </w:t>
    </w:r>
    <w:r>
      <w:rPr>
        <w:rFonts w:ascii="Calibri" w:cs="Calibri" w:eastAsia="Calibri" w:hAnsi="Calibri"/>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spacing w:after="80" w:before="0"/>
      <w:jc w:val="right"/>
    </w:pPr>
    <w:r>
      <w:rPr>
        <w:rFonts w:ascii="Calibri" w:cs="Calibri" w:eastAsia="Calibri" w:hAnsi="Calibri"/>
        <w:color w:val="2E5FA3"/>
        <w:sz w:val="17"/>
        <w:szCs w:val="17"/>
      </w:rPr>
      <w:t xml:space="preserve">PLADECO 2025-2035  |  Municipalidad de Rengo  |  Profundizacion del Analisis Institucional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30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60" w:before="200"/>
      <w:outlineLvl w:val="1"/>
    </w:pPr>
    <w:rPr>
      <w:rFonts w:ascii="Calibri" w:cs="Calibri" w:eastAsia="Calibri" w:hAnsi="Calibri"/>
      <w:b/>
      <w:bCs/>
      <w:color w:val="2E5FA3"/>
      <w:sz w:val="23"/>
      <w:szCs w:val="23"/>
    </w:rPr>
  </w:style>
  <w:style w:type="paragraph" w:styleId="Heading3">
    <w:name w:val="Heading 3"/>
    <w:basedOn w:val="Normal"/>
    <w:next w:val="Normal"/>
    <w:qFormat/>
    <w:pPr>
      <w:spacing w:after="40" w:before="160"/>
      <w:outlineLvl w:val="2"/>
    </w:pPr>
    <w:rPr>
      <w:rFonts w:ascii="Calibri" w:cs="Calibri" w:eastAsia="Calibri" w:hAnsi="Calibri"/>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2026-04-16T20:54:42.962Z</dcterms:created>
  <dcterms:modified xsi:type="dcterms:W3CDTF">2026-04-16T20:54:42.975Z</dcterms:modified>
</cp:coreProperties>
</file>

<file path=docProps/custom.xml><?xml version="1.0" encoding="utf-8"?>
<Properties xmlns="http://schemas.openxmlformats.org/officeDocument/2006/custom-properties" xmlns:vt="http://schemas.openxmlformats.org/officeDocument/2006/docPropsVTypes"/>
</file>