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MATRIZ PLADECO RENGO 2025-2035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Descripción del contenido, estructura y significado estratégico del archivo Excel</w:t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¿Qué es la Matriz PLADECO?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El Plan de Desarrollo Comunal (PLADECO) es el instrumento rector de la planificación municipal, exigido por el Artículo 6 de la Ley 18.695 (Ley Orgánica Constitucional de Municipalidades). Todo municipio está legalmente obligado a contar con un PLADECO vigente.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Matriz PLADECO</w:t>
      </w:r>
      <w:r>
        <w:rPr>
          <w:rFonts w:ascii="Arial" w:cs="Arial" w:eastAsia="Arial" w:hAnsi="Arial"/>
          <w:sz w:val="22"/>
          <w:szCs w:val="22"/>
        </w:rPr>
        <w:t xml:space="preserve"> es la traducción operativa de ese plan: convierte los grandes objetivos estratégicos en acciones concretas, medibles y con responsables definidos. En términos simples, es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"qué se va a hacer, para qué, quién lo ejecuta, con qué recursos y cómo se va a medir"</w:t>
      </w:r>
      <w:r>
        <w:rPr>
          <w:rFonts w:ascii="Arial" w:cs="Arial" w:eastAsia="Arial" w:hAnsi="Arial"/>
          <w:sz w:val="22"/>
          <w:szCs w:val="22"/>
        </w:rPr>
        <w:t xml:space="preserve"> durante el período 2025–2035.</w:t>
      </w:r>
    </w:p>
    <w:p>
      <w:pPr>
        <w:pBdr>
          <w:top w:val="single" w:color="2E75B6" w:sz="3" w:space="3"/>
          <w:bottom w:val="single" w:color="2E75B6" w:sz="3" w:space="3"/>
          <w:left w:val="single" w:color="2E75B6" w:sz="14" w:space="4"/>
          <w:right w:val="single" w:color="2E75B6" w:sz="3" w:space="3"/>
        </w:pBdr>
        <w:shd w:fill="EEF3FB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Analogía práctica: </w:t>
      </w:r>
      <w:r>
        <w:rPr>
          <w:rFonts w:ascii="Arial" w:cs="Arial" w:eastAsia="Arial" w:hAnsi="Arial"/>
          <w:sz w:val="22"/>
          <w:szCs w:val="22"/>
        </w:rPr>
        <w:t xml:space="preserve">si el PLADECO es la "Constitución" del desarrollo comunal, la Matriz es el "Código Civil": baja al detalle concreto que permite actuar, contratar, postular fondos y rendir cuentas. Sin la Matriz, el PLADECO es una declaración de intenciones; con ella, es un sistema de gestión.</w:t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¿Por qué se estructura en 6 Ejes, 32 OE y 214 Acciones?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La estructura jerárquica en tres niveles responde a la metodología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Gestión por Resultados</w:t>
      </w:r>
      <w:r>
        <w:rPr>
          <w:rFonts w:ascii="Arial" w:cs="Arial" w:eastAsia="Arial" w:hAnsi="Arial"/>
          <w:sz w:val="22"/>
          <w:szCs w:val="22"/>
        </w:rPr>
        <w:t xml:space="preserve"> exigida por SUBDERE y el Ministerio de Desarrollo Social: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Ejes Estratégicos (6):</w:t>
      </w:r>
      <w:r>
        <w:rPr>
          <w:rFonts w:ascii="Arial" w:cs="Arial" w:eastAsia="Arial" w:hAnsi="Arial"/>
          <w:sz w:val="22"/>
          <w:szCs w:val="22"/>
        </w:rPr>
        <w:t xml:space="preserve"> son las grandes áreas temáticas de la vida comunal (bienestar social, economía, educación, infraestructura, seguridad, modernización). Organizan el plan en dimensiones comprensibles para la ciudadanía y para la estructura orgánica municipal.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Objetivos Estratégicos — OE (32):</w:t>
      </w:r>
      <w:r>
        <w:rPr>
          <w:rFonts w:ascii="Arial" w:cs="Arial" w:eastAsia="Arial" w:hAnsi="Arial"/>
          <w:sz w:val="22"/>
          <w:szCs w:val="22"/>
        </w:rPr>
        <w:t xml:space="preserve"> dentro de cada eje, son los cambios concretos que se quieren lograr al 2035 (ej. “Desarrollar Plan de Turismo Rural” o “Reducir NNA inseguros bajo 25%”). Son la brecha que se quiere cerrar.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Acciones/Políticas (214):</w:t>
      </w:r>
      <w:r>
        <w:rPr>
          <w:rFonts w:ascii="Arial" w:cs="Arial" w:eastAsia="Arial" w:hAnsi="Arial"/>
          <w:sz w:val="22"/>
          <w:szCs w:val="22"/>
        </w:rPr>
        <w:t xml:space="preserve"> son las intervenciones específicas para alcanzar cada OE. Cada acción tiene indicador, línea base y meta: eso las hace evaluables y fiscalizables por la CGR y SUBDERE.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Las 15 columnas de la Matriz no son arbitrarias: cada una cumple una función en el ciclo de planificación, presupuesto, ejecución y evaluación de políticas públicas municipales.</w:t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Distribución de las 214 Acciones por Eje</w:t>
      </w:r>
    </w:p>
    <w:p>
      <w:pPr>
        <w:spacing w:after="11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800"/>
        <w:gridCol w:w="21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 Estratégico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1: Cultura, Turismo, Deportes y Bienestar Social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25,2%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Sociocultural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4: Infraestructura, Vivienda, Vialidad y Medio Ambiente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23,8%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Urbano-Ambiental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6: Innovación y Modernización Municipal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22,0%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Institucional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5: Seguridad Pública y Emergencias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14,0%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2: Desarrollo Económico Comunal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8,4%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Económica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 3: Educación y Capacitación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6,5%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Educación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dimensiones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¿Qué significa Corto, Mediano y Largo Plazo?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El campo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"Plazo"</w:t>
      </w:r>
      <w:r>
        <w:rPr>
          <w:rFonts w:ascii="Arial" w:cs="Arial" w:eastAsia="Arial" w:hAnsi="Arial"/>
          <w:sz w:val="22"/>
          <w:szCs w:val="22"/>
        </w:rPr>
        <w:t xml:space="preserve"> de cada acción indica su horizonte de ejecución dentro del período 2025–2035. No es un plazo libre: está definido en función de la urgencia diagnóstica, la disponibilidad presupuestaria y el ciclo alcaldicio:</w:t>
      </w:r>
    </w:p>
    <w:p>
      <w:pPr>
        <w:spacing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50"/>
        <w:gridCol w:w="4250"/>
        <w:gridCol w:w="90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— Corto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2025–2027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Acciones urgentes o con financiamiento disponible. Deben ejecutarse dentro del primer período alcaldicio (2024-2028). Responden a brechas críticas ya diagnosticadas.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48,1%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 — Mediano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2027–2030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Acciones que requieren diseño, financiamiento externo o cambios institucionales. Coinciden con la transición de gobierno municipal (2028) y la evaluación intermedia del PLADECO.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42,1%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 — Largo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2030–2035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Transformaciones estructurales que requieren inversión sostenida, cambios normativos o infraestructura mayor (ej. Embalse El Bollenar, Complejo Deportivo, Centro Cultural Av. El Rodeo).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9,8%</w:t>
            </w:r>
          </w:p>
        </w:tc>
      </w:tr>
    </w:tbl>
    <w:p>
      <w:pPr>
        <w:spacing w:after="100"/>
      </w:pPr>
    </w:p>
    <w:p>
      <w:pPr>
        <w:pBdr>
          <w:top w:val="single" w:color="2E75B6" w:sz="3" w:space="3"/>
          <w:bottom w:val="single" w:color="2E75B6" w:sz="3" w:space="3"/>
          <w:left w:val="single" w:color="2E75B6" w:sz="14" w:space="4"/>
          <w:right w:val="single" w:color="2E75B6" w:sz="3" w:space="3"/>
        </w:pBdr>
        <w:shd w:fill="EEF3FB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 clave: </w:t>
      </w:r>
      <w:r>
        <w:rPr>
          <w:rFonts w:ascii="Arial" w:cs="Arial" w:eastAsia="Arial" w:hAnsi="Arial"/>
          <w:sz w:val="22"/>
          <w:szCs w:val="22"/>
        </w:rPr>
        <w:t xml:space="preserve">el 90,2% de las acciones (193) tiene plazo corto o mediano, lo que refleja que el PLADECO prioriza resultados perceptibles dentro del ciclo alcaldicio 2024–2028. Las 21 acciones de largo plazo son las que transforman la infraestructura y la institucionalidad comunal en el horizonte 2030–2035.</w:t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 Hoja 2: Desarrollo Comunitario — La Base Participativa del PLADECO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Esta hoja fundamenta el carácter participativo de las 214 acciones, acreditando que el PLADECO cumple con la Ley 20.500 (Participación Ciudadana). Contiene cuatro secciones: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330 organizaciones comunitarias (10 tipos):</w:t>
      </w:r>
      <w:r>
        <w:rPr>
          <w:rFonts w:ascii="Arial" w:cs="Arial" w:eastAsia="Arial" w:hAnsi="Arial"/>
          <w:sz w:val="22"/>
          <w:szCs w:val="22"/>
        </w:rPr>
        <w:t xml:space="preserve"> Comités de Vivienda (109), JJVV (92), Agrupaciones Socioculturales (60), Clubes Deportivos (54), entre otros. Cada tipo tiene su rol específico en el PLADECO y su estado de funcionamiento actualizado al 2026.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brechas críticas de la Ordenanza de Participación (Decreto 1100/2011):</w:t>
      </w:r>
      <w:r>
        <w:rPr>
          <w:rFonts w:ascii="Arial" w:cs="Arial" w:eastAsia="Arial" w:hAnsi="Arial"/>
          <w:sz w:val="22"/>
          <w:szCs w:val="22"/>
        </w:rPr>
        <w:t xml:space="preserve"> 14+ años sin modificar. Las brechas más graves son la exclusión total de NNA (54,41% se siente inseguro; 0% evalúa positivamente la comuna), ausencia de plataforma digital (solo 11% usa trámites online), y el artículo de presupuesto participativo que es declarativo sin operacionalización.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experiencias SUBDERE de referencia:</w:t>
      </w:r>
      <w:r>
        <w:rPr>
          <w:rFonts w:ascii="Arial" w:cs="Arial" w:eastAsia="Arial" w:hAnsi="Arial"/>
          <w:sz w:val="22"/>
          <w:szCs w:val="22"/>
        </w:rPr>
        <w:t xml:space="preserve"> Panguipulli Participa, Valdivia Elige, Banco Proyectos Huasco y Ordenanza Providencia, que orientan las acciones de modernización del Eje 6.</w:t>
      </w:r>
    </w:p>
    <w:p>
      <w:pPr>
        <w:spacing w:after="70"/>
        <w:ind w:left="38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encuestas del Diagnóstico Participativo:</w:t>
      </w:r>
      <w:r>
        <w:rPr>
          <w:rFonts w:ascii="Arial" w:cs="Arial" w:eastAsia="Arial" w:hAnsi="Arial"/>
          <w:sz w:val="22"/>
          <w:szCs w:val="22"/>
        </w:rPr>
        <w:t xml:space="preserve"> ciudadana (n=119), funcionarios (n=116) y NNA (n=21). Sus hallazgos — 70% percibe inseguridad, 43% de funcionarios desconoce Ley Karin, 0% de NNA evalúa positivamente la comuna — son la justificación empírica de las acciones en Ejes 1, 5 y 6.</w:t>
      </w:r>
    </w:p>
    <w:p>
      <w:pPr>
        <w:pBdr>
          <w:bottom w:val="single" w:color="2E75B6" w:sz="4" w:space="2"/>
        </w:pBdr>
        <w:spacing w:after="9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 Hoja 3: Ejes Estratégicos — La Arquitectura del Plan</w:t>
      </w:r>
    </w:p>
    <w:p>
      <w:pPr>
        <w:spacing w:after="90"/>
      </w:pPr>
      <w:r>
        <w:rPr>
          <w:rFonts w:ascii="Arial" w:cs="Arial" w:eastAsia="Arial" w:hAnsi="Arial"/>
          <w:sz w:val="22"/>
          <w:szCs w:val="22"/>
        </w:rPr>
        <w:t xml:space="preserve">Tabla de una página que sintetiza los 6 ejes, sus 32 Objetivos Estratégicos, los objetivos específicos clave y la distribución de las 214 acciones. Es el instrumento de comunicación del PLADECO hacia el Concejo Municipal, el COSOC y la ciudadanía: permite entender la arquitectura completa del plan de un vistazo, sin necesidad de revisar las 214 filas de la Hoja 1.</w:t>
      </w:r>
    </w:p>
    <w:p>
      <w:pPr>
        <w:pBdr>
          <w:top w:val="single" w:color="2E75B6" w:sz="4" w:space="4"/>
          <w:bottom w:val="single" w:color="2E75B6" w:sz="4" w:space="4"/>
          <w:left w:val="single" w:color="2E75B6" w:sz="14" w:space="4"/>
          <w:right w:val="single" w:color="2E75B6" w:sz="3" w:space="3"/>
        </w:pBdr>
        <w:spacing w:after="0" w:before="140"/>
      </w:pPr>
      <w:r>
        <w:rPr>
          <w:rFonts w:ascii="Arial" w:cs="Arial" w:eastAsia="Arial" w:hAnsi="Arial"/>
          <w:i/>
          <w:iCs/>
          <w:color w:val="2E4057"/>
          <w:sz w:val="21"/>
          <w:szCs w:val="21"/>
        </w:rPr>
        <w:t xml:space="preserve">En síntesis: la Matriz PLADECO no es sólo un listado de proyectos. Es un sistema de gestión pública estructurado en 6 ejes × 32 objetivos × 214 acciones, respaldado por el diagnóstico de 330 organizaciones y 3 encuestas (n=256). Cada acción tiene plazo, responsable, indicador y financiamiento: eso la hace trazable, fiscalizable y — fundamentalmente — ejecutable para los 65.786 habitantes de Rengo.</w:t>
      </w:r>
    </w:p>
    <w:sectPr>
      <w:headerReference w:type="default" r:id="rId7"/>
      <w:footerReference w:type="default" r:id="rId8"/>
      <w:pgSz w:w="12240" w:h="15840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PLADECO Rengo 2025-2035  |  Municipalidad de Rengo  |  Confidencial 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Contexto y Contenido: Matriz PLADECO Rengo 2025-2035     |     13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2026-04-13T18:49:53.798Z</dcterms:created>
  <dcterms:modified xsi:type="dcterms:W3CDTF">2026-04-13T18:49:53.800Z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