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C3A5E" w:val="clear"/>
            <w:tcMar>
              <w:top w:type="dxa" w:w="260"/>
              <w:left w:type="dxa" w:w="300"/>
              <w:bottom w:type="dxa" w:w="260"/>
              <w:right w:type="dxa" w:w="300"/>
            </w:tcMar>
          </w:tcPr>
          <w:p>
            <w:pPr>
              <w:spacing w:after="80" w:before="0"/>
              <w:jc w:val="center"/>
            </w:pPr>
            <w:r>
              <w:rPr>
                <w:rFonts w:ascii="Garamond" w:cs="Garamond" w:eastAsia="Garamond" w:hAnsi="Garamond"/>
                <w:b/>
                <w:bCs/>
                <w:color w:val="FFFFFF"/>
                <w:sz w:val="24"/>
                <w:szCs w:val="24"/>
              </w:rPr>
              <w:t xml:space="preserve">ILUSTRE MUNICIPALIDAD DE RENGO</w:t>
            </w:r>
          </w:p>
          <w:p>
            <w:pPr>
              <w:spacing w:after="60" w:before="0"/>
              <w:jc w:val="center"/>
            </w:pPr>
            <w:r>
              <w:rPr>
                <w:rFonts w:ascii="Garamond" w:cs="Garamond" w:eastAsia="Garamond" w:hAnsi="Garamond"/>
                <w:color w:val="AABFD4"/>
                <w:sz w:val="19"/>
                <w:szCs w:val="19"/>
              </w:rPr>
              <w:t xml:space="preserve">SECRETARÍA DE PLANIFICACIÓN COMUNAL</w:t>
            </w:r>
          </w:p>
        </w:tc>
      </w:tr>
    </w:tbl>
    <w:p>
      <w:pPr>
        <w:spacing w:after="0" w:before="600"/>
      </w:pPr>
    </w:p>
    <w:p>
      <w:pPr>
        <w:spacing w:after="100" w:before="0"/>
        <w:jc w:val="center"/>
      </w:pPr>
      <w:r>
        <w:rPr>
          <w:rFonts w:ascii="Garamond" w:cs="Garamond" w:eastAsia="Garamond" w:hAnsi="Garamond"/>
          <w:b/>
          <w:bCs/>
          <w:color w:val="1C3A5E"/>
          <w:sz w:val="56"/>
          <w:szCs w:val="56"/>
        </w:rPr>
        <w:t xml:space="preserve">RESUMEN EJECUTIVO</w:t>
      </w:r>
    </w:p>
    <w:p>
      <w:pPr>
        <w:spacing w:after="100" w:before="0"/>
        <w:jc w:val="center"/>
      </w:pPr>
      <w:r>
        <w:rPr>
          <w:rFonts w:ascii="Garamond" w:cs="Garamond" w:eastAsia="Garamond" w:hAnsi="Garamond"/>
          <w:b/>
          <w:bCs/>
          <w:color w:val="2E75B6"/>
          <w:sz w:val="32"/>
          <w:szCs w:val="32"/>
        </w:rPr>
        <w:t xml:space="preserve">Plan de Desarrollo Comunal 2025 – 2035</w:t>
      </w:r>
    </w:p>
    <w:p>
      <w:pPr>
        <w:spacing w:after="60" w:before="0"/>
        <w:jc w:val="center"/>
      </w:pPr>
      <w:r>
        <w:rPr>
          <w:rFonts w:ascii="Garamond" w:cs="Garamond" w:eastAsia="Garamond" w:hAnsi="Garamond"/>
          <w:color w:val="595959"/>
          <w:sz w:val="22"/>
          <w:szCs w:val="22"/>
        </w:rPr>
        <w:t xml:space="preserve">Estado de avance y argumentación técnica del proceso</w:t>
      </w:r>
    </w:p>
    <w:p>
      <w:pPr>
        <w:spacing w:after="0" w:before="260"/>
      </w:pPr>
    </w:p>
    <w:p>
      <w:pPr>
        <w:pBdr>
          <w:bottom w:val="single" w:color="2E75B6" w:sz="4" w:space="1"/>
        </w:pBdr>
        <w:spacing w:after="0" w:before="0"/>
      </w:pPr>
    </w:p>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0D0" w:sz="1"/>
              <w:left w:val="single" w:color="D0D0D0" w:sz="1"/>
              <w:bottom w:val="single" w:color="D0D0D0" w:sz="1"/>
              <w:right w:val="single" w:color="D0D0D0" w:sz="1"/>
            </w:tcBorders>
            <w:shd w:fill="DEEAF1" w:val="clear"/>
            <w:tcMar>
              <w:top w:type="dxa" w:w="100"/>
              <w:left w:type="dxa" w:w="140"/>
              <w:bottom w:type="dxa" w:w="100"/>
              <w:right w:type="dxa" w:w="140"/>
            </w:tcMar>
            <w:vAlign w:val="top"/>
          </w:tcPr>
          <w:p>
            <w:pPr>
              <w:spacing w:after="60" w:before="60"/>
            </w:pPr>
            <w:r>
              <w:rPr>
                <w:rFonts w:ascii="Garamond" w:cs="Garamond" w:eastAsia="Garamond" w:hAnsi="Garamond"/>
                <w:b/>
                <w:bCs/>
                <w:color w:val="1C3A5E"/>
                <w:sz w:val="18"/>
                <w:szCs w:val="18"/>
              </w:rPr>
              <w:t xml:space="preserve">Elaborado por</w:t>
            </w:r>
          </w:p>
        </w:tc>
        <w:tc>
          <w:tcPr>
            <w:tcW w:type="dxa" w:w="656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top"/>
          </w:tcPr>
          <w:p>
            <w:pPr>
              <w:spacing w:after="60" w:before="60"/>
            </w:pPr>
            <w:r>
              <w:rPr>
                <w:rFonts w:ascii="Garamond" w:cs="Garamond" w:eastAsia="Garamond" w:hAnsi="Garamond"/>
                <w:sz w:val="18"/>
                <w:szCs w:val="18"/>
              </w:rPr>
              <w:t xml:space="preserve">Osvaldo Mañán Arce · Paula Ramírez Marambio</w:t>
            </w:r>
          </w:p>
        </w:tc>
      </w:tr>
      <w:tr>
        <w:tc>
          <w:tcPr>
            <w:tcW w:type="dxa" w:w="2800"/>
            <w:tcBorders>
              <w:top w:val="single" w:color="D0D0D0" w:sz="1"/>
              <w:left w:val="single" w:color="D0D0D0" w:sz="1"/>
              <w:bottom w:val="single" w:color="D0D0D0" w:sz="1"/>
              <w:right w:val="single" w:color="D0D0D0" w:sz="1"/>
            </w:tcBorders>
            <w:shd w:fill="DEEAF1" w:val="clear"/>
            <w:tcMar>
              <w:top w:type="dxa" w:w="100"/>
              <w:left w:type="dxa" w:w="140"/>
              <w:bottom w:type="dxa" w:w="100"/>
              <w:right w:type="dxa" w:w="140"/>
            </w:tcMar>
            <w:vAlign w:val="top"/>
          </w:tcPr>
          <w:p>
            <w:pPr>
              <w:spacing w:after="60" w:before="60"/>
            </w:pPr>
            <w:r>
              <w:rPr>
                <w:rFonts w:ascii="Garamond" w:cs="Garamond" w:eastAsia="Garamond" w:hAnsi="Garamond"/>
                <w:b/>
                <w:bCs/>
                <w:color w:val="1C3A5E"/>
                <w:sz w:val="18"/>
                <w:szCs w:val="18"/>
              </w:rPr>
              <w:t xml:space="preserve">Director SECPLAC</w:t>
            </w:r>
          </w:p>
        </w:tc>
        <w:tc>
          <w:tcPr>
            <w:tcW w:type="dxa" w:w="656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top"/>
          </w:tcPr>
          <w:p>
            <w:pPr>
              <w:spacing w:after="60" w:before="60"/>
            </w:pPr>
            <w:r>
              <w:rPr>
                <w:rFonts w:ascii="Garamond" w:cs="Garamond" w:eastAsia="Garamond" w:hAnsi="Garamond"/>
                <w:sz w:val="18"/>
                <w:szCs w:val="18"/>
              </w:rPr>
              <w:t xml:space="preserve">Daniel Castillo Campos</w:t>
            </w:r>
          </w:p>
        </w:tc>
      </w:tr>
      <w:tr>
        <w:tc>
          <w:tcPr>
            <w:tcW w:type="dxa" w:w="2800"/>
            <w:tcBorders>
              <w:top w:val="single" w:color="D0D0D0" w:sz="1"/>
              <w:left w:val="single" w:color="D0D0D0" w:sz="1"/>
              <w:bottom w:val="single" w:color="D0D0D0" w:sz="1"/>
              <w:right w:val="single" w:color="D0D0D0" w:sz="1"/>
            </w:tcBorders>
            <w:shd w:fill="DEEAF1" w:val="clear"/>
            <w:tcMar>
              <w:top w:type="dxa" w:w="100"/>
              <w:left w:type="dxa" w:w="140"/>
              <w:bottom w:type="dxa" w:w="100"/>
              <w:right w:type="dxa" w:w="140"/>
            </w:tcMar>
            <w:vAlign w:val="top"/>
          </w:tcPr>
          <w:p>
            <w:pPr>
              <w:spacing w:after="60" w:before="60"/>
            </w:pPr>
            <w:r>
              <w:rPr>
                <w:rFonts w:ascii="Garamond" w:cs="Garamond" w:eastAsia="Garamond" w:hAnsi="Garamond"/>
                <w:b/>
                <w:bCs/>
                <w:color w:val="1C3A5E"/>
                <w:sz w:val="18"/>
                <w:szCs w:val="18"/>
              </w:rPr>
              <w:t xml:space="preserve">Alcalde</w:t>
            </w:r>
          </w:p>
        </w:tc>
        <w:tc>
          <w:tcPr>
            <w:tcW w:type="dxa" w:w="656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top"/>
          </w:tcPr>
          <w:p>
            <w:pPr>
              <w:spacing w:after="60" w:before="60"/>
            </w:pPr>
            <w:r>
              <w:rPr>
                <w:rFonts w:ascii="Garamond" w:cs="Garamond" w:eastAsia="Garamond" w:hAnsi="Garamond"/>
                <w:sz w:val="18"/>
                <w:szCs w:val="18"/>
              </w:rPr>
              <w:t xml:space="preserve">Enrique Del Barrio Hernández</w:t>
            </w:r>
          </w:p>
        </w:tc>
      </w:tr>
      <w:tr>
        <w:tc>
          <w:tcPr>
            <w:tcW w:type="dxa" w:w="2800"/>
            <w:tcBorders>
              <w:top w:val="single" w:color="D0D0D0" w:sz="1"/>
              <w:left w:val="single" w:color="D0D0D0" w:sz="1"/>
              <w:bottom w:val="single" w:color="D0D0D0" w:sz="1"/>
              <w:right w:val="single" w:color="D0D0D0" w:sz="1"/>
            </w:tcBorders>
            <w:shd w:fill="DEEAF1" w:val="clear"/>
            <w:tcMar>
              <w:top w:type="dxa" w:w="100"/>
              <w:left w:type="dxa" w:w="140"/>
              <w:bottom w:type="dxa" w:w="100"/>
              <w:right w:type="dxa" w:w="140"/>
            </w:tcMar>
            <w:vAlign w:val="top"/>
          </w:tcPr>
          <w:p>
            <w:pPr>
              <w:spacing w:after="60" w:before="60"/>
            </w:pPr>
            <w:r>
              <w:rPr>
                <w:rFonts w:ascii="Garamond" w:cs="Garamond" w:eastAsia="Garamond" w:hAnsi="Garamond"/>
                <w:b/>
                <w:bCs/>
                <w:color w:val="1C3A5E"/>
                <w:sz w:val="18"/>
                <w:szCs w:val="18"/>
              </w:rPr>
              <w:t xml:space="preserve">Fecha</w:t>
            </w:r>
          </w:p>
        </w:tc>
        <w:tc>
          <w:tcPr>
            <w:tcW w:type="dxa" w:w="656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top"/>
          </w:tcPr>
          <w:p>
            <w:pPr>
              <w:spacing w:after="60" w:before="60"/>
            </w:pPr>
            <w:r>
              <w:rPr>
                <w:rFonts w:ascii="Garamond" w:cs="Garamond" w:eastAsia="Garamond" w:hAnsi="Garamond"/>
                <w:sz w:val="18"/>
                <w:szCs w:val="18"/>
              </w:rPr>
              <w:t xml:space="preserve">Abril 2026 — Versión 01/2026</w:t>
            </w:r>
          </w:p>
        </w:tc>
      </w:tr>
      <w:tr>
        <w:tc>
          <w:tcPr>
            <w:tcW w:type="dxa" w:w="2800"/>
            <w:tcBorders>
              <w:top w:val="single" w:color="D0D0D0" w:sz="1"/>
              <w:left w:val="single" w:color="D0D0D0" w:sz="1"/>
              <w:bottom w:val="single" w:color="D0D0D0" w:sz="1"/>
              <w:right w:val="single" w:color="D0D0D0" w:sz="1"/>
            </w:tcBorders>
            <w:shd w:fill="DEEAF1" w:val="clear"/>
            <w:tcMar>
              <w:top w:type="dxa" w:w="100"/>
              <w:left w:type="dxa" w:w="140"/>
              <w:bottom w:type="dxa" w:w="100"/>
              <w:right w:type="dxa" w:w="140"/>
            </w:tcMar>
            <w:vAlign w:val="top"/>
          </w:tcPr>
          <w:p>
            <w:pPr>
              <w:spacing w:after="60" w:before="60"/>
            </w:pPr>
            <w:r>
              <w:rPr>
                <w:rFonts w:ascii="Garamond" w:cs="Garamond" w:eastAsia="Garamond" w:hAnsi="Garamond"/>
                <w:b/>
                <w:bCs/>
                <w:color w:val="1C3A5E"/>
                <w:sz w:val="18"/>
                <w:szCs w:val="18"/>
              </w:rPr>
              <w:t xml:space="preserve">Clasificación</w:t>
            </w:r>
          </w:p>
        </w:tc>
        <w:tc>
          <w:tcPr>
            <w:tcW w:type="dxa" w:w="656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top"/>
          </w:tcPr>
          <w:p>
            <w:pPr>
              <w:spacing w:after="60" w:before="60"/>
            </w:pPr>
            <w:r>
              <w:rPr>
                <w:rFonts w:ascii="Garamond" w:cs="Garamond" w:eastAsia="Garamond" w:hAnsi="Garamond"/>
                <w:sz w:val="18"/>
                <w:szCs w:val="18"/>
              </w:rPr>
              <w:t xml:space="preserve">Uso interno — Alcalde y Directivos Municipales</w:t>
            </w:r>
          </w:p>
        </w:tc>
      </w:tr>
    </w:tbl>
    <w:p>
      <w:r>
        <w:br w:type="page"/>
      </w:r>
    </w:p>
    <w:p>
      <w:pPr>
        <w:pStyle w:val="Heading1"/>
        <w:pBdr>
          <w:bottom w:val="single" w:color="2E75B6" w:sz="6" w:space="2"/>
        </w:pBdr>
        <w:spacing w:after="80" w:before="320"/>
      </w:pPr>
      <w:r>
        <w:rPr>
          <w:rFonts w:ascii="Garamond" w:cs="Garamond" w:eastAsia="Garamond" w:hAnsi="Garamond"/>
          <w:b/>
          <w:bCs/>
          <w:color w:val="1C3A5E"/>
          <w:sz w:val="28"/>
          <w:szCs w:val="28"/>
        </w:rPr>
        <w:t xml:space="preserve">I. Por qué este PLADECO es diferente a todos los anteriores</w:t>
      </w:r>
    </w:p>
    <w:p>
      <w:pPr>
        <w:spacing w:after="100" w:before="80" w:line="276" w:lineRule="auto"/>
        <w:jc w:val="both"/>
      </w:pPr>
      <w:r>
        <w:rPr>
          <w:rFonts w:ascii="Garamond" w:cs="Garamond" w:eastAsia="Garamond" w:hAnsi="Garamond"/>
          <w:sz w:val="22"/>
          <w:szCs w:val="22"/>
        </w:rPr>
        <w:t xml:space="preserve">Rengo nunca había tenido un Plan de Desarrollo Comunal construido de esta manera. La diferencia no es retórica: es metodológica, técnica y política. Los PLADECO anteriores —incluyendo el 2019-2026— se elaboraron principalmente a partir de encuestas ciudadanas, revisión de instrumentos sectoriales y una redacción técnica centralizada. El resultado fue un instrumento que describía la comuna sin comprenderla, que establecía objetivos sin diagnosticar las causas de fondo y que no sobrevivió como referencia operativa para las unidades municipales.</w:t>
      </w:r>
    </w:p>
    <w:p>
      <w:pPr>
        <w:spacing w:after="100" w:before="80" w:line="276" w:lineRule="auto"/>
        <w:jc w:val="both"/>
      </w:pPr>
      <w:r>
        <w:rPr>
          <w:rFonts w:ascii="Garamond" w:cs="Garamond" w:eastAsia="Garamond" w:hAnsi="Garamond"/>
          <w:sz w:val="22"/>
          <w:szCs w:val="22"/>
        </w:rPr>
        <w:t xml:space="preserve">El PLADECO 2025-2035 rompe con esa lógica. Parte de una premisa distinta: </w:t>
      </w:r>
      <w:r>
        <w:rPr>
          <w:rFonts w:ascii="Garamond" w:cs="Garamond" w:eastAsia="Garamond" w:hAnsi="Garamond"/>
          <w:b/>
          <w:bCs/>
          <w:color w:val="1C3A5E"/>
          <w:sz w:val="22"/>
          <w:szCs w:val="22"/>
        </w:rPr>
        <w:t xml:space="preserve">no se puede planificar un territorio que no se conoce desde adentro.</w:t>
      </w:r>
      <w:r>
        <w:rPr>
          <w:rFonts w:ascii="Garamond" w:cs="Garamond" w:eastAsia="Garamond" w:hAnsi="Garamond"/>
          <w:sz w:val="22"/>
          <w:szCs w:val="22"/>
        </w:rPr>
        <w:t xml:space="preserve"> Por eso se optó por un Diagnóstico Tripartito que integra, de manera simultánea y convergente, tres dimensiones que los instrumentos convencionales separan o ignoran: la </w:t>
      </w:r>
      <w:r>
        <w:rPr>
          <w:rFonts w:ascii="Garamond" w:cs="Garamond" w:eastAsia="Garamond" w:hAnsi="Garamond"/>
          <w:b/>
          <w:bCs/>
          <w:color w:val="2E75B6"/>
          <w:sz w:val="22"/>
          <w:szCs w:val="22"/>
        </w:rPr>
        <w:t xml:space="preserve">etnografía institucional</w:t>
      </w:r>
      <w:r>
        <w:rPr>
          <w:rFonts w:ascii="Garamond" w:cs="Garamond" w:eastAsia="Garamond" w:hAnsi="Garamond"/>
          <w:sz w:val="22"/>
          <w:szCs w:val="22"/>
        </w:rPr>
        <w:t xml:space="preserve"> (cómo funciona realmente el municipio), la </w:t>
      </w:r>
      <w:r>
        <w:rPr>
          <w:rFonts w:ascii="Garamond" w:cs="Garamond" w:eastAsia="Garamond" w:hAnsi="Garamond"/>
          <w:b/>
          <w:bCs/>
          <w:color w:val="2E75B6"/>
          <w:sz w:val="22"/>
          <w:szCs w:val="22"/>
        </w:rPr>
        <w:t xml:space="preserve">etnografía social comunitaria</w:t>
      </w:r>
      <w:r>
        <w:rPr>
          <w:rFonts w:ascii="Garamond" w:cs="Garamond" w:eastAsia="Garamond" w:hAnsi="Garamond"/>
          <w:sz w:val="22"/>
          <w:szCs w:val="22"/>
        </w:rPr>
        <w:t xml:space="preserve"> (qué vive y piensa la ciudadanía en sus territorios) y el </w:t>
      </w:r>
      <w:r>
        <w:rPr>
          <w:rFonts w:ascii="Garamond" w:cs="Garamond" w:eastAsia="Garamond" w:hAnsi="Garamond"/>
          <w:b/>
          <w:bCs/>
          <w:color w:val="2E75B6"/>
          <w:sz w:val="22"/>
          <w:szCs w:val="22"/>
        </w:rPr>
        <w:t xml:space="preserve">análisis cuantitativo multifuente</w:t>
      </w:r>
      <w:r>
        <w:rPr>
          <w:rFonts w:ascii="Garamond" w:cs="Garamond" w:eastAsia="Garamond" w:hAnsi="Garamond"/>
          <w:sz w:val="22"/>
          <w:szCs w:val="22"/>
        </w:rPr>
        <w:t xml:space="preserve"> (qué dicen los datos institucionales, censales y financieros cuando se leen en conjunto y no de forma aislada).</w:t>
      </w:r>
    </w:p>
    <w:p>
      <w:pPr>
        <w:pBdr>
          <w:left w:val="single" w:color="2E75B6" w:sz="12" w:space="8"/>
        </w:pBdr>
        <w:spacing w:after="100" w:before="100" w:line="276" w:lineRule="auto"/>
        <w:ind w:left="600" w:right="400"/>
        <w:jc w:val="both"/>
      </w:pPr>
      <w:r>
        <w:rPr>
          <w:rFonts w:ascii="Garamond" w:cs="Garamond" w:eastAsia="Garamond" w:hAnsi="Garamond"/>
          <w:i/>
          <w:iCs/>
          <w:color w:val="595959"/>
          <w:sz w:val="20"/>
          <w:szCs w:val="20"/>
        </w:rPr>
        <w:t xml:space="preserve">La convergencia metodológica no es un adorno académico: es el mecanismo de validación. Cuando la etnografía comunitaria, las auditorías de la Contraloría y los datos SINIM apuntan al mismo problema —por ejemplo, la desconexión entre los instrumentos de planificación y la gestión real—, esa coincidencia le otorga al diagnóstico un grado de certeza que ninguna fuente aislada podría entregar.</w:t>
      </w:r>
    </w:p>
    <w:p>
      <w:pPr>
        <w:spacing w:after="100" w:before="80" w:line="276" w:lineRule="auto"/>
        <w:jc w:val="both"/>
      </w:pPr>
      <w:r>
        <w:rPr>
          <w:rFonts w:ascii="Garamond" w:cs="Garamond" w:eastAsia="Garamond" w:hAnsi="Garamond"/>
          <w:sz w:val="22"/>
          <w:szCs w:val="22"/>
        </w:rPr>
        <w:t xml:space="preserve">Esto importa porque el Alcalde y los directores deben tomar decisiones sobre la base de un diagnóstico que sea, a la vez, </w:t>
      </w:r>
      <w:r>
        <w:rPr>
          <w:rFonts w:ascii="Garamond" w:cs="Garamond" w:eastAsia="Garamond" w:hAnsi="Garamond"/>
          <w:b/>
          <w:bCs/>
          <w:color w:val="1C3A5E"/>
          <w:sz w:val="22"/>
          <w:szCs w:val="22"/>
        </w:rPr>
        <w:t xml:space="preserve">riguroso científicamente</w:t>
      </w:r>
      <w:r>
        <w:rPr>
          <w:rFonts w:ascii="Garamond" w:cs="Garamond" w:eastAsia="Garamond" w:hAnsi="Garamond"/>
          <w:sz w:val="22"/>
          <w:szCs w:val="22"/>
        </w:rPr>
        <w:t xml:space="preserve">, </w:t>
      </w:r>
      <w:r>
        <w:rPr>
          <w:rFonts w:ascii="Garamond" w:cs="Garamond" w:eastAsia="Garamond" w:hAnsi="Garamond"/>
          <w:b/>
          <w:bCs/>
          <w:color w:val="1C3A5E"/>
          <w:sz w:val="22"/>
          <w:szCs w:val="22"/>
        </w:rPr>
        <w:t xml:space="preserve">legítimo democráticamente</w:t>
      </w:r>
      <w:r>
        <w:rPr>
          <w:rFonts w:ascii="Garamond" w:cs="Garamond" w:eastAsia="Garamond" w:hAnsi="Garamond"/>
          <w:sz w:val="22"/>
          <w:szCs w:val="22"/>
        </w:rPr>
        <w:t xml:space="preserve"> y </w:t>
      </w:r>
      <w:r>
        <w:rPr>
          <w:rFonts w:ascii="Garamond" w:cs="Garamond" w:eastAsia="Garamond" w:hAnsi="Garamond"/>
          <w:b/>
          <w:bCs/>
          <w:color w:val="1C3A5E"/>
          <w:sz w:val="22"/>
          <w:szCs w:val="22"/>
        </w:rPr>
        <w:t xml:space="preserve">operativo institucionalmente</w:t>
      </w:r>
      <w:r>
        <w:rPr>
          <w:rFonts w:ascii="Garamond" w:cs="Garamond" w:eastAsia="Garamond" w:hAnsi="Garamond"/>
          <w:sz w:val="22"/>
          <w:szCs w:val="22"/>
        </w:rPr>
        <w:t xml:space="preserve">. Los tres criterios se satisfacen solo si el diagnóstico integra las tres dimensiones del Tripartito. Ese es el argumento central de este PLADECO.</w:t>
      </w:r>
    </w:p>
    <w:p>
      <w:pPr>
        <w:pStyle w:val="Heading1"/>
        <w:pBdr>
          <w:bottom w:val="single" w:color="2E75B6" w:sz="6" w:space="2"/>
        </w:pBdr>
        <w:spacing w:after="80" w:before="320"/>
      </w:pPr>
      <w:r>
        <w:rPr>
          <w:rFonts w:ascii="Garamond" w:cs="Garamond" w:eastAsia="Garamond" w:hAnsi="Garamond"/>
          <w:b/>
          <w:bCs/>
          <w:color w:val="1C3A5E"/>
          <w:sz w:val="28"/>
          <w:szCs w:val="28"/>
        </w:rPr>
        <w:t xml:space="preserve">II. La magnitud del trabajo realizado: números que hablan</w:t>
      </w:r>
    </w:p>
    <w:p>
      <w:pPr>
        <w:spacing w:after="100" w:before="80" w:line="276" w:lineRule="auto"/>
        <w:jc w:val="both"/>
      </w:pPr>
      <w:r>
        <w:rPr>
          <w:rFonts w:ascii="Garamond" w:cs="Garamond" w:eastAsia="Garamond" w:hAnsi="Garamond"/>
          <w:sz w:val="22"/>
          <w:szCs w:val="22"/>
        </w:rPr>
        <w:t xml:space="preserve">Para comprender la escala del proceso, es necesario dimensionarlo con precisión. No se trata de un diagnóstico de escritorio. El proceso implicó siete etapas de trabajo sostenido, con participación directa de </w:t>
      </w:r>
      <w:r>
        <w:rPr>
          <w:rFonts w:ascii="Garamond" w:cs="Garamond" w:eastAsia="Garamond" w:hAnsi="Garamond"/>
          <w:b/>
          <w:bCs/>
          <w:color w:val="2E75B6"/>
          <w:sz w:val="22"/>
          <w:szCs w:val="22"/>
        </w:rPr>
        <w:t xml:space="preserve">más de 300 personas</w:t>
      </w:r>
      <w:r>
        <w:rPr>
          <w:rFonts w:ascii="Garamond" w:cs="Garamond" w:eastAsia="Garamond" w:hAnsi="Garamond"/>
          <w:sz w:val="22"/>
          <w:szCs w:val="22"/>
        </w:rPr>
        <w:t xml:space="preserve">, la revisión de </w:t>
      </w:r>
      <w:r>
        <w:rPr>
          <w:rFonts w:ascii="Garamond" w:cs="Garamond" w:eastAsia="Garamond" w:hAnsi="Garamond"/>
          <w:b/>
          <w:bCs/>
          <w:color w:val="2E75B6"/>
          <w:sz w:val="22"/>
          <w:szCs w:val="22"/>
        </w:rPr>
        <w:t xml:space="preserve">12 fuentes documentales independientes</w:t>
      </w:r>
      <w:r>
        <w:rPr>
          <w:rFonts w:ascii="Garamond" w:cs="Garamond" w:eastAsia="Garamond" w:hAnsi="Garamond"/>
          <w:sz w:val="22"/>
          <w:szCs w:val="22"/>
        </w:rPr>
        <w:t xml:space="preserve"> y el análisis de </w:t>
      </w:r>
      <w:r>
        <w:rPr>
          <w:rFonts w:ascii="Garamond" w:cs="Garamond" w:eastAsia="Garamond" w:hAnsi="Garamond"/>
          <w:b/>
          <w:bCs/>
          <w:color w:val="2E75B6"/>
          <w:sz w:val="22"/>
          <w:szCs w:val="22"/>
        </w:rPr>
        <w:t xml:space="preserve">65 instrumentos normativos</w:t>
      </w:r>
      <w:r>
        <w:rPr>
          <w:rFonts w:ascii="Garamond" w:cs="Garamond" w:eastAsia="Garamond" w:hAnsi="Garamond"/>
          <w:sz w:val="22"/>
          <w:szCs w:val="22"/>
        </w:rPr>
        <w:t xml:space="preserve"> con una cobertura temporal que se extiende desde 1984 hasta 2026. A continuación se detalla cada componente.</w:t>
      </w:r>
    </w:p>
    <w:p>
      <w:pPr>
        <w:pStyle w:val="Heading2"/>
        <w:spacing w:after="60" w:before="220"/>
      </w:pPr>
      <w:r>
        <w:rPr>
          <w:rFonts w:ascii="Garamond" w:cs="Garamond" w:eastAsia="Garamond" w:hAnsi="Garamond"/>
          <w:b/>
          <w:bCs/>
          <w:color w:val="2E75B6"/>
          <w:sz w:val="22"/>
          <w:szCs w:val="22"/>
        </w:rPr>
        <w:t xml:space="preserve">Participación ciudadana e institucional</w:t>
      </w:r>
    </w:p>
    <w:p>
      <w:pPr>
        <w:spacing w:after="100" w:before="80" w:line="276" w:lineRule="auto"/>
        <w:jc w:val="both"/>
      </w:pPr>
      <w:r>
        <w:rPr>
          <w:rFonts w:ascii="Garamond" w:cs="Garamond" w:eastAsia="Garamond" w:hAnsi="Garamond"/>
          <w:sz w:val="22"/>
          <w:szCs w:val="22"/>
        </w:rPr>
        <w:t xml:space="preserve">La participación no se limitó a una encuesta en línea. Se desplegaron cuatro instrumentos distintos y complementarios. La </w:t>
      </w:r>
      <w:r>
        <w:rPr>
          <w:rFonts w:ascii="Garamond" w:cs="Garamond" w:eastAsia="Garamond" w:hAnsi="Garamond"/>
          <w:b/>
          <w:bCs/>
          <w:color w:val="1C3A5E"/>
          <w:sz w:val="22"/>
          <w:szCs w:val="22"/>
        </w:rPr>
        <w:t xml:space="preserve">encuesta a niñas, niños y adolescentes</w:t>
      </w:r>
      <w:r>
        <w:rPr>
          <w:rFonts w:ascii="Garamond" w:cs="Garamond" w:eastAsia="Garamond" w:hAnsi="Garamond"/>
          <w:sz w:val="22"/>
          <w:szCs w:val="22"/>
        </w:rPr>
        <w:t xml:space="preserve"> alcanzó n=4.036 casos —un 49,61% de cobertura escolar—, convirtiéndose en el mayor diagnóstico de infancia de la historia comunal. La encuesta a educadoras de jardines infantiles (n=21) completó la visión sobre la primera infancia. La encuesta ciudadana general (n=119) y la encuesta a funcionarios municipales (n=116) aportaron la perspectiva del territorio adulto y del aparato público, respectivamente.</w:t>
      </w:r>
    </w:p>
    <w:p>
      <w:pPr>
        <w:spacing w:after="100" w:before="80" w:line="276" w:lineRule="auto"/>
        <w:jc w:val="both"/>
      </w:pPr>
      <w:r>
        <w:rPr>
          <w:rFonts w:ascii="Garamond" w:cs="Garamond" w:eastAsia="Garamond" w:hAnsi="Garamond"/>
          <w:sz w:val="22"/>
          <w:szCs w:val="22"/>
        </w:rPr>
        <w:t xml:space="preserve">En paralelo, se realizaron </w:t>
      </w:r>
      <w:r>
        <w:rPr>
          <w:rFonts w:ascii="Garamond" w:cs="Garamond" w:eastAsia="Garamond" w:hAnsi="Garamond"/>
          <w:b/>
          <w:bCs/>
          <w:color w:val="1C3A5E"/>
          <w:sz w:val="22"/>
          <w:szCs w:val="22"/>
        </w:rPr>
        <w:t xml:space="preserve">más de 50 entrevistas con organizaciones funcionales y territoriales</w:t>
      </w:r>
      <w:r>
        <w:rPr>
          <w:rFonts w:ascii="Garamond" w:cs="Garamond" w:eastAsia="Garamond" w:hAnsi="Garamond"/>
          <w:sz w:val="22"/>
          <w:szCs w:val="22"/>
        </w:rPr>
        <w:t xml:space="preserve">: 55 representantes de actores comunales, 10 clubes deportivos, 6 concejales, 3 consejeros regionales, 120 funcionarios municipales y recorridos presenciales en las 21 localidades rurales y 6 secciones de Rosario. Este trabajo de campo es irreproducible por métodos cuantitativos: entrega </w:t>
      </w:r>
      <w:r>
        <w:rPr>
          <w:rFonts w:ascii="Garamond" w:cs="Garamond" w:eastAsia="Garamond" w:hAnsi="Garamond"/>
          <w:b/>
          <w:bCs/>
          <w:color w:val="2E75B6"/>
          <w:sz w:val="22"/>
          <w:szCs w:val="22"/>
        </w:rPr>
        <w:t xml:space="preserve">textura social</w:t>
      </w:r>
      <w:r>
        <w:rPr>
          <w:rFonts w:ascii="Garamond" w:cs="Garamond" w:eastAsia="Garamond" w:hAnsi="Garamond"/>
          <w:sz w:val="22"/>
          <w:szCs w:val="22"/>
        </w:rPr>
        <w:t xml:space="preserve">, es decir, los matices, contradicciones y tensiones que solo emergen en la conversación directa con quienes viven el territorio.</w:t>
      </w:r>
    </w:p>
    <w:p>
      <w:pPr>
        <w:pStyle w:val="Heading2"/>
        <w:spacing w:after="60" w:before="220"/>
      </w:pPr>
      <w:r>
        <w:rPr>
          <w:rFonts w:ascii="Garamond" w:cs="Garamond" w:eastAsia="Garamond" w:hAnsi="Garamond"/>
          <w:b/>
          <w:bCs/>
          <w:color w:val="2E75B6"/>
          <w:sz w:val="22"/>
          <w:szCs w:val="22"/>
        </w:rPr>
        <w:t xml:space="preserve">Análisis documental e institucional</w:t>
      </w:r>
    </w:p>
    <w:p>
      <w:pPr>
        <w:spacing w:after="100" w:before="80" w:line="276" w:lineRule="auto"/>
        <w:jc w:val="both"/>
      </w:pPr>
      <w:r>
        <w:rPr>
          <w:rFonts w:ascii="Garamond" w:cs="Garamond" w:eastAsia="Garamond" w:hAnsi="Garamond"/>
          <w:sz w:val="22"/>
          <w:szCs w:val="22"/>
        </w:rPr>
        <w:t xml:space="preserve">Sobre la dimensión institucional, se analizaron </w:t>
      </w:r>
      <w:r>
        <w:rPr>
          <w:rFonts w:ascii="Garamond" w:cs="Garamond" w:eastAsia="Garamond" w:hAnsi="Garamond"/>
          <w:b/>
          <w:bCs/>
          <w:color w:val="1C3A5E"/>
          <w:sz w:val="22"/>
          <w:szCs w:val="22"/>
        </w:rPr>
        <w:t xml:space="preserve">65 instrumentos normativos</w:t>
      </w:r>
      <w:r>
        <w:rPr>
          <w:rFonts w:ascii="Garamond" w:cs="Garamond" w:eastAsia="Garamond" w:hAnsi="Garamond"/>
          <w:sz w:val="22"/>
          <w:szCs w:val="22"/>
        </w:rPr>
        <w:t xml:space="preserve"> —55 decretos municipales y ordenanzas con un período de cobertura de 39 años (1984-2023)—, encontrando que el 63,6% de los decretos vigentes tienen más de 20 años de antigüedad. Se identificaron </w:t>
      </w:r>
      <w:r>
        <w:rPr>
          <w:rFonts w:ascii="Garamond" w:cs="Garamond" w:eastAsia="Garamond" w:hAnsi="Garamond"/>
          <w:b/>
          <w:bCs/>
          <w:color w:val="1C3A5E"/>
          <w:sz w:val="22"/>
          <w:szCs w:val="22"/>
        </w:rPr>
        <w:t xml:space="preserve">8 vacíos normativos críticos</w:t>
      </w:r>
      <w:r>
        <w:rPr>
          <w:rFonts w:ascii="Garamond" w:cs="Garamond" w:eastAsia="Garamond" w:hAnsi="Garamond"/>
          <w:sz w:val="22"/>
          <w:szCs w:val="22"/>
        </w:rPr>
        <w:t xml:space="preserve">: Desarrollo Social con 0% de cobertura normativa frente a una necesidad del 90%, Salud con 0% frente al 85% y Educación con 0% frente al 80%. Estos vacíos no son datos marginales: son el origen estructural de muchas de las brechas de gestión que el PLADECO debe resolver.</w:t>
      </w:r>
    </w:p>
    <w:p>
      <w:pPr>
        <w:spacing w:after="100" w:before="80" w:line="276" w:lineRule="auto"/>
        <w:jc w:val="both"/>
      </w:pPr>
      <w:r>
        <w:rPr>
          <w:rFonts w:ascii="Garamond" w:cs="Garamond" w:eastAsia="Garamond" w:hAnsi="Garamond"/>
          <w:sz w:val="22"/>
          <w:szCs w:val="22"/>
        </w:rPr>
        <w:t xml:space="preserve">Se revisaron además las </w:t>
      </w:r>
      <w:r>
        <w:rPr>
          <w:rFonts w:ascii="Garamond" w:cs="Garamond" w:eastAsia="Garamond" w:hAnsi="Garamond"/>
          <w:b/>
          <w:bCs/>
          <w:color w:val="1C3A5E"/>
          <w:sz w:val="22"/>
          <w:szCs w:val="22"/>
        </w:rPr>
        <w:t xml:space="preserve">auditorías de la Contraloría General de la República 2009-2024</w:t>
      </w:r>
      <w:r>
        <w:rPr>
          <w:rFonts w:ascii="Garamond" w:cs="Garamond" w:eastAsia="Garamond" w:hAnsi="Garamond"/>
          <w:sz w:val="22"/>
          <w:szCs w:val="22"/>
        </w:rPr>
        <w:t xml:space="preserve">, los estados financieros 2018-2024 y las cuentas públicas de los últimos 15 años. Este análisis histórico es el que permite afirmar, con evidencia documental, que la Municipalidad de Rengo protagonizó una </w:t>
      </w:r>
      <w:r>
        <w:rPr>
          <w:rFonts w:ascii="Garamond" w:cs="Garamond" w:eastAsia="Garamond" w:hAnsi="Garamond"/>
          <w:b/>
          <w:bCs/>
          <w:color w:val="2E75B6"/>
          <w:sz w:val="22"/>
          <w:szCs w:val="22"/>
        </w:rPr>
        <w:t xml:space="preserve">transformación institucional real entre 2012 y 2023</w:t>
      </w:r>
      <w:r>
        <w:rPr>
          <w:rFonts w:ascii="Garamond" w:cs="Garamond" w:eastAsia="Garamond" w:hAnsi="Garamond"/>
          <w:sz w:val="22"/>
          <w:szCs w:val="22"/>
        </w:rPr>
        <w:t xml:space="preserve">: el patrimonio municipal pasó de -$1.460 millones a +$9.400 millones (+744%), la transparencia CPLT saltó de 16,41% a 97,89% y la inversión SECPLAC creció de $2.000 a $20.000 millones. Pero también permite identificar la paradoja central que el PLADECO debe resolver: el municipio con la mayor transparencia de la región tiene el 50% de sus instrumentos de gestión formalizados en decreto pero sin implementación verificable.</w:t>
      </w:r>
    </w:p>
    <w:p>
      <w:pPr>
        <w:pStyle w:val="Heading2"/>
        <w:spacing w:after="60" w:before="220"/>
      </w:pPr>
      <w:r>
        <w:rPr>
          <w:rFonts w:ascii="Garamond" w:cs="Garamond" w:eastAsia="Garamond" w:hAnsi="Garamond"/>
          <w:b/>
          <w:bCs/>
          <w:color w:val="2E75B6"/>
          <w:sz w:val="22"/>
          <w:szCs w:val="22"/>
        </w:rPr>
        <w:t xml:space="preserve">Diagnóstico territorial: las 21 unidades vecinales</w:t>
      </w:r>
    </w:p>
    <w:p>
      <w:pPr>
        <w:spacing w:after="100" w:before="80" w:line="276" w:lineRule="auto"/>
        <w:jc w:val="both"/>
      </w:pPr>
      <w:r>
        <w:rPr>
          <w:rFonts w:ascii="Garamond" w:cs="Garamond" w:eastAsia="Garamond" w:hAnsi="Garamond"/>
          <w:sz w:val="22"/>
          <w:szCs w:val="22"/>
        </w:rPr>
        <w:t xml:space="preserve">Cada una de las </w:t>
      </w:r>
      <w:r>
        <w:rPr>
          <w:rFonts w:ascii="Garamond" w:cs="Garamond" w:eastAsia="Garamond" w:hAnsi="Garamond"/>
          <w:b/>
          <w:bCs/>
          <w:color w:val="1C3A5E"/>
          <w:sz w:val="22"/>
          <w:szCs w:val="22"/>
        </w:rPr>
        <w:t xml:space="preserve">21 unidades vecinales</w:t>
      </w:r>
      <w:r>
        <w:rPr>
          <w:rFonts w:ascii="Garamond" w:cs="Garamond" w:eastAsia="Garamond" w:hAnsi="Garamond"/>
          <w:sz w:val="22"/>
          <w:szCs w:val="22"/>
        </w:rPr>
        <w:t xml:space="preserve"> —9 urbanas y 12 rurales— recibió un diagnóstico individualizado. Este trabajo, liderado por Paula Ramírez Marambio, combinó etnografía de campo, cartografía georreferenciada y análisis de redes SNA para identificar los objetivos comunes entre unidades vecinas. El resultado es un diagnóstico territorial que </w:t>
      </w:r>
      <w:r>
        <w:rPr>
          <w:rFonts w:ascii="Garamond" w:cs="Garamond" w:eastAsia="Garamond" w:hAnsi="Garamond"/>
          <w:b/>
          <w:bCs/>
          <w:color w:val="2E75B6"/>
          <w:sz w:val="22"/>
          <w:szCs w:val="22"/>
        </w:rPr>
        <w:t xml:space="preserve">no trata a Rengo como un bloque homogéneo</w:t>
      </w:r>
      <w:r>
        <w:rPr>
          <w:rFonts w:ascii="Garamond" w:cs="Garamond" w:eastAsia="Garamond" w:hAnsi="Garamond"/>
          <w:sz w:val="22"/>
          <w:szCs w:val="22"/>
        </w:rPr>
        <w:t xml:space="preserve"> sino como un mosaico de realidades con dinámicas propias, lo que permite formular políticas con pertinencia territorial efectiva.</w:t>
      </w:r>
    </w:p>
    <w:p>
      <w:pPr>
        <w:spacing w:after="100" w:before="80" w:line="276" w:lineRule="auto"/>
        <w:jc w:val="both"/>
      </w:pPr>
      <w:r>
        <w:rPr>
          <w:rFonts w:ascii="Garamond" w:cs="Garamond" w:eastAsia="Garamond" w:hAnsi="Garamond"/>
          <w:sz w:val="22"/>
          <w:szCs w:val="22"/>
        </w:rPr>
        <w:t xml:space="preserve">En paralelo, se realizó un diagnóstico geoespacial de </w:t>
      </w:r>
      <w:r>
        <w:rPr>
          <w:rFonts w:ascii="Garamond" w:cs="Garamond" w:eastAsia="Garamond" w:hAnsi="Garamond"/>
          <w:b/>
          <w:bCs/>
          <w:color w:val="1C3A5E"/>
          <w:sz w:val="22"/>
          <w:szCs w:val="22"/>
        </w:rPr>
        <w:t xml:space="preserve">100 puntos de espacios públicos</w:t>
      </w:r>
      <w:r>
        <w:rPr>
          <w:rFonts w:ascii="Garamond" w:cs="Garamond" w:eastAsia="Garamond" w:hAnsi="Garamond"/>
          <w:sz w:val="22"/>
          <w:szCs w:val="22"/>
        </w:rPr>
        <w:t xml:space="preserve"> distribuidos en cuatro zonas del territorio comunal, sistematizados en formato QGIS y convertidos en cartografía temática de brechas de infraestructura pública. Esta herramienta es inédita en la historia de la planificación comunal de Rengo.</w:t>
      </w:r>
    </w:p>
    <w:p>
      <w:r>
        <w:br w:type="page"/>
      </w:r>
    </w:p>
    <w:p>
      <w:pPr>
        <w:pStyle w:val="Heading1"/>
        <w:pBdr>
          <w:bottom w:val="single" w:color="2E75B6" w:sz="6" w:space="2"/>
        </w:pBdr>
        <w:spacing w:after="80" w:before="320"/>
      </w:pPr>
      <w:r>
        <w:rPr>
          <w:rFonts w:ascii="Garamond" w:cs="Garamond" w:eastAsia="Garamond" w:hAnsi="Garamond"/>
          <w:b/>
          <w:bCs/>
          <w:color w:val="1C3A5E"/>
          <w:sz w:val="28"/>
          <w:szCs w:val="28"/>
        </w:rPr>
        <w:t xml:space="preserve">III. Lo que el diagnóstico revela: argumentos que no se pueden ignorar</w:t>
      </w:r>
    </w:p>
    <w:p>
      <w:pPr>
        <w:spacing w:after="100" w:before="80" w:line="276" w:lineRule="auto"/>
        <w:jc w:val="both"/>
      </w:pPr>
      <w:r>
        <w:rPr>
          <w:rFonts w:ascii="Garamond" w:cs="Garamond" w:eastAsia="Garamond" w:hAnsi="Garamond"/>
          <w:sz w:val="22"/>
          <w:szCs w:val="22"/>
        </w:rPr>
        <w:t xml:space="preserve">El diagnóstico no es una colección de datos: es un argumento sobre la realidad comunal. Cada hallazgo clave tiene consecuencias directas para la formulación de objetivos estratégicos del PLADECO. A continuación se presentan los cinco argumentos más relevantes.</w:t>
      </w:r>
    </w:p>
    <w:p>
      <w:pPr>
        <w:pStyle w:val="Heading2"/>
        <w:spacing w:after="60" w:before="220"/>
      </w:pPr>
      <w:r>
        <w:rPr>
          <w:rFonts w:ascii="Garamond" w:cs="Garamond" w:eastAsia="Garamond" w:hAnsi="Garamond"/>
          <w:b/>
          <w:bCs/>
          <w:color w:val="2E75B6"/>
          <w:sz w:val="22"/>
          <w:szCs w:val="22"/>
        </w:rPr>
        <w:t xml:space="preserve">Argumento 1: Rengo tiene fortalezas estructurales subutilizadas</w:t>
      </w:r>
    </w:p>
    <w:p>
      <w:pPr>
        <w:spacing w:after="100" w:before="80" w:line="276" w:lineRule="auto"/>
        <w:jc w:val="both"/>
      </w:pPr>
      <w:r>
        <w:rPr>
          <w:rFonts w:ascii="Garamond" w:cs="Garamond" w:eastAsia="Garamond" w:hAnsi="Garamond"/>
          <w:sz w:val="22"/>
          <w:szCs w:val="22"/>
        </w:rPr>
        <w:t xml:space="preserve">Con 4.829 empresas formales (SII 2023), Rengo es la primera ciudad de la Provincia de Cachapoal en base empresarial, superando a Rancagua (4.138). Lidera en manufactura (+256%), comercio (+337%), construcción (+303%) y servicios de salud social (+510%). Sin embargo, el turismo —que debería ser su tercera pata económica dada su proximidad con el Valle Apalta— cuenta con apenas 5 proyectos en el BIP, equivalente al 0,4% del total. Esta </w:t>
      </w:r>
      <w:r>
        <w:rPr>
          <w:rFonts w:ascii="Garamond" w:cs="Garamond" w:eastAsia="Garamond" w:hAnsi="Garamond"/>
          <w:b/>
          <w:bCs/>
          <w:color w:val="1C3A5E"/>
          <w:sz w:val="22"/>
          <w:szCs w:val="22"/>
        </w:rPr>
        <w:t xml:space="preserve">asimetría entre liderazgo económico real y baja capitalización estratégica</w:t>
      </w:r>
      <w:r>
        <w:rPr>
          <w:rFonts w:ascii="Garamond" w:cs="Garamond" w:eastAsia="Garamond" w:hAnsi="Garamond"/>
          <w:sz w:val="22"/>
          <w:szCs w:val="22"/>
        </w:rPr>
        <w:t xml:space="preserve"> es una brecha que el PLADECO puede cerrar con articulación sectorial específica.</w:t>
      </w:r>
    </w:p>
    <w:p>
      <w:pPr>
        <w:spacing w:after="100" w:before="80" w:line="276" w:lineRule="auto"/>
        <w:jc w:val="both"/>
      </w:pPr>
      <w:r>
        <w:rPr>
          <w:rFonts w:ascii="Garamond" w:cs="Garamond" w:eastAsia="Garamond" w:hAnsi="Garamond"/>
          <w:sz w:val="22"/>
          <w:szCs w:val="22"/>
        </w:rPr>
        <w:t xml:space="preserve">En lo institucional, el PACCC aprobado sitúa a Rengo en el </w:t>
      </w:r>
      <w:r>
        <w:rPr>
          <w:rFonts w:ascii="Garamond" w:cs="Garamond" w:eastAsia="Garamond" w:hAnsi="Garamond"/>
          <w:b/>
          <w:bCs/>
          <w:color w:val="2E75B6"/>
          <w:sz w:val="22"/>
          <w:szCs w:val="22"/>
        </w:rPr>
        <w:t xml:space="preserve">6,4% de las comunas del país</w:t>
      </w:r>
      <w:r>
        <w:rPr>
          <w:rFonts w:ascii="Garamond" w:cs="Garamond" w:eastAsia="Garamond" w:hAnsi="Garamond"/>
          <w:sz w:val="22"/>
          <w:szCs w:val="22"/>
        </w:rPr>
        <w:t xml:space="preserve"> con este instrumento. La Ley 21.807 —vigente desde el 16 de febrero de 2026— obliga a articular el PLADECO con el PRC y el PACCC, lo que abre una palanca de acceso a financiamiento climático internacional que hoy no se está usando.</w:t>
      </w:r>
    </w:p>
    <w:p>
      <w:pPr>
        <w:pStyle w:val="Heading2"/>
        <w:spacing w:after="60" w:before="220"/>
      </w:pPr>
      <w:r>
        <w:rPr>
          <w:rFonts w:ascii="Garamond" w:cs="Garamond" w:eastAsia="Garamond" w:hAnsi="Garamond"/>
          <w:b/>
          <w:bCs/>
          <w:color w:val="2E75B6"/>
          <w:sz w:val="22"/>
          <w:szCs w:val="22"/>
        </w:rPr>
        <w:t xml:space="preserve">Argumento 2: El envejecimiento demográfico es una emergencia planificada</w:t>
      </w:r>
    </w:p>
    <w:p>
      <w:pPr>
        <w:spacing w:after="100" w:before="80" w:line="276" w:lineRule="auto"/>
        <w:jc w:val="both"/>
      </w:pPr>
      <w:r>
        <w:rPr>
          <w:rFonts w:ascii="Garamond" w:cs="Garamond" w:eastAsia="Garamond" w:hAnsi="Garamond"/>
          <w:sz w:val="22"/>
          <w:szCs w:val="22"/>
        </w:rPr>
        <w:t xml:space="preserve">Rengo creció de 54.533 (2001) a 65.786 habitantes (Censo 2024). Pero el dato más relevante no es el crecimiento total sino la </w:t>
      </w:r>
      <w:r>
        <w:rPr>
          <w:rFonts w:ascii="Garamond" w:cs="Garamond" w:eastAsia="Garamond" w:hAnsi="Garamond"/>
          <w:b/>
          <w:bCs/>
          <w:color w:val="1C3A5E"/>
          <w:sz w:val="22"/>
          <w:szCs w:val="22"/>
        </w:rPr>
        <w:t xml:space="preserve">aceleración del envejecimiento</w:t>
      </w:r>
      <w:r>
        <w:rPr>
          <w:rFonts w:ascii="Garamond" w:cs="Garamond" w:eastAsia="Garamond" w:hAnsi="Garamond"/>
          <w:sz w:val="22"/>
          <w:szCs w:val="22"/>
        </w:rPr>
        <w:t xml:space="preserve">: el índice de envejecimiento saltó de 53,8 (2017) a 72,1 (2024), un aumento del 34% en apenas 7 años. A este ritmo, el índice estará cercano a 100 en 2035, lo que significa que habrá casi un adulto mayor por cada niño o niña en la comuna.</w:t>
      </w:r>
    </w:p>
    <w:p>
      <w:pPr>
        <w:spacing w:after="100" w:before="80" w:line="276" w:lineRule="auto"/>
        <w:jc w:val="both"/>
      </w:pPr>
      <w:r>
        <w:rPr>
          <w:rFonts w:ascii="Garamond" w:cs="Garamond" w:eastAsia="Garamond" w:hAnsi="Garamond"/>
          <w:sz w:val="22"/>
          <w:szCs w:val="22"/>
        </w:rPr>
        <w:t xml:space="preserve">Un PLADECO que no diseñe sus servicios de salud, vivienda, movilidad y espacio público en función de esta transición demográfica será obsoleto antes de ser implementado. </w:t>
      </w:r>
      <w:r>
        <w:rPr>
          <w:rFonts w:ascii="Garamond" w:cs="Garamond" w:eastAsia="Garamond" w:hAnsi="Garamond"/>
          <w:b/>
          <w:bCs/>
          <w:color w:val="1C3A5E"/>
          <w:sz w:val="22"/>
          <w:szCs w:val="22"/>
        </w:rPr>
        <w:t xml:space="preserve">El envejecimiento no es un problema futuro: es un problema presente que la planificación actual ignora.</w:t>
      </w:r>
    </w:p>
    <w:p>
      <w:pPr>
        <w:pStyle w:val="Heading2"/>
        <w:spacing w:after="60" w:before="220"/>
      </w:pPr>
      <w:r>
        <w:rPr>
          <w:rFonts w:ascii="Garamond" w:cs="Garamond" w:eastAsia="Garamond" w:hAnsi="Garamond"/>
          <w:b/>
          <w:bCs/>
          <w:color w:val="2E75B6"/>
          <w:sz w:val="22"/>
          <w:szCs w:val="22"/>
        </w:rPr>
        <w:t xml:space="preserve">Argumento 3: La seguridad pública exige respuestas estructurales, no solo policiales</w:t>
      </w:r>
    </w:p>
    <w:p>
      <w:pPr>
        <w:spacing w:after="100" w:before="80" w:line="276" w:lineRule="auto"/>
        <w:jc w:val="both"/>
      </w:pPr>
      <w:r>
        <w:rPr>
          <w:rFonts w:ascii="Garamond" w:cs="Garamond" w:eastAsia="Garamond" w:hAnsi="Garamond"/>
          <w:sz w:val="22"/>
          <w:szCs w:val="22"/>
        </w:rPr>
        <w:t xml:space="preserve">Los delitos contra la vida aumentaron un </w:t>
      </w:r>
      <w:r>
        <w:rPr>
          <w:rFonts w:ascii="Garamond" w:cs="Garamond" w:eastAsia="Garamond" w:hAnsi="Garamond"/>
          <w:b/>
          <w:bCs/>
          <w:color w:val="BF4900"/>
          <w:sz w:val="22"/>
          <w:szCs w:val="22"/>
        </w:rPr>
        <w:t xml:space="preserve">+126% en 20 años</w:t>
      </w:r>
      <w:r>
        <w:rPr>
          <w:rFonts w:ascii="Garamond" w:cs="Garamond" w:eastAsia="Garamond" w:hAnsi="Garamond"/>
          <w:sz w:val="22"/>
          <w:szCs w:val="22"/>
        </w:rPr>
        <w:t xml:space="preserve"> (de 599 casos en 2005 a 1.351 en 2024). Los delitos de drogas crecieron un +440% y los de armas un +308%. Pero el dato más perturbador para la planificación comunal es el aumento de los </w:t>
      </w:r>
      <w:r>
        <w:rPr>
          <w:rFonts w:ascii="Garamond" w:cs="Garamond" w:eastAsia="Garamond" w:hAnsi="Garamond"/>
          <w:b/>
          <w:bCs/>
          <w:color w:val="BF4900"/>
          <w:sz w:val="22"/>
          <w:szCs w:val="22"/>
        </w:rPr>
        <w:t xml:space="preserve">jóvenes victimarios de 14 a 17 años</w:t>
      </w:r>
      <w:r>
        <w:rPr>
          <w:rFonts w:ascii="Garamond" w:cs="Garamond" w:eastAsia="Garamond" w:hAnsi="Garamond"/>
          <w:sz w:val="22"/>
          <w:szCs w:val="22"/>
        </w:rPr>
        <w:t xml:space="preserve">: +464% en 20 años. Este dato no puede interpretarse solo como un problema de seguridad pública: es también un indicador de fracaso de los sistemas de protección, educación y cohesión social. La seguridad que el 70% de la ciudadanía identifica como su problema principal </w:t>
      </w:r>
      <w:r>
        <w:rPr>
          <w:rFonts w:ascii="Garamond" w:cs="Garamond" w:eastAsia="Garamond" w:hAnsi="Garamond"/>
          <w:b/>
          <w:bCs/>
          <w:color w:val="1C3A5E"/>
          <w:sz w:val="22"/>
          <w:szCs w:val="22"/>
        </w:rPr>
        <w:t xml:space="preserve">no se resuelve con más carabineros</w:t>
      </w:r>
      <w:r>
        <w:rPr>
          <w:rFonts w:ascii="Garamond" w:cs="Garamond" w:eastAsia="Garamond" w:hAnsi="Garamond"/>
          <w:sz w:val="22"/>
          <w:szCs w:val="22"/>
        </w:rPr>
        <w:t xml:space="preserve">: se resuelve con políticas estructurales de prevención, reinserción y recuperación del espacio público que el PLADECO debe articular.</w:t>
      </w:r>
    </w:p>
    <w:p>
      <w:pPr>
        <w:pStyle w:val="Heading2"/>
        <w:spacing w:after="60" w:before="220"/>
      </w:pPr>
      <w:r>
        <w:rPr>
          <w:rFonts w:ascii="Garamond" w:cs="Garamond" w:eastAsia="Garamond" w:hAnsi="Garamond"/>
          <w:b/>
          <w:bCs/>
          <w:color w:val="2E75B6"/>
          <w:sz w:val="22"/>
          <w:szCs w:val="22"/>
        </w:rPr>
        <w:t xml:space="preserve">Argumento 4: La brecha financiera es una decisión política, no una limitación técnica</w:t>
      </w:r>
    </w:p>
    <w:p>
      <w:pPr>
        <w:spacing w:after="100" w:before="80" w:line="276" w:lineRule="auto"/>
        <w:jc w:val="both"/>
      </w:pPr>
      <w:r>
        <w:rPr>
          <w:rFonts w:ascii="Garamond" w:cs="Garamond" w:eastAsia="Garamond" w:hAnsi="Garamond"/>
          <w:sz w:val="22"/>
          <w:szCs w:val="22"/>
        </w:rPr>
        <w:t xml:space="preserve">La tasa de captación de fondos externos de Rengo es del 6,28%, mientras que el promedio regional es del 13,89%. La diferencia —un 55% menos de lo que la comuna debería estar capturando— no es resultado de una incapacidad técnica: es consecuencia de la </w:t>
      </w:r>
      <w:r>
        <w:rPr>
          <w:rFonts w:ascii="Garamond" w:cs="Garamond" w:eastAsia="Garamond" w:hAnsi="Garamond"/>
          <w:b/>
          <w:bCs/>
          <w:color w:val="1C3A5E"/>
          <w:sz w:val="22"/>
          <w:szCs w:val="22"/>
        </w:rPr>
        <w:t xml:space="preserve">ausencia de una estrategia sistemática de postulación</w:t>
      </w:r>
      <w:r>
        <w:rPr>
          <w:rFonts w:ascii="Garamond" w:cs="Garamond" w:eastAsia="Garamond" w:hAnsi="Garamond"/>
          <w:sz w:val="22"/>
          <w:szCs w:val="22"/>
        </w:rPr>
        <w:t xml:space="preserve">. La tasa de materialización de la inversión, que bajó al 30,7%, confirma esta lectura: no es que no haya recursos, es que no hay capacidad institucional para ejecutarlos. El PLADECO debe formular, en consecuencia, objetivos específicos para fortalecer la capacidad de gestión de proyectos de inversión.</w:t>
      </w:r>
    </w:p>
    <w:p>
      <w:pPr>
        <w:pStyle w:val="Heading2"/>
        <w:spacing w:after="60" w:before="220"/>
      </w:pPr>
      <w:r>
        <w:rPr>
          <w:rFonts w:ascii="Garamond" w:cs="Garamond" w:eastAsia="Garamond" w:hAnsi="Garamond"/>
          <w:b/>
          <w:bCs/>
          <w:color w:val="2E75B6"/>
          <w:sz w:val="22"/>
          <w:szCs w:val="22"/>
        </w:rPr>
        <w:t xml:space="preserve">Argumento 5: La infancia evalúa el presente y anticipa el futuro</w:t>
      </w:r>
    </w:p>
    <w:p>
      <w:pPr>
        <w:spacing w:after="100" w:before="80" w:line="276" w:lineRule="auto"/>
        <w:jc w:val="both"/>
      </w:pPr>
      <w:r>
        <w:rPr>
          <w:rFonts w:ascii="Garamond" w:cs="Garamond" w:eastAsia="Garamond" w:hAnsi="Garamond"/>
          <w:sz w:val="22"/>
          <w:szCs w:val="22"/>
        </w:rPr>
        <w:t xml:space="preserve">La encuesta a 4.036 niñas, niños y adolescentes —la más grande de la historia comunal— arroja un resultado que debería ser un </w:t>
      </w:r>
      <w:r>
        <w:rPr>
          <w:rFonts w:ascii="Garamond" w:cs="Garamond" w:eastAsia="Garamond" w:hAnsi="Garamond"/>
          <w:b/>
          <w:bCs/>
          <w:color w:val="1C3A5E"/>
          <w:sz w:val="22"/>
          <w:szCs w:val="22"/>
        </w:rPr>
        <w:t xml:space="preserve">imperativo político de primer orden</w:t>
      </w:r>
      <w:r>
        <w:rPr>
          <w:rFonts w:ascii="Garamond" w:cs="Garamond" w:eastAsia="Garamond" w:hAnsi="Garamond"/>
          <w:sz w:val="22"/>
          <w:szCs w:val="22"/>
        </w:rPr>
        <w:t xml:space="preserve">: el 100% de los NNA evalúa negativamente el entorno que Rengo les ofrece. No hay un único indicador positivo. Esta evaluación abarca seguridad, participación, espacios de recreación, salud mental y acceso a derechos. Una comuna que no puede retener la confianza de su infancia tiene un problema de proyecto de futuro, no solo de gestión presente. Por eso el diagnóstico de la Oficina Local de la Niñez se integra como sección autónoma e irrenunciable del PLADECO.</w:t>
      </w:r>
    </w:p>
    <w:p>
      <w:r>
        <w:br w:type="page"/>
      </w:r>
    </w:p>
    <w:p>
      <w:pPr>
        <w:pStyle w:val="Heading1"/>
        <w:pBdr>
          <w:bottom w:val="single" w:color="2E75B6" w:sz="6" w:space="2"/>
        </w:pBdr>
        <w:spacing w:after="80" w:before="320"/>
      </w:pPr>
      <w:r>
        <w:rPr>
          <w:rFonts w:ascii="Garamond" w:cs="Garamond" w:eastAsia="Garamond" w:hAnsi="Garamond"/>
          <w:b/>
          <w:bCs/>
          <w:color w:val="1C3A5E"/>
          <w:sz w:val="28"/>
          <w:szCs w:val="28"/>
        </w:rPr>
        <w:t xml:space="preserve">IV. Lo que está producido: los entregables como prueba del proceso</w:t>
      </w:r>
    </w:p>
    <w:p>
      <w:pPr>
        <w:spacing w:after="100" w:before="80" w:line="276" w:lineRule="auto"/>
        <w:jc w:val="both"/>
      </w:pPr>
      <w:r>
        <w:rPr>
          <w:rFonts w:ascii="Garamond" w:cs="Garamond" w:eastAsia="Garamond" w:hAnsi="Garamond"/>
          <w:sz w:val="22"/>
          <w:szCs w:val="22"/>
        </w:rPr>
        <w:t xml:space="preserve">El trabajo realizado se materializa en un conjunto de entregables técnicos de distinto tipo —documentos analíticos, instrumentos gráficos, cartografía, matrices estratégicas— que conforman la base documental del PLADECO 2025-2035. Se describen a continuación según su naturaleza y relevancia estratégica.</w:t>
      </w:r>
    </w:p>
    <w:p>
      <w:pPr>
        <w:pStyle w:val="Heading2"/>
        <w:spacing w:after="60" w:before="220"/>
      </w:pPr>
      <w:r>
        <w:rPr>
          <w:rFonts w:ascii="Garamond" w:cs="Garamond" w:eastAsia="Garamond" w:hAnsi="Garamond"/>
          <w:b/>
          <w:bCs/>
          <w:color w:val="2E75B6"/>
          <w:sz w:val="22"/>
          <w:szCs w:val="22"/>
        </w:rPr>
        <w:t xml:space="preserve">Diagnóstico FODA Integral — 80 elementos con evidencia documental</w:t>
      </w:r>
    </w:p>
    <w:p>
      <w:pPr>
        <w:spacing w:after="100" w:before="80" w:line="276" w:lineRule="auto"/>
        <w:jc w:val="both"/>
      </w:pPr>
      <w:r>
        <w:rPr>
          <w:rFonts w:ascii="Garamond" w:cs="Garamond" w:eastAsia="Garamond" w:hAnsi="Garamond"/>
          <w:sz w:val="22"/>
          <w:szCs w:val="22"/>
        </w:rPr>
        <w:t xml:space="preserve">El FODA del PLADECO 2025-2035 no es una lista de percepciones: es un catálogo de </w:t>
      </w:r>
      <w:r>
        <w:rPr>
          <w:rFonts w:ascii="Garamond" w:cs="Garamond" w:eastAsia="Garamond" w:hAnsi="Garamond"/>
          <w:b/>
          <w:bCs/>
          <w:color w:val="1C3A5E"/>
          <w:sz w:val="22"/>
          <w:szCs w:val="22"/>
        </w:rPr>
        <w:t xml:space="preserve">80 elementos verificados</w:t>
      </w:r>
      <w:r>
        <w:rPr>
          <w:rFonts w:ascii="Garamond" w:cs="Garamond" w:eastAsia="Garamond" w:hAnsi="Garamond"/>
          <w:sz w:val="22"/>
          <w:szCs w:val="22"/>
        </w:rPr>
        <w:t xml:space="preserve"> —20 fortalezas, 20 debilidades, 15 oportunidades y 15 amenazas— cada uno respaldado por su fuente documental específica (SINIM, CEAD, INE, BIP, CPLT, SII, CGR). Este nivel de documentación lo distingue de los FODA convencionales y lo convierte en un instrumento jurídicamente defendible ante cualquier instancia de evaluación externa.</w:t>
      </w:r>
    </w:p>
    <w:p>
      <w:pPr>
        <w:spacing w:after="100" w:before="80" w:line="276" w:lineRule="auto"/>
        <w:jc w:val="both"/>
      </w:pPr>
      <w:r>
        <w:rPr>
          <w:rFonts w:ascii="Garamond" w:cs="Garamond" w:eastAsia="Garamond" w:hAnsi="Garamond"/>
          <w:sz w:val="22"/>
          <w:szCs w:val="22"/>
        </w:rPr>
        <w:t xml:space="preserve">El FODA se complementa con tres instrumentos derivados: el </w:t>
      </w:r>
      <w:r>
        <w:rPr>
          <w:rFonts w:ascii="Garamond" w:cs="Garamond" w:eastAsia="Garamond" w:hAnsi="Garamond"/>
          <w:b/>
          <w:bCs/>
          <w:color w:val="2E75B6"/>
          <w:sz w:val="22"/>
          <w:szCs w:val="22"/>
        </w:rPr>
        <w:t xml:space="preserve">Análisis CAME</w:t>
      </w:r>
      <w:r>
        <w:rPr>
          <w:rFonts w:ascii="Garamond" w:cs="Garamond" w:eastAsia="Garamond" w:hAnsi="Garamond"/>
          <w:sz w:val="22"/>
          <w:szCs w:val="22"/>
        </w:rPr>
        <w:t xml:space="preserve"> (estrategias para Corregir debilidades, Afrontar amenazas, Mantener fortalezas y Explotar oportunidades), la </w:t>
      </w:r>
      <w:r>
        <w:rPr>
          <w:rFonts w:ascii="Garamond" w:cs="Garamond" w:eastAsia="Garamond" w:hAnsi="Garamond"/>
          <w:b/>
          <w:bCs/>
          <w:color w:val="2E75B6"/>
          <w:sz w:val="22"/>
          <w:szCs w:val="22"/>
        </w:rPr>
        <w:t xml:space="preserve">Hoja de Ruta de 14 acciones</w:t>
      </w:r>
      <w:r>
        <w:rPr>
          <w:rFonts w:ascii="Garamond" w:cs="Garamond" w:eastAsia="Garamond" w:hAnsi="Garamond"/>
          <w:sz w:val="22"/>
          <w:szCs w:val="22"/>
        </w:rPr>
        <w:t xml:space="preserve"> distribuidas en tres horizontes temporales (corto, mediano y largo plazo) y un sistema de </w:t>
      </w:r>
      <w:r>
        <w:rPr>
          <w:rFonts w:ascii="Garamond" w:cs="Garamond" w:eastAsia="Garamond" w:hAnsi="Garamond"/>
          <w:b/>
          <w:bCs/>
          <w:color w:val="2E75B6"/>
          <w:sz w:val="22"/>
          <w:szCs w:val="22"/>
        </w:rPr>
        <w:t xml:space="preserve">10 indicadores de seguimiento prioritarios</w:t>
      </w:r>
      <w:r>
        <w:rPr>
          <w:rFonts w:ascii="Garamond" w:cs="Garamond" w:eastAsia="Garamond" w:hAnsi="Garamond"/>
          <w:sz w:val="22"/>
          <w:szCs w:val="22"/>
        </w:rPr>
        <w:t xml:space="preserve"> con línea base, meta 2035 y fuente de verificación. Todo integrado en un documento de 832 KB con </w:t>
      </w:r>
      <w:r>
        <w:rPr>
          <w:rFonts w:ascii="Garamond" w:cs="Garamond" w:eastAsia="Garamond" w:hAnsi="Garamond"/>
          <w:b/>
          <w:bCs/>
          <w:color w:val="2E75B6"/>
          <w:sz w:val="22"/>
          <w:szCs w:val="22"/>
        </w:rPr>
        <w:t xml:space="preserve">8 gráficos analíticos</w:t>
      </w:r>
      <w:r>
        <w:rPr>
          <w:rFonts w:ascii="Garamond" w:cs="Garamond" w:eastAsia="Garamond" w:hAnsi="Garamond"/>
          <w:sz w:val="22"/>
          <w:szCs w:val="22"/>
        </w:rPr>
        <w:t xml:space="preserve"> generados en R 4.5 (ggplot2 e igraph), diseñados específicamente para comunicar los hallazgos al Alcalde y los directores sin requerir conocimientos estadísticos previos.</w:t>
      </w:r>
    </w:p>
    <w:p>
      <w:pPr>
        <w:pStyle w:val="Heading2"/>
        <w:spacing w:after="60" w:before="220"/>
      </w:pPr>
      <w:r>
        <w:rPr>
          <w:rFonts w:ascii="Garamond" w:cs="Garamond" w:eastAsia="Garamond" w:hAnsi="Garamond"/>
          <w:b/>
          <w:bCs/>
          <w:color w:val="2E75B6"/>
          <w:sz w:val="22"/>
          <w:szCs w:val="22"/>
        </w:rPr>
        <w:t xml:space="preserve">Marco normativo y objetivos estratégicos</w:t>
      </w:r>
    </w:p>
    <w:p>
      <w:pPr>
        <w:spacing w:after="100" w:before="80" w:line="276" w:lineRule="auto"/>
        <w:jc w:val="both"/>
      </w:pPr>
      <w:r>
        <w:rPr>
          <w:rFonts w:ascii="Garamond" w:cs="Garamond" w:eastAsia="Garamond" w:hAnsi="Garamond"/>
          <w:sz w:val="22"/>
          <w:szCs w:val="22"/>
        </w:rPr>
        <w:t xml:space="preserve">La sección de objetivos estratégicos no comienza por los objetivos sino por su justificación normativa. Se analizaron </w:t>
      </w:r>
      <w:r>
        <w:rPr>
          <w:rFonts w:ascii="Garamond" w:cs="Garamond" w:eastAsia="Garamond" w:hAnsi="Garamond"/>
          <w:b/>
          <w:bCs/>
          <w:color w:val="1C3A5E"/>
          <w:sz w:val="22"/>
          <w:szCs w:val="22"/>
        </w:rPr>
        <w:t xml:space="preserve">14 leyes sectoriales</w:t>
      </w:r>
      <w:r>
        <w:rPr>
          <w:rFonts w:ascii="Garamond" w:cs="Garamond" w:eastAsia="Garamond" w:hAnsi="Garamond"/>
          <w:sz w:val="22"/>
          <w:szCs w:val="22"/>
        </w:rPr>
        <w:t xml:space="preserve"> —incluyendo la recién promulgada Ley 21.807 de febrero de 2026, que introduce modificaciones sustantivas a la LOCMUN en materia de articulación del PLADECO con el PRC y el PACCC—, </w:t>
      </w:r>
      <w:r>
        <w:rPr>
          <w:rFonts w:ascii="Garamond" w:cs="Garamond" w:eastAsia="Garamond" w:hAnsi="Garamond"/>
          <w:b/>
          <w:bCs/>
          <w:color w:val="1C3A5E"/>
          <w:sz w:val="22"/>
          <w:szCs w:val="22"/>
        </w:rPr>
        <w:t xml:space="preserve">8 instrumentos de planificación articulados</w:t>
      </w:r>
      <w:r>
        <w:rPr>
          <w:rFonts w:ascii="Garamond" w:cs="Garamond" w:eastAsia="Garamond" w:hAnsi="Garamond"/>
          <w:sz w:val="22"/>
          <w:szCs w:val="22"/>
        </w:rPr>
        <w:t xml:space="preserve"> y los principios rectores del Manual PLADECO 2022 (SUBDERE/IDER-UFRO) y del Manual CEPAL 2009. El resultado es un marco normativo que le otorga al PLADECO una solidez legal ante la Contraloría y una coherencia con los compromisos internacionales del Estado chileno.</w:t>
      </w:r>
    </w:p>
    <w:p>
      <w:pPr>
        <w:pStyle w:val="Heading2"/>
        <w:spacing w:after="60" w:before="220"/>
      </w:pPr>
      <w:r>
        <w:rPr>
          <w:rFonts w:ascii="Garamond" w:cs="Garamond" w:eastAsia="Garamond" w:hAnsi="Garamond"/>
          <w:b/>
          <w:bCs/>
          <w:color w:val="2E75B6"/>
          <w:sz w:val="22"/>
          <w:szCs w:val="22"/>
        </w:rPr>
        <w:t xml:space="preserve">Diagnóstico de las 21 unidades vecinales y cartografía</w:t>
      </w:r>
    </w:p>
    <w:p>
      <w:pPr>
        <w:spacing w:after="100" w:before="80" w:line="276" w:lineRule="auto"/>
        <w:jc w:val="both"/>
      </w:pPr>
      <w:r>
        <w:rPr>
          <w:rFonts w:ascii="Garamond" w:cs="Garamond" w:eastAsia="Garamond" w:hAnsi="Garamond"/>
          <w:sz w:val="22"/>
          <w:szCs w:val="22"/>
        </w:rPr>
        <w:t xml:space="preserve">Cada unidad vecinal tiene su propio diagnóstico etnográfico, su ficha territorial, su cartografía georreferenciada y su análisis de redes SNA. Las 21 unidades —9 urbanas y 12 rurales— se tratan como </w:t>
      </w:r>
      <w:r>
        <w:rPr>
          <w:rFonts w:ascii="Garamond" w:cs="Garamond" w:eastAsia="Garamond" w:hAnsi="Garamond"/>
          <w:b/>
          <w:bCs/>
          <w:color w:val="1C3A5E"/>
          <w:sz w:val="22"/>
          <w:szCs w:val="22"/>
        </w:rPr>
        <w:t xml:space="preserve">unidades de análisis autónomas</w:t>
      </w:r>
      <w:r>
        <w:rPr>
          <w:rFonts w:ascii="Garamond" w:cs="Garamond" w:eastAsia="Garamond" w:hAnsi="Garamond"/>
          <w:sz w:val="22"/>
          <w:szCs w:val="22"/>
        </w:rPr>
        <w:t xml:space="preserve"> que luego se articulan en el Plan de Intervención Territorial. Este enfoque place-based garantiza que las políticas del PLADECO no sean genéricas sino específicas para cada realidad local.</w:t>
      </w:r>
    </w:p>
    <w:p>
      <w:pPr>
        <w:pStyle w:val="Heading2"/>
        <w:spacing w:after="60" w:before="220"/>
      </w:pPr>
      <w:r>
        <w:rPr>
          <w:rFonts w:ascii="Garamond" w:cs="Garamond" w:eastAsia="Garamond" w:hAnsi="Garamond"/>
          <w:b/>
          <w:bCs/>
          <w:color w:val="2E75B6"/>
          <w:sz w:val="22"/>
          <w:szCs w:val="22"/>
        </w:rPr>
        <w:t xml:space="preserve">Diagnóstico Comunal de Infancia (Oficina Local de la Niñez)</w:t>
      </w:r>
    </w:p>
    <w:p>
      <w:pPr>
        <w:spacing w:after="100" w:before="80" w:line="276" w:lineRule="auto"/>
        <w:jc w:val="both"/>
      </w:pPr>
      <w:r>
        <w:rPr>
          <w:rFonts w:ascii="Garamond" w:cs="Garamond" w:eastAsia="Garamond" w:hAnsi="Garamond"/>
          <w:sz w:val="22"/>
          <w:szCs w:val="22"/>
        </w:rPr>
        <w:t xml:space="preserve">La sección de infancia es un entregable de valor estratégico triple: cumple con el mandato de la Ley 21.430, entrega evidencia empírica sobre el estado de los derechos de la niñez en Rengo y formula </w:t>
      </w:r>
      <w:r>
        <w:rPr>
          <w:rFonts w:ascii="Garamond" w:cs="Garamond" w:eastAsia="Garamond" w:hAnsi="Garamond"/>
          <w:b/>
          <w:bCs/>
          <w:color w:val="1C3A5E"/>
          <w:sz w:val="22"/>
          <w:szCs w:val="22"/>
        </w:rPr>
        <w:t xml:space="preserve">7 recomendaciones estratégicas</w:t>
      </w:r>
      <w:r>
        <w:rPr>
          <w:rFonts w:ascii="Garamond" w:cs="Garamond" w:eastAsia="Garamond" w:hAnsi="Garamond"/>
          <w:sz w:val="22"/>
          <w:szCs w:val="22"/>
        </w:rPr>
        <w:t xml:space="preserve"> con respaldo normativo y técnico específico. La encuesta a 4.036 NNA la convierte en la fuente primaria más robusta del proceso y su integración al PLADECO es jurídicamente necesaria para una futura acreditación de la OLN.</w:t>
      </w:r>
    </w:p>
    <w:p>
      <w:pPr>
        <w:pStyle w:val="Heading1"/>
        <w:pBdr>
          <w:bottom w:val="single" w:color="2E75B6" w:sz="6" w:space="2"/>
        </w:pBdr>
        <w:spacing w:after="80" w:before="320"/>
      </w:pPr>
      <w:r>
        <w:rPr>
          <w:rFonts w:ascii="Garamond" w:cs="Garamond" w:eastAsia="Garamond" w:hAnsi="Garamond"/>
          <w:b/>
          <w:bCs/>
          <w:color w:val="1C3A5E"/>
          <w:sz w:val="28"/>
          <w:szCs w:val="28"/>
        </w:rPr>
        <w:t xml:space="preserve">V. Lo que falta y por qué importa terminarlo</w:t>
      </w:r>
    </w:p>
    <w:p>
      <w:pPr>
        <w:spacing w:after="100" w:before="80" w:line="276" w:lineRule="auto"/>
        <w:jc w:val="both"/>
      </w:pPr>
      <w:r>
        <w:rPr>
          <w:rFonts w:ascii="Garamond" w:cs="Garamond" w:eastAsia="Garamond" w:hAnsi="Garamond"/>
          <w:sz w:val="22"/>
          <w:szCs w:val="22"/>
        </w:rPr>
        <w:t xml:space="preserve">La estructura del PLADECO 2025-2035 tiene secciones completas, secciones en proceso y secciones pendientes. Esto no refleja un proceso incompleto: refleja un proceso </w:t>
      </w:r>
      <w:r>
        <w:rPr>
          <w:rFonts w:ascii="Garamond" w:cs="Garamond" w:eastAsia="Garamond" w:hAnsi="Garamond"/>
          <w:b/>
          <w:bCs/>
          <w:color w:val="1C3A5E"/>
          <w:sz w:val="22"/>
          <w:szCs w:val="22"/>
        </w:rPr>
        <w:t xml:space="preserve">en su fase final de integración</w:t>
      </w:r>
      <w:r>
        <w:rPr>
          <w:rFonts w:ascii="Garamond" w:cs="Garamond" w:eastAsia="Garamond" w:hAnsi="Garamond"/>
          <w:sz w:val="22"/>
          <w:szCs w:val="22"/>
        </w:rPr>
        <w:t xml:space="preserve">. Lo que falta es la envoltura que da coherencia narrativa a todo lo que ya está producido.</w:t>
      </w:r>
    </w:p>
    <w:p>
      <w:pPr>
        <w:spacing w:after="100" w:before="80" w:line="276" w:lineRule="auto"/>
        <w:jc w:val="both"/>
      </w:pPr>
      <w:r>
        <w:rPr>
          <w:rFonts w:ascii="Garamond" w:cs="Garamond" w:eastAsia="Garamond" w:hAnsi="Garamond"/>
          <w:sz w:val="22"/>
          <w:szCs w:val="22"/>
        </w:rPr>
        <w:t xml:space="preserve">Las secciones de introducción (1.1 a 1.8) son las que contextualizan el instrumento para el lector institucional: el Marco Normativo Básico, la historia de Rengo, la demografía y el diagnóstico del entorno urbano-rural. Sin ellas, el documento existe como colección de análisis técnicos, pero no como </w:t>
      </w:r>
      <w:r>
        <w:rPr>
          <w:rFonts w:ascii="Garamond" w:cs="Garamond" w:eastAsia="Garamond" w:hAnsi="Garamond"/>
          <w:b/>
          <w:bCs/>
          <w:color w:val="1C3A5E"/>
          <w:sz w:val="22"/>
          <w:szCs w:val="22"/>
        </w:rPr>
        <w:t xml:space="preserve">instrumento de gestión municipal integrado</w:t>
      </w:r>
      <w:r>
        <w:rPr>
          <w:rFonts w:ascii="Garamond" w:cs="Garamond" w:eastAsia="Garamond" w:hAnsi="Garamond"/>
          <w:sz w:val="22"/>
          <w:szCs w:val="22"/>
        </w:rPr>
        <w:t xml:space="preserve">. Lo mismo ocurre con las secciones de análisis de datos (3.1 a 3.8), que deben integrar los resultados del análisis ERD, CIREN, SINIM, CENSO 2024 y MBHT en un argumento territorial único.</w:t>
      </w:r>
    </w:p>
    <w:p>
      <w:pPr>
        <w:spacing w:after="100" w:before="80" w:line="276" w:lineRule="auto"/>
        <w:jc w:val="both"/>
      </w:pPr>
      <w:r>
        <w:rPr>
          <w:rFonts w:ascii="Garamond" w:cs="Garamond" w:eastAsia="Garamond" w:hAnsi="Garamond"/>
          <w:sz w:val="22"/>
          <w:szCs w:val="22"/>
        </w:rPr>
        <w:t xml:space="preserve">La Presentación del Alcalde y del Director SECPLAC son los últimos elementos que se incorporarán antes de la aprobación formal, dado que su contenido depende del proceso de revisión política del Concejo Municipal. Su ausencia actual no indica retraso: </w:t>
      </w:r>
      <w:r>
        <w:rPr>
          <w:rFonts w:ascii="Garamond" w:cs="Garamond" w:eastAsia="Garamond" w:hAnsi="Garamond"/>
          <w:b/>
          <w:bCs/>
          <w:i/>
          <w:iCs/>
          <w:color w:val="595959"/>
          <w:sz w:val="22"/>
          <w:szCs w:val="22"/>
        </w:rPr>
        <w:t xml:space="preserve">indica que el proceso institucional de validación está aún en curso, como corresponde a un instrumento de esta naturaleza.</w:t>
      </w:r>
    </w:p>
    <w:p>
      <w:pPr>
        <w:pBdr>
          <w:left w:val="single" w:color="2E75B6" w:sz="12" w:space="8"/>
        </w:pBdr>
        <w:spacing w:after="100" w:before="100" w:line="276" w:lineRule="auto"/>
        <w:ind w:left="600" w:right="400"/>
        <w:jc w:val="both"/>
      </w:pPr>
      <w:r>
        <w:rPr>
          <w:rFonts w:ascii="Garamond" w:cs="Garamond" w:eastAsia="Garamond" w:hAnsi="Garamond"/>
          <w:i/>
          <w:iCs/>
          <w:color w:val="595959"/>
          <w:sz w:val="20"/>
          <w:szCs w:val="20"/>
        </w:rPr>
        <w:t xml:space="preserve">El PLADECO no es un documento de escritorio que se entrega y archiva. Es un contrato político con la ciudadanía de Rengo para los próximos diez años. Por eso su terminación exige tanto rigor técnico como legitimidad institucional. Los dos deben estar presentes en la versión final.</w:t>
      </w:r>
    </w:p>
    <w:p>
      <w:r>
        <w:br w:type="page"/>
      </w:r>
    </w:p>
    <w:p>
      <w:pPr>
        <w:pStyle w:val="Heading1"/>
        <w:pBdr>
          <w:bottom w:val="single" w:color="2E75B6" w:sz="6" w:space="2"/>
        </w:pBdr>
        <w:spacing w:after="80" w:before="320"/>
      </w:pPr>
      <w:r>
        <w:rPr>
          <w:rFonts w:ascii="Garamond" w:cs="Garamond" w:eastAsia="Garamond" w:hAnsi="Garamond"/>
          <w:b/>
          <w:bCs/>
          <w:color w:val="1C3A5E"/>
          <w:sz w:val="28"/>
          <w:szCs w:val="28"/>
        </w:rPr>
        <w:t xml:space="preserve">VI. Conclusión: tres afirmaciones que el proceso permite sostener</w:t>
      </w:r>
    </w:p>
    <w:p>
      <w:pPr>
        <w:spacing w:after="100" w:before="80" w:line="276" w:lineRule="auto"/>
        <w:jc w:val="both"/>
      </w:pPr>
      <w:r>
        <w:rPr>
          <w:rFonts w:ascii="Garamond" w:cs="Garamond" w:eastAsia="Garamond" w:hAnsi="Garamond"/>
          <w:sz w:val="22"/>
          <w:szCs w:val="22"/>
        </w:rPr>
        <w:t xml:space="preserve">Este resumen ejecutivo cierra con tres afirmaciones que el proceso de elaboración del PLADECO 2025-2035 permite sostener con evidencia.</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none" w:color="FFFFFF" w:sz="0"/>
              <w:bottom w:val="single" w:color="D0D0D0" w:sz="2"/>
              <w:right w:val="none" w:color="FFFFFF" w:sz="0"/>
            </w:tcBorders>
            <w:shd w:fill="DEEAF1" w:val="clear"/>
            <w:tcMar>
              <w:top w:type="dxa" w:w="140"/>
              <w:left w:type="dxa" w:w="200"/>
              <w:bottom w:type="dxa" w:w="140"/>
              <w:right w:type="dxa" w:w="200"/>
            </w:tcMar>
          </w:tcPr>
          <w:p>
            <w:pPr>
              <w:spacing w:after="60" w:before="80"/>
            </w:pPr>
            <w:r>
              <w:rPr>
                <w:rFonts w:ascii="Garamond" w:cs="Garamond" w:eastAsia="Garamond" w:hAnsi="Garamond"/>
                <w:b/>
                <w:bCs/>
                <w:color w:val="1C3A5E"/>
                <w:sz w:val="22"/>
                <w:szCs w:val="22"/>
              </w:rPr>
              <w:t xml:space="preserve">Primera afirmación</w:t>
            </w:r>
          </w:p>
          <w:p>
            <w:pPr>
              <w:spacing w:after="80" w:before="0" w:line="276" w:lineRule="auto"/>
              <w:jc w:val="both"/>
            </w:pPr>
            <w:r>
              <w:rPr>
                <w:rFonts w:ascii="Garamond" w:cs="Garamond" w:eastAsia="Garamond" w:hAnsi="Garamond"/>
                <w:sz w:val="22"/>
                <w:szCs w:val="22"/>
              </w:rPr>
              <w:t xml:space="preserve">Rengo tiene una base institucional y económica más sólida de lo que el municipio comunica. El problema no es la ausencia de fortalezas: es la ausencia de una estrategia que las active. El PLADECO 2025-2035 es esa estrategia.</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6"/>
              <w:left w:val="none" w:color="FFFFFF" w:sz="0"/>
              <w:bottom w:val="single" w:color="D0D0D0" w:sz="2"/>
              <w:right w:val="none" w:color="FFFFFF" w:sz="0"/>
            </w:tcBorders>
            <w:shd w:fill="E2EFDA" w:val="clear"/>
            <w:tcMar>
              <w:top w:type="dxa" w:w="140"/>
              <w:left w:type="dxa" w:w="200"/>
              <w:bottom w:type="dxa" w:w="140"/>
              <w:right w:type="dxa" w:w="200"/>
            </w:tcMar>
          </w:tcPr>
          <w:p>
            <w:pPr>
              <w:spacing w:after="60" w:before="80"/>
            </w:pPr>
            <w:r>
              <w:rPr>
                <w:rFonts w:ascii="Garamond" w:cs="Garamond" w:eastAsia="Garamond" w:hAnsi="Garamond"/>
                <w:b/>
                <w:bCs/>
                <w:color w:val="1C3A5E"/>
                <w:sz w:val="22"/>
                <w:szCs w:val="22"/>
              </w:rPr>
              <w:t xml:space="preserve">Segunda afirmación</w:t>
            </w:r>
          </w:p>
          <w:p>
            <w:pPr>
              <w:spacing w:after="80" w:before="0" w:line="276" w:lineRule="auto"/>
              <w:jc w:val="both"/>
            </w:pPr>
            <w:r>
              <w:rPr>
                <w:rFonts w:ascii="Garamond" w:cs="Garamond" w:eastAsia="Garamond" w:hAnsi="Garamond"/>
                <w:sz w:val="22"/>
                <w:szCs w:val="22"/>
              </w:rPr>
              <w:t xml:space="preserve">Las brechas identificadas —envejecimiento, seguridad, infancia, financiamiento externo, instrumentos inoperantes— tienen solución técnica conocida y de bajo costo relativo. Lo que se requiere no es más presupuesto sino más capacidad de gestión, articulación intersectorial y seguimiento sistemático.</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C3A5E" w:sz="6"/>
              <w:left w:val="none" w:color="FFFFFF" w:sz="0"/>
              <w:bottom w:val="single" w:color="D0D0D0" w:sz="2"/>
              <w:right w:val="none" w:color="FFFFFF" w:sz="0"/>
            </w:tcBorders>
            <w:shd w:fill="DEEAF1" w:val="clear"/>
            <w:tcMar>
              <w:top w:type="dxa" w:w="140"/>
              <w:left w:type="dxa" w:w="200"/>
              <w:bottom w:type="dxa" w:w="140"/>
              <w:right w:type="dxa" w:w="200"/>
            </w:tcMar>
          </w:tcPr>
          <w:p>
            <w:pPr>
              <w:spacing w:after="60" w:before="80"/>
            </w:pPr>
            <w:r>
              <w:rPr>
                <w:rFonts w:ascii="Garamond" w:cs="Garamond" w:eastAsia="Garamond" w:hAnsi="Garamond"/>
                <w:b/>
                <w:bCs/>
                <w:color w:val="1C3A5E"/>
                <w:sz w:val="22"/>
                <w:szCs w:val="22"/>
              </w:rPr>
              <w:t xml:space="preserve">Tercera afirmación</w:t>
            </w:r>
          </w:p>
          <w:p>
            <w:pPr>
              <w:spacing w:after="80" w:before="0" w:line="276" w:lineRule="auto"/>
              <w:jc w:val="both"/>
            </w:pPr>
            <w:r>
              <w:rPr>
                <w:rFonts w:ascii="Garamond" w:cs="Garamond" w:eastAsia="Garamond" w:hAnsi="Garamond"/>
                <w:sz w:val="22"/>
                <w:szCs w:val="22"/>
              </w:rPr>
              <w:t xml:space="preserve">Este es el diagnóstico más completo elaborado para Rengo. No hay antecedente en la historia municipal con este nivel de cobertura metodológica, participación ciudadana, profundidad documental y rigor analítico. La Municipalidad de Rengo tiene, por primera vez, la información necesaria para planificar su próxima década con certeza.</w:t>
            </w:r>
          </w:p>
        </w:tc>
      </w:tr>
    </w:tbl>
    <w:p>
      <w:pPr>
        <w:spacing w:after="0" w:before="260"/>
      </w:pPr>
    </w:p>
    <w:p>
      <w:pPr>
        <w:pBdr>
          <w:top w:val="single" w:color="2E75B6" w:sz="4" w:space="2"/>
        </w:pBdr>
        <w:spacing w:after="0" w:before="0"/>
      </w:pPr>
    </w:p>
    <w:p>
      <w:pPr>
        <w:spacing w:after="0" w:before="100"/>
      </w:pPr>
    </w:p>
    <w:p>
      <w:pPr>
        <w:spacing w:after="40" w:before="0"/>
        <w:jc w:val="center"/>
      </w:pPr>
      <w:r>
        <w:rPr>
          <w:rFonts w:ascii="Garamond" w:cs="Garamond" w:eastAsia="Garamond" w:hAnsi="Garamond"/>
          <w:b/>
          <w:bCs/>
          <w:color w:val="595959"/>
          <w:sz w:val="18"/>
          <w:szCs w:val="18"/>
        </w:rPr>
        <w:t xml:space="preserve">Contacto técnico del proceso</w:t>
      </w:r>
    </w:p>
    <w:p>
      <w:pPr>
        <w:spacing w:after="40" w:before="0"/>
        <w:jc w:val="center"/>
      </w:pPr>
      <w:r>
        <w:rPr>
          <w:rFonts w:ascii="Garamond" w:cs="Garamond" w:eastAsia="Garamond" w:hAnsi="Garamond"/>
          <w:color w:val="2E75B6"/>
          <w:sz w:val="18"/>
          <w:szCs w:val="18"/>
        </w:rPr>
        <w:t xml:space="preserve">Osvaldo Mañán Arce — osvaldomanan.chile@gmail.com</w:t>
      </w:r>
    </w:p>
    <w:p>
      <w:pPr>
        <w:spacing w:after="60" w:before="0"/>
        <w:jc w:val="center"/>
      </w:pPr>
      <w:r>
        <w:rPr>
          <w:rFonts w:ascii="Garamond" w:cs="Garamond" w:eastAsia="Garamond" w:hAnsi="Garamond"/>
          <w:color w:val="595959"/>
          <w:sz w:val="17"/>
          <w:szCs w:val="17"/>
        </w:rPr>
        <w:t xml:space="preserve">Secretaría de Planificación Comunal — Municipalidad de Rengo — Abril 2026</w:t>
      </w:r>
    </w:p>
    <w:sectPr>
      <w:headerReference w:type="default" r:id="rId7"/>
      <w:footerReference w:type="default" r:id="rId8"/>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0D0" w:sz="3" w:space="1"/>
      </w:pBdr>
      <w:tabs>
        <w:tab w:val="right" w:pos="9026"/>
      </w:tabs>
      <w:spacing w:after="0" w:before="80"/>
    </w:pPr>
    <w:r>
      <w:rPr>
        <w:rFonts w:ascii="Garamond" w:cs="Garamond" w:eastAsia="Garamond" w:hAnsi="Garamond"/>
        <w:color w:val="595959"/>
        <w:sz w:val="16"/>
        <w:szCs w:val="16"/>
      </w:rPr>
      <w:t xml:space="preserve">Uso interno · Abril 2026</w:t>
    </w:r>
    <w:r>
      <w:rPr>
        <w:rFonts w:ascii="Garamond" w:cs="Garamond" w:eastAsia="Garamond" w:hAnsi="Garamond"/>
        <w:sz w:val="16"/>
        <w:szCs w:val="16"/>
      </w:rPr>
      <w:t xml:space="preserve">	</w:t>
    </w:r>
    <w:r>
      <w:rPr>
        <w:rFonts w:ascii="Garamond" w:cs="Garamond" w:eastAsia="Garamond" w:hAnsi="Garamond"/>
        <w:color w:val="1C3A5E"/>
        <w:sz w:val="16"/>
        <w:szCs w:val="16"/>
      </w:rPr>
      <w:t xml:space="preserve">Página </w:t>
    </w:r>
    <w:r>
      <w:rPr>
        <w:rFonts w:ascii="Garamond" w:cs="Garamond" w:eastAsia="Garamond" w:hAnsi="Garamond"/>
        <w:color w:val="1C3A5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0D0" w:sz="3" w:space="1"/>
      </w:pBdr>
      <w:tabs>
        <w:tab w:val="right" w:pos="9026"/>
      </w:tabs>
      <w:spacing w:after="80" w:before="0"/>
    </w:pPr>
    <w:r>
      <w:rPr>
        <w:rFonts w:ascii="Garamond" w:cs="Garamond" w:eastAsia="Garamond" w:hAnsi="Garamond"/>
        <w:color w:val="595959"/>
        <w:sz w:val="16"/>
        <w:szCs w:val="16"/>
      </w:rPr>
      <w:t xml:space="preserve">Municipalidad de Rengo — PLADECO 2025-2035</w:t>
    </w:r>
    <w:r>
      <w:rPr>
        <w:rFonts w:ascii="Garamond" w:cs="Garamond" w:eastAsia="Garamond" w:hAnsi="Garamond"/>
        <w:sz w:val="16"/>
        <w:szCs w:val="16"/>
      </w:rPr>
      <w:t xml:space="preserve">	</w:t>
    </w:r>
    <w:r>
      <w:rPr>
        <w:rFonts w:ascii="Garamond" w:cs="Garamond" w:eastAsia="Garamond" w:hAnsi="Garamond"/>
        <w:b/>
        <w:bCs/>
        <w:color w:val="1C3A5E"/>
        <w:sz w:val="16"/>
        <w:szCs w:val="16"/>
      </w:rPr>
      <w:t xml:space="preserve">Resumen Ejecutivo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320"/>
      <w:outlineLvl w:val="0"/>
    </w:pPr>
    <w:rPr>
      <w:rFonts w:ascii="Garamond" w:cs="Garamond" w:eastAsia="Garamond" w:hAnsi="Garamond"/>
      <w:b/>
      <w:bCs/>
      <w:color w:val="1C3A5E"/>
      <w:sz w:val="28"/>
      <w:szCs w:val="28"/>
    </w:rPr>
  </w:style>
  <w:style w:type="paragraph" w:styleId="Heading2">
    <w:name w:val="Heading 2"/>
    <w:basedOn w:val="Normal"/>
    <w:next w:val="Normal"/>
    <w:qFormat/>
    <w:pPr>
      <w:spacing w:after="60" w:before="200"/>
      <w:outlineLvl w:val="1"/>
    </w:pPr>
    <w:rPr>
      <w:rFonts w:ascii="Garamond" w:cs="Garamond" w:eastAsia="Garamond" w:hAnsi="Garamond"/>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2026-04-22T17:58:41.204Z</dcterms:created>
  <dcterms:modified xsi:type="dcterms:W3CDTF">2026-04-22T17:58:41.206Z</dcterms:modified>
</cp:coreProperties>
</file>

<file path=docProps/custom.xml><?xml version="1.0" encoding="utf-8"?>
<Properties xmlns="http://schemas.openxmlformats.org/officeDocument/2006/custom-properties" xmlns:vt="http://schemas.openxmlformats.org/officeDocument/2006/docPropsVTypes"/>
</file>