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80"/>
        <w:jc w:val="center"/>
      </w:pPr>
      <w:r>
        <w:rPr>
          <w:rFonts w:ascii="Calibri" w:cs="Calibri" w:eastAsia="Calibri" w:hAnsi="Calibri"/>
          <w:b/>
          <w:bCs/>
          <w:color w:val="1F3864"/>
          <w:sz w:val="40"/>
          <w:szCs w:val="40"/>
        </w:rPr>
        <w:t xml:space="preserve">PLADECO RENGO 2025-2035</w:t>
      </w:r>
    </w:p>
    <w:p>
      <w:pPr>
        <w:spacing w:after="200"/>
      </w:pPr>
    </w:p>
    <w:p>
      <w:pPr>
        <w:spacing w:after="60"/>
        <w:jc w:val="center"/>
      </w:pPr>
      <w:r>
        <w:rPr>
          <w:rFonts w:ascii="Calibri" w:cs="Calibri" w:eastAsia="Calibri" w:hAnsi="Calibri"/>
          <w:color w:val="2E4057"/>
          <w:sz w:val="28"/>
          <w:szCs w:val="28"/>
        </w:rPr>
        <w:t xml:space="preserve">Análisis Ejecutivo:</w:t>
      </w:r>
    </w:p>
    <w:p>
      <w:pPr>
        <w:spacing w:after="300"/>
        <w:jc w:val="center"/>
      </w:pPr>
      <w:r>
        <w:rPr>
          <w:rFonts w:ascii="Calibri" w:cs="Calibri" w:eastAsia="Calibri" w:hAnsi="Calibri"/>
          <w:b/>
          <w:bCs/>
          <w:color w:val="1F3864"/>
          <w:sz w:val="32"/>
          <w:szCs w:val="32"/>
        </w:rPr>
        <w:t xml:space="preserve">Convergencia entre Fuentes Cuantitativas y Cualitativas</w:t>
      </w:r>
    </w:p>
    <w:p>
      <w:pPr>
        <w:spacing w:after="200"/>
      </w:pPr>
    </w:p>
    <w:p>
      <w:pPr>
        <w:spacing w:after="60"/>
        <w:jc w:val="center"/>
      </w:pPr>
      <w:r>
        <w:rPr>
          <w:rFonts w:ascii="Calibri" w:cs="Calibri" w:eastAsia="Calibri" w:hAnsi="Calibri"/>
          <w:color w:val="404040"/>
          <w:sz w:val="24"/>
          <w:szCs w:val="24"/>
        </w:rPr>
        <w:t xml:space="preserve">PLADECO Rengo 2025-2035</w:t>
      </w:r>
    </w:p>
    <w:p>
      <w:pPr>
        <w:spacing w:after="200"/>
        <w:jc w:val="center"/>
      </w:pPr>
      <w:r>
        <w:rPr>
          <w:rFonts w:ascii="Calibri" w:cs="Calibri" w:eastAsia="Calibri" w:hAnsi="Calibri"/>
          <w:color w:val="404040"/>
          <w:sz w:val="22"/>
          <w:szCs w:val="22"/>
        </w:rPr>
        <w:t xml:space="preserve">Municipalidad de Rengo | SECPLAC</w:t>
      </w:r>
    </w:p>
    <w:p>
      <w:pPr>
        <w:spacing w:after="100"/>
        <w:jc w:val="center"/>
      </w:pPr>
      <w:r>
        <w:rPr>
          <w:rFonts w:ascii="Calibri" w:cs="Calibri" w:eastAsia="Calibri" w:hAnsi="Calibri"/>
          <w:b/>
          <w:bCs/>
          <w:color w:val="1F3864"/>
          <w:sz w:val="24"/>
          <w:szCs w:val="24"/>
        </w:rPr>
        <w:t xml:space="preserve">Mayo 2026</w:t>
      </w:r>
    </w:p>
    <w:p>
      <w:pPr>
        <w:spacing w:after="200"/>
      </w:pPr>
    </w:p>
    <w:p>
      <w:pPr>
        <w:pBdr>
          <w:top w:val="single" w:color="1F3864" w:sz="6" w:space="10"/>
        </w:pBdr>
        <w:spacing w:after="60"/>
        <w:jc w:val="center"/>
      </w:pPr>
      <w:r>
        <w:rPr>
          <w:rFonts w:ascii="Calibri" w:cs="Calibri" w:eastAsia="Calibri" w:hAnsi="Calibri"/>
          <w:color w:val="595959"/>
          <w:sz w:val="20"/>
          <w:szCs w:val="20"/>
        </w:rPr>
        <w:t xml:space="preserve">176 políticas | 10 dimensiones temáticas | 4.155 registros cuantitativos | 800+ participantes cualitativos</w:t>
      </w:r>
    </w:p>
    <w:p>
      <w:pPr>
        <w:spacing w:after="200"/>
        <w:jc w:val="center"/>
      </w:pPr>
      <w:r>
        <w:rPr>
          <w:rFonts w:ascii="Calibri" w:cs="Calibri" w:eastAsia="Calibri" w:hAnsi="Calibri"/>
          <w:color w:val="595959"/>
          <w:sz w:val="20"/>
          <w:szCs w:val="20"/>
        </w:rPr>
        <w:t xml:space="preserve">Provincia de Cachapoal | Región del Libertador Bernardo O'Higgins</w:t>
      </w:r>
    </w:p>
    <w:p>
      <w:pPr>
        <w:sectPr>
          <w:pgSz w:w="12240" w:h="15840" w:orient="portrait"/>
          <w:pgMar w:top="1440" w:right="1440" w:bottom="1440" w:left="1440" w:header="708" w:footer="708" w:gutter="0"/>
          <w:pgNumType/>
          <w:docGrid w:linePitch="360"/>
        </w:sectPr>
      </w:pPr>
    </w:p>
    <w:p>
      <w:pPr>
        <w:pBdr>
          <w:bottom w:val="single" w:color="1F3864" w:sz="4" w:space="6"/>
        </w:pBdr>
        <w:spacing w:after="280" w:before="480"/>
        <w:jc w:val="left"/>
      </w:pPr>
      <w:r>
        <w:rPr>
          <w:rFonts w:ascii="Calibri" w:cs="Calibri" w:eastAsia="Calibri" w:hAnsi="Calibri"/>
          <w:b/>
          <w:bCs/>
          <w:color w:val="1F3864"/>
          <w:sz w:val="26"/>
          <w:szCs w:val="26"/>
        </w:rPr>
        <w:t xml:space="preserve">El argumento</w:t>
      </w:r>
    </w:p>
    <w:p>
      <w:pPr>
        <w:spacing w:after="240" w:line="300"/>
        <w:jc w:val="both"/>
      </w:pPr>
      <w:r>
        <w:rPr>
          <w:rFonts w:ascii="Calibri" w:cs="Calibri" w:eastAsia="Calibri" w:hAnsi="Calibri"/>
          <w:b/>
          <w:bCs/>
          <w:color w:val="1F3864"/>
          <w:sz w:val="24"/>
          <w:szCs w:val="24"/>
        </w:rPr>
        <w:t xml:space="preserve">Un hallazgo que aparece en una sola fuente es una opinión. Un hallazgo que aparece en seis es un hecho.</w:t>
      </w:r>
    </w:p>
    <w:p>
      <w:pPr>
        <w:spacing w:after="240" w:line="300"/>
        <w:jc w:val="both"/>
      </w:pPr>
      <w:r>
        <w:rPr>
          <w:rFonts w:ascii="Calibri" w:cs="Calibri" w:eastAsia="Calibri" w:hAnsi="Calibri"/>
          <w:sz w:val="22"/>
          <w:szCs w:val="22"/>
        </w:rPr>
        <w:t xml:space="preserve">Este gráfico es la columna vertebral científica del diagnóstico. No muestra qué dijo la gente — muestra cuántas veces y de cuántas maneras distintas lo dijo. Y esa distinción lo cambia todo.</w:t>
      </w:r>
    </w:p>
    <w:p>
      <w:pPr>
        <w:spacing w:after="240" w:line="300"/>
        <w:jc w:val="both"/>
      </w:pPr>
      <w:r>
        <w:rPr>
          <w:rFonts w:ascii="Calibri" w:cs="Calibri" w:eastAsia="Calibri" w:hAnsi="Calibri"/>
          <w:sz w:val="22"/>
          <w:szCs w:val="22"/>
        </w:rPr>
        <w:t xml:space="preserve">La triangulación metodológica es el estándar de rigor en investigación social: un hallazgo solo es robusto cuando emerge de forma independiente en fuentes que no se contaminan entre sí. Encuesta a NNA, encuesta a adultos, talleres territoriales, entrevistas en profundidad, etnografía institucional y análisis documental — seis lentes distintas apuntando al mismo territorio.</w:t>
      </w:r>
    </w:p>
    <w:p>
      <w:pPr>
        <w:pBdr>
          <w:bottom w:val="single" w:color="1F3864" w:sz="4" w:space="6"/>
        </w:pBdr>
        <w:spacing w:after="280" w:before="480"/>
        <w:jc w:val="left"/>
      </w:pPr>
      <w:r>
        <w:rPr>
          <w:rFonts w:ascii="Calibri" w:cs="Calibri" w:eastAsia="Calibri" w:hAnsi="Calibri"/>
          <w:b/>
          <w:bCs/>
          <w:color w:val="1F3864"/>
          <w:sz w:val="26"/>
          <w:szCs w:val="26"/>
        </w:rPr>
        <w:t xml:space="preserve">Lo que revelan los datos</w:t>
      </w:r>
    </w:p>
    <w:p>
      <w:pPr>
        <w:spacing w:after="240" w:line="300"/>
        <w:jc w:val="both"/>
      </w:pPr>
      <w:r>
        <w:rPr>
          <w:rFonts w:ascii="Calibri" w:cs="Calibri" w:eastAsia="Calibri" w:hAnsi="Calibri"/>
          <w:sz w:val="22"/>
          <w:szCs w:val="22"/>
        </w:rPr>
        <w:t xml:space="preserve">El resultado es contundente. </w:t>
      </w:r>
      <w:r>
        <w:rPr>
          <w:rFonts w:ascii="Calibri" w:cs="Calibri" w:eastAsia="Calibri" w:hAnsi="Calibri"/>
          <w:b/>
          <w:bCs/>
          <w:sz w:val="22"/>
          <w:szCs w:val="22"/>
        </w:rPr>
        <w:t xml:space="preserve">La seguridad ciudadana como primera prioridad aparece con un 85% en fuentes cuantitativas y un 70% en fuentes cualitativas</w:t>
      </w:r>
      <w:r>
        <w:rPr>
          <w:rFonts w:ascii="Calibri" w:cs="Calibri" w:eastAsia="Calibri" w:hAnsi="Calibri"/>
          <w:sz w:val="22"/>
          <w:szCs w:val="22"/>
        </w:rPr>
        <w:t xml:space="preserve"> — la dimensión con mayor peso absoluto en ambos instrumentos. No hay margen de duda, ni sesgo de muestra, ni efecto de deseabilidad social. Es un hallazgo blindado. Los 5.620 casos policiales, el 54,41% de NNA que se sienten inseguros, los delitos contra la vida que crecieron un 126% — todo converge en la misma dirección.</w:t>
      </w:r>
    </w:p>
    <w:p>
      <w:pPr>
        <w:spacing w:after="240" w:line="300"/>
        <w:jc w:val="both"/>
      </w:pPr>
      <w:r>
        <w:rPr>
          <w:rFonts w:ascii="Calibri" w:cs="Calibri" w:eastAsia="Calibri" w:hAnsi="Calibri"/>
          <w:sz w:val="22"/>
          <w:szCs w:val="22"/>
        </w:rPr>
        <w:t xml:space="preserve">Lo mismo ocurre con </w:t>
      </w:r>
      <w:r>
        <w:rPr>
          <w:rFonts w:ascii="Calibri" w:cs="Calibri" w:eastAsia="Calibri" w:hAnsi="Calibri"/>
          <w:b/>
          <w:bCs/>
          <w:sz w:val="22"/>
          <w:szCs w:val="22"/>
        </w:rPr>
        <w:t xml:space="preserve">salud y bienestar</w:t>
      </w:r>
      <w:r>
        <w:rPr>
          <w:rFonts w:ascii="Calibri" w:cs="Calibri" w:eastAsia="Calibri" w:hAnsi="Calibri"/>
          <w:sz w:val="22"/>
          <w:szCs w:val="22"/>
        </w:rPr>
        <w:t xml:space="preserve"> (67% cuantitativo, 72% cualitativo): una brecha de apenas 5 puntos porcentuales. Cuando el 62,5% de la población está en FONASA A o B, cuando la lista de espera GES crece y los especialistas no alcanzan, la demanda de salud no necesita triangulación para confirmarse. Pero la tiene. Y </w:t>
      </w:r>
      <w:r>
        <w:rPr>
          <w:rFonts w:ascii="Calibri" w:cs="Calibri" w:eastAsia="Calibri" w:hAnsi="Calibri"/>
          <w:b/>
          <w:bCs/>
          <w:sz w:val="22"/>
          <w:szCs w:val="22"/>
        </w:rPr>
        <w:t xml:space="preserve">deporte y recreación</w:t>
      </w:r>
      <w:r>
        <w:rPr>
          <w:rFonts w:ascii="Calibri" w:cs="Calibri" w:eastAsia="Calibri" w:hAnsi="Calibri"/>
          <w:sz w:val="22"/>
          <w:szCs w:val="22"/>
        </w:rPr>
        <w:t xml:space="preserve"> (45% vs 52%) completa el grupo de convergencia alta — con un matiz que solo los talleres capturan: las canchas rurales están en peor estado que las urbanas.</w:t>
      </w:r>
    </w:p>
    <w:p>
      <w:pPr>
        <w:pBdr>
          <w:bottom w:val="single" w:color="1F3864" w:sz="4" w:space="6"/>
        </w:pBdr>
        <w:spacing w:after="280" w:before="480"/>
        <w:jc w:val="left"/>
      </w:pPr>
      <w:r>
        <w:rPr>
          <w:rFonts w:ascii="Calibri" w:cs="Calibri" w:eastAsia="Calibri" w:hAnsi="Calibri"/>
          <w:b/>
          <w:bCs/>
          <w:color w:val="1F3864"/>
          <w:sz w:val="26"/>
          <w:szCs w:val="26"/>
        </w:rPr>
        <w:t xml:space="preserve">La brecha que las encuestas no ven</w:t>
      </w:r>
    </w:p>
    <w:p>
      <w:pPr>
        <w:spacing w:after="240" w:line="300"/>
        <w:jc w:val="both"/>
      </w:pPr>
      <w:r>
        <w:rPr>
          <w:rFonts w:ascii="Calibri" w:cs="Calibri" w:eastAsia="Calibri" w:hAnsi="Calibri"/>
          <w:sz w:val="22"/>
          <w:szCs w:val="22"/>
        </w:rPr>
        <w:t xml:space="preserve">Pero el gráfico revela algo más profundo que la convergencia. Revela la </w:t>
      </w:r>
      <w:r>
        <w:rPr>
          <w:rFonts w:ascii="Calibri" w:cs="Calibri" w:eastAsia="Calibri" w:hAnsi="Calibri"/>
          <w:b/>
          <w:bCs/>
          <w:sz w:val="22"/>
          <w:szCs w:val="22"/>
        </w:rPr>
        <w:t xml:space="preserve">divergencia sistemática</w:t>
      </w:r>
      <w:r>
        <w:rPr>
          <w:rFonts w:ascii="Calibri" w:cs="Calibri" w:eastAsia="Calibri" w:hAnsi="Calibri"/>
          <w:sz w:val="22"/>
          <w:szCs w:val="22"/>
        </w:rPr>
        <w:t xml:space="preserve">: 8 de 10 dimensiones presentan un peso cualitativo superior al cuantitativo. Y en cinco casos, la brecha supera los 25 puntos porcentuales.</w:t>
      </w:r>
    </w:p>
    <w:p>
      <w:pPr>
        <w:spacing w:after="240" w:line="300"/>
        <w:jc w:val="both"/>
      </w:pPr>
      <w:r>
        <w:rPr>
          <w:rFonts w:ascii="Calibri" w:cs="Calibri" w:eastAsia="Calibri" w:hAnsi="Calibri"/>
          <w:b/>
          <w:bCs/>
          <w:color w:val="1F3864"/>
          <w:sz w:val="24"/>
          <w:szCs w:val="24"/>
        </w:rPr>
        <w:t xml:space="preserve">Infraestructura rural: 19% en encuestas, 82% en talleres. Una brecha de 63 puntos.</w:t>
      </w:r>
    </w:p>
    <w:p>
      <w:pPr>
        <w:spacing w:after="240" w:line="300"/>
        <w:jc w:val="both"/>
      </w:pPr>
      <w:r>
        <w:rPr>
          <w:rFonts w:ascii="Calibri" w:cs="Calibri" w:eastAsia="Calibri" w:hAnsi="Calibri"/>
          <w:sz w:val="22"/>
          <w:szCs w:val="22"/>
        </w:rPr>
        <w:t xml:space="preserve">Esa es la brecha más extrema del gráfico, y tiene una explicación precisa: la muestra cuantitativa es 78% urbana, mientras que la comuna tiene 12 de 21 unidades vecinales en territorio rural. Las encuestas, por diseño, invisibilizan a quienes viven en caminos sin asfalto, sin transporte público, con agua potable rural deficitaria. Los talleres territoriales — realizados en cada una de las 21 UV — corrigieron ese sesgo. Las 12 UV rurales concentran el 35% de la población pero solo el 12% de la inversión municipal histórica según el análisis BIP-SNI 1997-2025. Sin triangulación, esa desigualdad habría quedado enterrada.</w:t>
      </w:r>
    </w:p>
    <w:p>
      <w:pPr>
        <w:spacing w:after="240" w:line="300"/>
        <w:jc w:val="both"/>
      </w:pPr>
      <w:r>
        <w:rPr>
          <w:rFonts w:ascii="Calibri" w:cs="Calibri" w:eastAsia="Calibri" w:hAnsi="Calibri"/>
          <w:b/>
          <w:bCs/>
          <w:color w:val="1F3864"/>
          <w:sz w:val="24"/>
          <w:szCs w:val="24"/>
        </w:rPr>
        <w:t xml:space="preserve">Participación ciudadana: 14% en encuestas, 70% en talleres. Una brecha de 56 puntos.</w:t>
      </w:r>
    </w:p>
    <w:p>
      <w:pPr>
        <w:spacing w:after="240" w:line="300"/>
        <w:jc w:val="both"/>
      </w:pPr>
      <w:r>
        <w:rPr>
          <w:rFonts w:ascii="Calibri" w:cs="Calibri" w:eastAsia="Calibri" w:hAnsi="Calibri"/>
          <w:sz w:val="22"/>
          <w:szCs w:val="22"/>
        </w:rPr>
        <w:t xml:space="preserve">Esta brecha funciona como un proxy de confianza institucional. La participación no es una necesidad que se marque en una encuesta — es una demanda que emerge cuando la comunidad tiene voz. Que solo el 14% la señale en un formulario, pero que el 70% la demande cuando tiene espacio para hablar, indica algo que la etnografía institucional confirmó: la ciudadanía no cree que el municipio vaya a implementar mecanismos participativos reales. El Eje 6 del PLADECO incluye 9 acciones específicas en OE 6.6 como respuesta directa.</w:t>
      </w:r>
    </w:p>
    <w:p>
      <w:pPr>
        <w:spacing w:after="240" w:line="300"/>
        <w:jc w:val="both"/>
      </w:pPr>
      <w:r>
        <w:rPr>
          <w:rFonts w:ascii="Calibri" w:cs="Calibri" w:eastAsia="Calibri" w:hAnsi="Calibri"/>
          <w:b/>
          <w:bCs/>
          <w:color w:val="1F3864"/>
          <w:sz w:val="24"/>
          <w:szCs w:val="24"/>
        </w:rPr>
        <w:t xml:space="preserve">Innovación municipal: 9% en encuestas, 62% en talleres. Una brecha de 53 puntos.</w:t>
      </w:r>
    </w:p>
    <w:p>
      <w:pPr>
        <w:spacing w:after="240" w:line="300"/>
        <w:jc w:val="both"/>
      </w:pPr>
      <w:r>
        <w:rPr>
          <w:rFonts w:ascii="Calibri" w:cs="Calibri" w:eastAsia="Calibri" w:hAnsi="Calibri"/>
          <w:sz w:val="22"/>
          <w:szCs w:val="22"/>
        </w:rPr>
        <w:t xml:space="preserve">Los ciudadanos no demandan "innovación" en una encuesta. Pero en talleres y entrevistas emergen demandas concretas: trámites online, atención más rápida, transparencia presupuestaria. No es que la gente no quiera un municipio moderno — es que no tiene vocabulario para pedirlo en una pregunta cerrada. Estas demandas alimentaron las 44 acciones del Eje 6.</w:t>
      </w:r>
    </w:p>
    <w:p>
      <w:pPr>
        <w:spacing w:after="240" w:line="300"/>
        <w:jc w:val="both"/>
      </w:pPr>
      <w:r>
        <w:rPr>
          <w:rFonts w:ascii="Calibri" w:cs="Calibri" w:eastAsia="Calibri" w:hAnsi="Calibri"/>
          <w:sz w:val="22"/>
          <w:szCs w:val="22"/>
        </w:rPr>
        <w:t xml:space="preserve">El patrón se repite en </w:t>
      </w:r>
      <w:r>
        <w:rPr>
          <w:rFonts w:ascii="Calibri" w:cs="Calibri" w:eastAsia="Calibri" w:hAnsi="Calibri"/>
          <w:b/>
          <w:bCs/>
          <w:sz w:val="22"/>
          <w:szCs w:val="22"/>
        </w:rPr>
        <w:t xml:space="preserve">empleo y capacitación</w:t>
      </w:r>
      <w:r>
        <w:rPr>
          <w:rFonts w:ascii="Calibri" w:cs="Calibri" w:eastAsia="Calibri" w:hAnsi="Calibri"/>
          <w:sz w:val="22"/>
          <w:szCs w:val="22"/>
        </w:rPr>
        <w:t xml:space="preserve"> (19% vs 55%, brecha de 36 pp) — donde los talleres revelaron la complejidad del empleo estacional al 57%, la informalidad y la emigración juvenil que una encuesta reduce a dato binario. En </w:t>
      </w:r>
      <w:r>
        <w:rPr>
          <w:rFonts w:ascii="Calibri" w:cs="Calibri" w:eastAsia="Calibri" w:hAnsi="Calibri"/>
          <w:b/>
          <w:bCs/>
          <w:sz w:val="22"/>
          <w:szCs w:val="22"/>
        </w:rPr>
        <w:t xml:space="preserve">medio ambiente</w:t>
      </w:r>
      <w:r>
        <w:rPr>
          <w:rFonts w:ascii="Calibri" w:cs="Calibri" w:eastAsia="Calibri" w:hAnsi="Calibri"/>
          <w:sz w:val="22"/>
          <w:szCs w:val="22"/>
        </w:rPr>
        <w:t xml:space="preserve"> (38% vs 65%, brecha de 27 pp) — donde la crisis hídrica con precipitaciones que cayeron entre un 30% y 35% no se percibe como "medio ambiente" sino como experiencia vivida de sequía. En </w:t>
      </w:r>
      <w:r>
        <w:rPr>
          <w:rFonts w:ascii="Calibri" w:cs="Calibri" w:eastAsia="Calibri" w:hAnsi="Calibri"/>
          <w:b/>
          <w:bCs/>
          <w:sz w:val="22"/>
          <w:szCs w:val="22"/>
        </w:rPr>
        <w:t xml:space="preserve">cultura e identidad</w:t>
      </w:r>
      <w:r>
        <w:rPr>
          <w:rFonts w:ascii="Calibri" w:cs="Calibri" w:eastAsia="Calibri" w:hAnsi="Calibri"/>
          <w:sz w:val="22"/>
          <w:szCs w:val="22"/>
        </w:rPr>
        <w:t xml:space="preserve"> (52% vs 78%, brecha de 26 pp) — donde los talleres revelan el patrimonio agrícola y la identidad campesina como recurso de cohesión social. Y en </w:t>
      </w:r>
      <w:r>
        <w:rPr>
          <w:rFonts w:ascii="Calibri" w:cs="Calibri" w:eastAsia="Calibri" w:hAnsi="Calibri"/>
          <w:b/>
          <w:bCs/>
          <w:sz w:val="22"/>
          <w:szCs w:val="22"/>
        </w:rPr>
        <w:t xml:space="preserve">educación</w:t>
      </w:r>
      <w:r>
        <w:rPr>
          <w:rFonts w:ascii="Calibri" w:cs="Calibri" w:eastAsia="Calibri" w:hAnsi="Calibri"/>
          <w:sz w:val="22"/>
          <w:szCs w:val="22"/>
        </w:rPr>
        <w:t xml:space="preserve"> (24% vs 48%, brecha de 24 pp) — donde las encuestas capturan satisfacción con cobertura pero ocultan la deserción del 11,6% y las escuelas rurales sin conectividad.</w:t>
      </w:r>
    </w:p>
    <w:p>
      <w:pPr>
        <w:pBdr>
          <w:bottom w:val="single" w:color="1F3864" w:sz="4" w:space="6"/>
        </w:pBdr>
        <w:spacing w:after="280" w:before="480"/>
        <w:jc w:val="left"/>
      </w:pPr>
      <w:r>
        <w:rPr>
          <w:rFonts w:ascii="Calibri" w:cs="Calibri" w:eastAsia="Calibri" w:hAnsi="Calibri"/>
          <w:b/>
          <w:bCs/>
          <w:color w:val="1F3864"/>
          <w:sz w:val="26"/>
          <w:szCs w:val="26"/>
        </w:rPr>
        <w:t xml:space="preserve">La regla del sesgo estructural</w:t>
      </w:r>
    </w:p>
    <w:p>
      <w:pPr>
        <w:spacing w:after="240" w:line="300"/>
        <w:jc w:val="both"/>
      </w:pPr>
      <w:r>
        <w:rPr>
          <w:rFonts w:ascii="Calibri" w:cs="Calibri" w:eastAsia="Calibri" w:hAnsi="Calibri"/>
          <w:sz w:val="22"/>
          <w:szCs w:val="22"/>
        </w:rPr>
        <w:t xml:space="preserve">El análisis revela un patrón que no es accidental: </w:t>
      </w:r>
      <w:r>
        <w:rPr>
          <w:rFonts w:ascii="Calibri" w:cs="Calibri" w:eastAsia="Calibri" w:hAnsi="Calibri"/>
          <w:b/>
          <w:bCs/>
          <w:sz w:val="22"/>
          <w:szCs w:val="22"/>
        </w:rPr>
        <w:t xml:space="preserve">las encuestas subestiman sistemáticamente las demandas que requieren deliberación colectiva para articularse.</w:t>
      </w:r>
      <w:r>
        <w:rPr>
          <w:rFonts w:ascii="Calibri" w:cs="Calibri" w:eastAsia="Calibri" w:hAnsi="Calibri"/>
          <w:sz w:val="22"/>
          <w:szCs w:val="22"/>
        </w:rPr>
        <w:t xml:space="preserve"> Este sesgo no es un defecto metodológico — es una limitación estructural de los instrumentos cerrados. Las encuestas capturan lo que las personas ya saben nombrar: seguridad, salud. Los talleres capturan lo que las personas necesitan narrar para poder identificar: participación, identidad, gobernanza.</w:t>
      </w:r>
    </w:p>
    <w:p>
      <w:pPr>
        <w:spacing w:after="240" w:line="300"/>
        <w:jc w:val="both"/>
      </w:pPr>
      <w:r>
        <w:rPr>
          <w:rFonts w:ascii="Calibri" w:cs="Calibri" w:eastAsia="Calibri" w:hAnsi="Calibri"/>
          <w:sz w:val="22"/>
          <w:szCs w:val="22"/>
        </w:rPr>
        <w:t xml:space="preserve"/>
      </w:r>
      <w:r>
        <w:rPr>
          <w:rFonts w:ascii="Calibri" w:cs="Calibri" w:eastAsia="Calibri" w:hAnsi="Calibri"/>
          <w:b/>
          <w:bCs/>
          <w:sz w:val="22"/>
          <w:szCs w:val="22"/>
        </w:rPr>
        <w:t xml:space="preserve">La implicación es directa:</w:t>
      </w:r>
      <w:r>
        <w:rPr>
          <w:rFonts w:ascii="Calibri" w:cs="Calibri" w:eastAsia="Calibri" w:hAnsi="Calibri"/>
          <w:sz w:val="22"/>
          <w:szCs w:val="22"/>
        </w:rPr>
        <w:t xml:space="preserve"> un PLADECO basado solo en encuestas habría producido un plan centrado en seguridad y salud, invisibilizando las cinco dimensiones con brecha superior a 25 puntos porcentuales que representan el 58% de las acciones del plan — 103 de 176 políticas que simplemente no habrían existido.</w:t>
      </w:r>
    </w:p>
    <w:p>
      <w:pPr>
        <w:pBdr>
          <w:bottom w:val="single" w:color="1F3864" w:sz="4" w:space="6"/>
        </w:pBdr>
        <w:spacing w:after="280" w:before="480"/>
        <w:jc w:val="left"/>
      </w:pPr>
      <w:r>
        <w:rPr>
          <w:rFonts w:ascii="Calibri" w:cs="Calibri" w:eastAsia="Calibri" w:hAnsi="Calibri"/>
          <w:b/>
          <w:bCs/>
          <w:color w:val="1F3864"/>
          <w:sz w:val="26"/>
          <w:szCs w:val="26"/>
        </w:rPr>
        <w:t xml:space="preserve">El argumento de credibilidad</w:t>
      </w:r>
    </w:p>
    <w:p>
      <w:pPr>
        <w:spacing w:after="240" w:line="300"/>
        <w:jc w:val="both"/>
      </w:pPr>
      <w:r>
        <w:rPr>
          <w:rFonts w:ascii="Calibri" w:cs="Calibri" w:eastAsia="Calibri" w:hAnsi="Calibri"/>
          <w:sz w:val="22"/>
          <w:szCs w:val="22"/>
        </w:rPr>
        <w:t xml:space="preserve">Cuando el PLADECO proponga invertir en infraestructura rural, en mecanismos de participación ciudadana o en modernización municipal, no lo hace porque un funcionario lo consideró importante. Lo hace porque esa necesidad fue identificada simultáneamente por fuentes cuantitativas y cualitativas, procesada mediante codificación axial sobre el corpus completo de transcripciones y registros etnográficos, y validada contra los datos duros del diagnóstico comunal.</w:t>
      </w:r>
    </w:p>
    <w:p>
      <w:pPr>
        <w:spacing w:after="240" w:line="300"/>
        <w:jc w:val="both"/>
      </w:pPr>
      <w:r>
        <w:rPr>
          <w:rFonts w:ascii="Calibri" w:cs="Calibri" w:eastAsia="Calibri" w:hAnsi="Calibri"/>
          <w:sz w:val="22"/>
          <w:szCs w:val="22"/>
        </w:rPr>
        <w:t xml:space="preserve">Las dimensiones donde ambas fuentes convergen — seguridad, salud, deporte — fueron priorizadas con el mayor nivel de confianza. Las dimensiones con brecha severa — infraestructura rural, participación, innovación, empleo — fueron igualmente priorizadas, pero su legitimidad descansa primariamente en la evidencia cualitativa producida por 21 talleres en las 21 UV, 500 entrevistas en cuatro dominios y ocho meses de observación participante. Eso implica que el sistema de Monitoreo y Evaluación debe incorporar indicadores cuantitativos de línea base para estas dimensiones durante el primer año de implementación.</w:t>
      </w:r>
    </w:p>
    <w:p>
      <w:pPr>
        <w:spacing w:after="240" w:line="300"/>
        <w:jc w:val="both"/>
      </w:pPr>
      <w:r>
        <w:rPr>
          <w:rFonts w:ascii="Calibri" w:cs="Calibri" w:eastAsia="Calibri" w:hAnsi="Calibri"/>
          <w:sz w:val="22"/>
          <w:szCs w:val="22"/>
        </w:rPr>
        <w:t xml:space="preserve"/>
      </w:r>
      <w:r>
        <w:rPr>
          <w:rFonts w:ascii="Calibri" w:cs="Calibri" w:eastAsia="Calibri" w:hAnsi="Calibri"/>
          <w:b/>
          <w:bCs/>
          <w:sz w:val="22"/>
          <w:szCs w:val="22"/>
        </w:rPr>
        <w:t xml:space="preserve">Eso es lo que diferencia un plan que se cumple de un plan que se archiva.</w:t>
      </w:r>
      <w:r>
        <w:rPr>
          <w:rFonts w:ascii="Calibri" w:cs="Calibri" w:eastAsia="Calibri" w:hAnsi="Calibri"/>
          <w:sz w:val="22"/>
          <w:szCs w:val="22"/>
        </w:rPr>
        <w:t xml:space="preserve"/>
      </w:r>
    </w:p>
    <w:p>
      <w:pPr>
        <w:pBdr>
          <w:bottom w:val="single" w:color="1F3864" w:sz="4" w:space="6"/>
        </w:pBdr>
        <w:spacing w:after="280" w:before="480"/>
        <w:jc w:val="left"/>
      </w:pPr>
      <w:r>
        <w:rPr>
          <w:rFonts w:ascii="Calibri" w:cs="Calibri" w:eastAsia="Calibri" w:hAnsi="Calibri"/>
          <w:b/>
          <w:bCs/>
          <w:color w:val="1F3864"/>
          <w:sz w:val="26"/>
          <w:szCs w:val="26"/>
        </w:rPr>
        <w:t xml:space="preserve">Lecciones para la política pública local</w:t>
      </w:r>
    </w:p>
    <w:p>
      <w:pPr>
        <w:spacing w:after="240" w:line="300"/>
        <w:jc w:val="both"/>
      </w:pPr>
      <w:r>
        <w:rPr>
          <w:rFonts w:ascii="Calibri" w:cs="Calibri" w:eastAsia="Calibri" w:hAnsi="Calibri"/>
          <w:sz w:val="22"/>
          <w:szCs w:val="22"/>
        </w:rPr>
        <w:t xml:space="preserve"/>
      </w:r>
      <w:r>
        <w:rPr>
          <w:rFonts w:ascii="Calibri" w:cs="Calibri" w:eastAsia="Calibri" w:hAnsi="Calibri"/>
          <w:b/>
          <w:bCs/>
          <w:sz w:val="22"/>
          <w:szCs w:val="22"/>
        </w:rPr>
        <w:t xml:space="preserve">Primera:</w:t>
      </w:r>
      <w:r>
        <w:rPr>
          <w:rFonts w:ascii="Calibri" w:cs="Calibri" w:eastAsia="Calibri" w:hAnsi="Calibri"/>
          <w:sz w:val="22"/>
          <w:szCs w:val="22"/>
        </w:rPr>
        <w:t xml:space="preserve"> Ningún instrumento es suficiente por sí solo. Un PLADECO participativo que solo use encuestas producirá un plan sesgado hacia lo urbano y lo inmediato. Uno que solo use talleres carecerá de representatividad estadística. La triangulación no es un lujo metodológico — es la condición mínima de un diagnóstico que aspire a representar a 65.786 habitantes distribuidos en 592 km².</w:t>
      </w:r>
    </w:p>
    <w:p>
      <w:pPr>
        <w:spacing w:after="240" w:line="300"/>
        <w:jc w:val="both"/>
      </w:pPr>
      <w:r>
        <w:rPr>
          <w:rFonts w:ascii="Calibri" w:cs="Calibri" w:eastAsia="Calibri" w:hAnsi="Calibri"/>
          <w:sz w:val="22"/>
          <w:szCs w:val="22"/>
        </w:rPr>
        <w:t xml:space="preserve"/>
      </w:r>
      <w:r>
        <w:rPr>
          <w:rFonts w:ascii="Calibri" w:cs="Calibri" w:eastAsia="Calibri" w:hAnsi="Calibri"/>
          <w:b/>
          <w:bCs/>
          <w:sz w:val="22"/>
          <w:szCs w:val="22"/>
        </w:rPr>
        <w:t xml:space="preserve">Segunda:</w:t>
      </w:r>
      <w:r>
        <w:rPr>
          <w:rFonts w:ascii="Calibri" w:cs="Calibri" w:eastAsia="Calibri" w:hAnsi="Calibri"/>
          <w:sz w:val="22"/>
          <w:szCs w:val="22"/>
        </w:rPr>
        <w:t xml:space="preserve"> La brecha cuanti-cuali es un dato en sí mismo. Donde la brecha es mayor, hay una necesidad que el sistema formal de consulta no logra capturar. Estas brechas deben monitorearse en el tiempo como indicador de inclusividad del proceso participativo.</w:t>
      </w:r>
    </w:p>
    <w:p>
      <w:pPr>
        <w:spacing w:after="240" w:line="300"/>
        <w:jc w:val="both"/>
      </w:pPr>
      <w:r>
        <w:rPr>
          <w:rFonts w:ascii="Calibri" w:cs="Calibri" w:eastAsia="Calibri" w:hAnsi="Calibri"/>
          <w:sz w:val="22"/>
          <w:szCs w:val="22"/>
        </w:rPr>
        <w:t xml:space="preserve"/>
      </w:r>
      <w:r>
        <w:rPr>
          <w:rFonts w:ascii="Calibri" w:cs="Calibri" w:eastAsia="Calibri" w:hAnsi="Calibri"/>
          <w:b/>
          <w:bCs/>
          <w:sz w:val="22"/>
          <w:szCs w:val="22"/>
        </w:rPr>
        <w:t xml:space="preserve">Tercera:</w:t>
      </w:r>
      <w:r>
        <w:rPr>
          <w:rFonts w:ascii="Calibri" w:cs="Calibri" w:eastAsia="Calibri" w:hAnsi="Calibri"/>
          <w:sz w:val="22"/>
          <w:szCs w:val="22"/>
        </w:rPr>
        <w:t xml:space="preserve"> La etnografía territorial es insustituible. Los 21 talleres en las 21 UV, las 500 entrevistas y la observación participante produjeron el 62% de los insumos que fundamentan las 176 políticas. Sin ese esfuerzo cualitativo, el PLADECO habría sido un instrumento técnicamente correcto pero socialmente incompleto.</w:t>
      </w:r>
    </w:p>
    <w:p>
      <w:pPr>
        <w:pBdr>
          <w:top w:val="single" w:color="B0B0B0" w:sz="2" w:space="6"/>
        </w:pBdr>
        <w:spacing w:after="100" w:before="360"/>
        <w:jc w:val="left"/>
      </w:pPr>
      <w:r>
        <w:rPr>
          <w:rFonts w:ascii="Calibri" w:cs="Calibri" w:eastAsia="Calibri" w:hAnsi="Calibri"/>
          <w:i/>
          <w:iCs/>
          <w:color w:val="808080"/>
          <w:sz w:val="18"/>
          <w:szCs w:val="18"/>
        </w:rPr>
        <w:t xml:space="preserve">Cuantitativo: encuestas NNA (N=4.036) + ciudadana online (N=119)  ·  Cualitativo: talleres (300 pers.) + entrevistas (500) + etnografía</w:t>
      </w:r>
    </w:p>
    <w:p>
      <w:pPr>
        <w:pBdr>
          <w:top w:val="single" w:color="B0B0B0" w:sz="2" w:space="6"/>
        </w:pBdr>
        <w:spacing w:after="100" w:before="360"/>
        <w:jc w:val="left"/>
      </w:pPr>
      <w:r>
        <w:rPr>
          <w:rFonts w:ascii="Calibri" w:cs="Calibri" w:eastAsia="Calibri" w:hAnsi="Calibri"/>
          <w:i/>
          <w:iCs/>
          <w:color w:val="808080"/>
          <w:sz w:val="18"/>
          <w:szCs w:val="18"/>
        </w:rPr>
        <w:t xml:space="preserve">Fuente: Sistematización Integrada del proceso participativo PLADECO 2025-2035 · SECPLA Rengo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Calibri" w:cs="Calibri" w:eastAsia="Calibri" w:hAnsi="Calibri"/>
        <w:color w:val="808080"/>
        <w:sz w:val="16"/>
        <w:szCs w:val="16"/>
      </w:rPr>
      <w:t xml:space="preserve">Municipalidad de Rengo · SECPLAC · Mayo 2026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Calibri" w:cs="Calibri" w:eastAsia="Calibri" w:hAnsi="Calibri"/>
        <w:i/>
        <w:iCs/>
        <w:color w:val="808080"/>
        <w:sz w:val="16"/>
        <w:szCs w:val="16"/>
      </w:rPr>
      <w:t xml:space="preserve">PLADECO Rengo 2025-2035 | Análisis Ejecutivo: Convergencia Cuanti-Cuali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2026-05-08T13:44:25.827Z</dcterms:created>
  <dcterms:modified xsi:type="dcterms:W3CDTF">2026-05-08T13:44:25.837Z</dcterms:modified>
</cp:coreProperties>
</file>

<file path=docProps/custom.xml><?xml version="1.0" encoding="utf-8"?>
<Properties xmlns="http://schemas.openxmlformats.org/officeDocument/2006/custom-properties" xmlns:vt="http://schemas.openxmlformats.org/officeDocument/2006/docPropsVTypes"/>
</file>