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3A5E" w:val="clear"/>
            <w:tcMar>
              <w:top w:type="dxa" w:w="280"/>
              <w:left w:type="dxa" w:w="300"/>
              <w:bottom w:type="dxa" w:w="280"/>
              <w:right w:type="dxa" w:w="300"/>
            </w:tcMar>
          </w:tcPr>
          <w:p>
            <w:pPr>
              <w:spacing w:after="80" w:before="0"/>
              <w:jc w:val="center"/>
            </w:pPr>
            <w:r>
              <w:rPr>
                <w:rFonts w:ascii="Garamond" w:cs="Garamond" w:eastAsia="Garamond" w:hAnsi="Garamond"/>
                <w:b/>
                <w:bCs/>
                <w:color w:val="FFFFFF"/>
                <w:sz w:val="24"/>
                <w:szCs w:val="24"/>
              </w:rPr>
              <w:t xml:space="preserve">ILUSTRE MUNICIPALIDAD DE RENGO</w:t>
            </w:r>
          </w:p>
          <w:p>
            <w:pPr>
              <w:spacing w:after="60" w:before="0"/>
              <w:jc w:val="center"/>
            </w:pPr>
            <w:r>
              <w:rPr>
                <w:rFonts w:ascii="Garamond" w:cs="Garamond" w:eastAsia="Garamond" w:hAnsi="Garamond"/>
                <w:color w:val="AABFD4"/>
                <w:sz w:val="19"/>
                <w:szCs w:val="19"/>
              </w:rPr>
              <w:t xml:space="preserve">SECRETARÍA DE PLANIFICACIÓN COMUNAL</w:t>
            </w:r>
          </w:p>
        </w:tc>
      </w:tr>
    </w:tbl>
    <w:p>
      <w:pPr>
        <w:spacing w:after="0" w:before="500"/>
      </w:pPr>
    </w:p>
    <w:p>
      <w:pPr>
        <w:spacing w:after="80" w:before="0"/>
        <w:jc w:val="center"/>
      </w:pPr>
      <w:r>
        <w:rPr>
          <w:rFonts w:ascii="Garamond" w:cs="Garamond" w:eastAsia="Garamond" w:hAnsi="Garamond"/>
          <w:b/>
          <w:bCs/>
          <w:color w:val="1C3A5E"/>
          <w:sz w:val="52"/>
          <w:szCs w:val="52"/>
        </w:rPr>
        <w:t xml:space="preserve">ARGUMENTACIÓN ESTRATÉGICA</w:t>
      </w:r>
    </w:p>
    <w:p>
      <w:pPr>
        <w:spacing w:after="80" w:before="0"/>
        <w:jc w:val="center"/>
      </w:pPr>
      <w:r>
        <w:rPr>
          <w:rFonts w:ascii="Garamond" w:cs="Garamond" w:eastAsia="Garamond" w:hAnsi="Garamond"/>
          <w:color w:val="3D3D3D"/>
          <w:sz w:val="26"/>
          <w:szCs w:val="26"/>
        </w:rPr>
        <w:t xml:space="preserve">de los 6 Ejes del</w:t>
      </w:r>
    </w:p>
    <w:p>
      <w:pPr>
        <w:spacing w:after="80" w:before="0"/>
        <w:jc w:val="center"/>
      </w:pPr>
      <w:r>
        <w:rPr>
          <w:rFonts w:ascii="Garamond" w:cs="Garamond" w:eastAsia="Garamond" w:hAnsi="Garamond"/>
          <w:b/>
          <w:bCs/>
          <w:color w:val="2E75B6"/>
          <w:sz w:val="32"/>
          <w:szCs w:val="32"/>
        </w:rPr>
        <w:t xml:space="preserve">Plan de Desarrollo Comunal 2025 – 2035</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1C3A5E" w:val="clear"/>
            <w:tcMar>
              <w:top w:type="dxa" w:w="100"/>
              <w:left w:type="dxa" w:w="60"/>
              <w:bottom w:type="dxa" w:w="100"/>
              <w:right w:type="dxa" w:w="60"/>
            </w:tcMar>
          </w:tcPr>
          <w:p>
            <w:pPr>
              <w:spacing w:after="20" w:before="40"/>
              <w:jc w:val="center"/>
            </w:pPr>
            <w:r>
              <w:rPr>
                <w:rFonts w:ascii="Garamond" w:cs="Garamond" w:eastAsia="Garamond" w:hAnsi="Garamond"/>
                <w:b/>
                <w:bCs/>
                <w:color w:val="FFFFFF"/>
                <w:sz w:val="48"/>
                <w:szCs w:val="48"/>
              </w:rPr>
              <w:t xml:space="preserve">6</w:t>
            </w:r>
          </w:p>
          <w:p>
            <w:pPr>
              <w:spacing w:after="60" w:before="0"/>
              <w:jc w:val="center"/>
            </w:pPr>
            <w:r>
              <w:rPr>
                <w:rFonts w:ascii="Garamond" w:cs="Garamond" w:eastAsia="Garamond" w:hAnsi="Garamond"/>
                <w:color w:val="AABFD4"/>
                <w:sz w:val="18"/>
                <w:szCs w:val="18"/>
              </w:rPr>
              <w:t xml:space="preserve">Ejes Estratégicos</w:t>
            </w:r>
          </w:p>
        </w:tc>
        <w:tc>
          <w:tcPr>
            <w:tcW w:type="dxa" w:w="3120"/>
            <w:tcBorders>
              <w:top w:val="none" w:color="FFFFFF" w:sz="0"/>
              <w:left w:val="none" w:color="FFFFFF" w:sz="0"/>
              <w:bottom w:val="none" w:color="FFFFFF" w:sz="0"/>
              <w:right w:val="none" w:color="FFFFFF" w:sz="0"/>
            </w:tcBorders>
            <w:shd w:fill="2E75B6" w:val="clear"/>
            <w:tcMar>
              <w:top w:type="dxa" w:w="100"/>
              <w:left w:type="dxa" w:w="60"/>
              <w:bottom w:type="dxa" w:w="100"/>
              <w:right w:type="dxa" w:w="60"/>
            </w:tcMar>
          </w:tcPr>
          <w:p>
            <w:pPr>
              <w:spacing w:after="20" w:before="40"/>
              <w:jc w:val="center"/>
            </w:pPr>
            <w:r>
              <w:rPr>
                <w:rFonts w:ascii="Garamond" w:cs="Garamond" w:eastAsia="Garamond" w:hAnsi="Garamond"/>
                <w:b/>
                <w:bCs/>
                <w:color w:val="FFFFFF"/>
                <w:sz w:val="48"/>
                <w:szCs w:val="48"/>
              </w:rPr>
              <w:t xml:space="preserve">32</w:t>
            </w:r>
          </w:p>
          <w:p>
            <w:pPr>
              <w:spacing w:after="60" w:before="0"/>
              <w:jc w:val="center"/>
            </w:pPr>
            <w:r>
              <w:rPr>
                <w:rFonts w:ascii="Garamond" w:cs="Garamond" w:eastAsia="Garamond" w:hAnsi="Garamond"/>
                <w:color w:val="CCE0F5"/>
                <w:sz w:val="18"/>
                <w:szCs w:val="18"/>
              </w:rPr>
              <w:t xml:space="preserve">Objetivos Estratégicos</w:t>
            </w:r>
          </w:p>
        </w:tc>
        <w:tc>
          <w:tcPr>
            <w:tcW w:type="dxa" w:w="3120"/>
            <w:tcBorders>
              <w:top w:val="none" w:color="FFFFFF" w:sz="0"/>
              <w:left w:val="none" w:color="FFFFFF" w:sz="0"/>
              <w:bottom w:val="none" w:color="FFFFFF" w:sz="0"/>
              <w:right w:val="none" w:color="FFFFFF" w:sz="0"/>
            </w:tcBorders>
            <w:shd w:fill="DEEAF1" w:val="clear"/>
            <w:tcMar>
              <w:top w:type="dxa" w:w="100"/>
              <w:left w:type="dxa" w:w="60"/>
              <w:bottom w:type="dxa" w:w="100"/>
              <w:right w:type="dxa" w:w="60"/>
            </w:tcMar>
          </w:tcPr>
          <w:p>
            <w:pPr>
              <w:spacing w:after="20" w:before="40"/>
              <w:jc w:val="center"/>
            </w:pPr>
            <w:r>
              <w:rPr>
                <w:rFonts w:ascii="Garamond" w:cs="Garamond" w:eastAsia="Garamond" w:hAnsi="Garamond"/>
                <w:b/>
                <w:bCs/>
                <w:color w:val="1C3A5E"/>
                <w:sz w:val="48"/>
                <w:szCs w:val="48"/>
              </w:rPr>
              <w:t xml:space="preserve">225</w:t>
            </w:r>
          </w:p>
          <w:p>
            <w:pPr>
              <w:spacing w:after="60" w:before="0"/>
              <w:jc w:val="center"/>
            </w:pPr>
            <w:r>
              <w:rPr>
                <w:rFonts w:ascii="Garamond" w:cs="Garamond" w:eastAsia="Garamond" w:hAnsi="Garamond"/>
                <w:color w:val="1C3A5E"/>
                <w:sz w:val="18"/>
                <w:szCs w:val="18"/>
              </w:rPr>
              <w:t xml:space="preserve">Acciones PLADECO</w:t>
            </w:r>
          </w:p>
        </w:tc>
      </w:tr>
    </w:tbl>
    <w:p>
      <w:pPr>
        <w:spacing w:after="0" w:before="260"/>
      </w:pPr>
    </w:p>
    <w:p>
      <w:pPr>
        <w:pBdr>
          <w:bottom w:val="single" w:color="2E75B6" w:sz="4" w:space="1"/>
        </w:pBdr>
        <w:spacing w:after="0" w:before="0"/>
      </w:pPr>
    </w:p>
    <w:p>
      <w:pPr>
        <w:spacing w:after="0" w:before="200"/>
      </w:pPr>
    </w:p>
    <w:p>
      <w:pPr>
        <w:spacing w:after="60" w:before="0"/>
        <w:jc w:val="center"/>
      </w:pPr>
      <w:r>
        <w:rPr>
          <w:rFonts w:ascii="Garamond" w:cs="Garamond" w:eastAsia="Garamond" w:hAnsi="Garamond"/>
          <w:color w:val="3D3D3D"/>
          <w:sz w:val="18"/>
          <w:szCs w:val="18"/>
        </w:rPr>
        <w:t xml:space="preserve">Elaborado por: Osvaldo Mañán Arce · Paula Ramírez Marambio</w:t>
      </w:r>
    </w:p>
    <w:p>
      <w:pPr>
        <w:spacing w:after="60" w:before="0"/>
        <w:jc w:val="center"/>
      </w:pPr>
      <w:r>
        <w:rPr>
          <w:rFonts w:ascii="Garamond" w:cs="Garamond" w:eastAsia="Garamond" w:hAnsi="Garamond"/>
          <w:color w:val="3D3D3D"/>
          <w:sz w:val="18"/>
          <w:szCs w:val="18"/>
        </w:rPr>
        <w:t xml:space="preserve">Director SECPLAC: Daniel Castillo Campos · Abril 2026 · Uso interno</w:t>
      </w:r>
    </w:p>
    <w:p>
      <w:r>
        <w:br w:type="page"/>
      </w:r>
    </w:p>
    <w:p>
      <w:pPr>
        <w:pStyle w:val="Heading1"/>
        <w:pBdr>
          <w:bottom w:val="single" w:color="2E75B6" w:sz="6" w:space="2"/>
        </w:pBdr>
        <w:spacing w:after="80" w:before="0"/>
      </w:pPr>
      <w:r>
        <w:rPr>
          <w:rFonts w:ascii="Garamond" w:cs="Garamond" w:eastAsia="Garamond" w:hAnsi="Garamond"/>
          <w:b/>
          <w:bCs/>
          <w:color w:val="1C3A5E"/>
          <w:sz w:val="28"/>
          <w:szCs w:val="28"/>
        </w:rPr>
        <w:t xml:space="preserve">Por qué seis ejes y no uno solo: la lógica de la integración</w:t>
      </w:r>
    </w:p>
    <w:p>
      <w:pPr>
        <w:spacing w:after="100" w:before="80" w:line="280" w:lineRule="auto"/>
        <w:jc w:val="both"/>
      </w:pPr>
      <w:r>
        <w:rPr>
          <w:rFonts w:ascii="Garamond" w:cs="Garamond" w:eastAsia="Garamond" w:hAnsi="Garamond"/>
          <w:sz w:val="22"/>
          <w:szCs w:val="22"/>
        </w:rPr>
        <w:t xml:space="preserve">El PLADECO 2025-2035 de Rengo se articula en </w:t>
      </w:r>
      <w:r>
        <w:rPr>
          <w:rFonts w:ascii="Garamond" w:cs="Garamond" w:eastAsia="Garamond" w:hAnsi="Garamond"/>
          <w:b/>
          <w:bCs/>
          <w:color w:val="2E75B6"/>
          <w:sz w:val="22"/>
          <w:szCs w:val="22"/>
        </w:rPr>
        <w:t xml:space="preserve">seis ejes estratégicos</w:t>
      </w:r>
      <w:r>
        <w:rPr>
          <w:rFonts w:ascii="Garamond" w:cs="Garamond" w:eastAsia="Garamond" w:hAnsi="Garamond"/>
          <w:sz w:val="22"/>
          <w:szCs w:val="22"/>
        </w:rPr>
        <w:t xml:space="preserve"> que no son categorías arbitrarias. Son el resultado de un diagnóstico tripartito que identificó seis dimensiones de la realidad comunal que no pueden planificarse de forma aislada porque se alimentan mutuamente: la seguridad pública deteriora el turismo; el envejecimiento demográfico presiona la salud y el bienestar social; la debilidad institucional impide ejecutar las inversiones urbanas; la baja escolaridad limita el desarrollo económico. Separar estos problemas en compartimentos estancos produce planes que se contradicen entre sí. </w:t>
      </w:r>
      <w:r>
        <w:rPr>
          <w:rFonts w:ascii="Garamond" w:cs="Garamond" w:eastAsia="Garamond" w:hAnsi="Garamond"/>
          <w:b/>
          <w:bCs/>
          <w:color w:val="1C3A5E"/>
          <w:sz w:val="22"/>
          <w:szCs w:val="22"/>
        </w:rPr>
        <w:t xml:space="preserve">Este PLADECO los integra.</w:t>
      </w:r>
    </w:p>
    <w:p>
      <w:pPr>
        <w:spacing w:after="100" w:before="80" w:line="280" w:lineRule="auto"/>
        <w:jc w:val="both"/>
      </w:pPr>
      <w:r>
        <w:rPr>
          <w:rFonts w:ascii="Garamond" w:cs="Garamond" w:eastAsia="Garamond" w:hAnsi="Garamond"/>
          <w:sz w:val="22"/>
          <w:szCs w:val="22"/>
        </w:rPr>
        <w:t xml:space="preserve">Los 32 objetivos estratégicos y las 225 acciones no se distribuyen al azar entre los seis ejes. La distribución refleja la magnitud de las brechas identificadas en el diagnóstico: el </w:t>
      </w:r>
      <w:r>
        <w:rPr>
          <w:rFonts w:ascii="Garamond" w:cs="Garamond" w:eastAsia="Garamond" w:hAnsi="Garamond"/>
          <w:b/>
          <w:bCs/>
          <w:color w:val="2E75B6"/>
          <w:sz w:val="22"/>
          <w:szCs w:val="22"/>
        </w:rPr>
        <w:t xml:space="preserve">Eje 1 (Cultura, Turismo, Bienestar Social)</w:t>
      </w:r>
      <w:r>
        <w:rPr>
          <w:rFonts w:ascii="Garamond" w:cs="Garamond" w:eastAsia="Garamond" w:hAnsi="Garamond"/>
          <w:sz w:val="22"/>
          <w:szCs w:val="22"/>
        </w:rPr>
        <w:t xml:space="preserve"> concentra el 26% de las acciones porque el diagnóstico evidenció el mayor volumen de necesidades ciudadanas insatisfechas en esa dimensión. El </w:t>
      </w:r>
      <w:r>
        <w:rPr>
          <w:rFonts w:ascii="Garamond" w:cs="Garamond" w:eastAsia="Garamond" w:hAnsi="Garamond"/>
          <w:b/>
          <w:bCs/>
          <w:color w:val="2E75B6"/>
          <w:sz w:val="22"/>
          <w:szCs w:val="22"/>
        </w:rPr>
        <w:t xml:space="preserve">Eje 6 (Modernización Municipal)</w:t>
      </w:r>
      <w:r>
        <w:rPr>
          <w:rFonts w:ascii="Garamond" w:cs="Garamond" w:eastAsia="Garamond" w:hAnsi="Garamond"/>
          <w:sz w:val="22"/>
          <w:szCs w:val="22"/>
        </w:rPr>
        <w:t xml:space="preserve"> con el 22% no es un eje administrativo secundario: es la condición de posibilidad de todos los demás, porque sin un municipio capaz de ejecutar, monitorear y rendir cuentas, los otros cinco ejes no pasan del papel a la acción.</w:t>
      </w:r>
    </w:p>
    <w:p>
      <w:pPr>
        <w:pBdr>
          <w:left w:val="single" w:color="2E75B6" w:sz="12" w:space="8"/>
        </w:pBdr>
        <w:spacing w:after="100" w:before="100" w:line="276" w:lineRule="auto"/>
        <w:ind w:left="600" w:right="400"/>
        <w:jc w:val="both"/>
      </w:pPr>
      <w:r>
        <w:rPr>
          <w:rFonts w:ascii="Garamond" w:cs="Garamond" w:eastAsia="Garamond" w:hAnsi="Garamond"/>
          <w:i/>
          <w:iCs/>
          <w:color w:val="3D3D3D"/>
          <w:sz w:val="20"/>
          <w:szCs w:val="20"/>
        </w:rPr>
        <w:t xml:space="preserve">Un plan de desarrollo comunal que no incluye un eje de modernización institucional está planificando objetivos que la propia organización municipal no tiene capacidad de alcanzar. Este PLADECO lo corrige.</w:t>
      </w:r>
    </w:p>
    <w:p>
      <w:pPr>
        <w:spacing w:after="100" w:before="80" w:line="280" w:lineRule="auto"/>
        <w:jc w:val="both"/>
      </w:pPr>
      <w:r>
        <w:rPr>
          <w:rFonts w:ascii="Garamond" w:cs="Garamond" w:eastAsia="Garamond" w:hAnsi="Garamond"/>
          <w:sz w:val="22"/>
          <w:szCs w:val="22"/>
        </w:rPr>
        <w:t xml:space="preserve">Las 225 acciones del PLADECO están, además, </w:t>
      </w:r>
      <w:r>
        <w:rPr>
          <w:rFonts w:ascii="Garamond" w:cs="Garamond" w:eastAsia="Garamond" w:hAnsi="Garamond"/>
          <w:b/>
          <w:bCs/>
          <w:color w:val="1C3A5E"/>
          <w:sz w:val="22"/>
          <w:szCs w:val="22"/>
        </w:rPr>
        <w:t xml:space="preserve">articuladas con las 159 acciones del Programa de Gobierno Municipal 2024-2028</w:t>
      </w:r>
      <w:r>
        <w:rPr>
          <w:rFonts w:ascii="Garamond" w:cs="Garamond" w:eastAsia="Garamond" w:hAnsi="Garamond"/>
          <w:sz w:val="22"/>
          <w:szCs w:val="22"/>
        </w:rPr>
        <w:t xml:space="preserve">, lo que garantiza coherencia entre la planificación de largo plazo y el ciclo político de corto plazo. El instrumento no es solo técnico: es el contrato público del municipio con la ciudadanía de Rengo para la próxima década.</w:t>
      </w:r>
    </w:p>
    <w:p>
      <w:pPr>
        <w:spacing w:after="0" w:before="100"/>
      </w:pP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c>
          <w:tcPr>
            <w:tcW w:type="dxa" w:w="1200"/>
            <w:tcBorders>
              <w:top w:val="none" w:color="FFFFFF" w:sz="0"/>
              <w:left w:val="none" w:color="FFFFFF" w:sz="0"/>
              <w:bottom w:val="none" w:color="FFFFFF" w:sz="0"/>
              <w:right w:val="none" w:color="FFFFFF" w:sz="0"/>
            </w:tcBorders>
            <w:shd w:fill="1C3A5E" w:val="clear"/>
            <w:tcMar>
              <w:top w:type="dxa" w:w="100"/>
              <w:left w:type="dxa" w:w="120"/>
              <w:bottom w:type="dxa" w:w="100"/>
              <w:right w:type="dxa" w:w="60"/>
            </w:tcMar>
            <w:vAlign w:val="center"/>
          </w:tcPr>
          <w:p>
            <w:pPr>
              <w:spacing w:after="0" w:before="0"/>
              <w:jc w:val="center"/>
            </w:pPr>
            <w:r>
              <w:rPr>
                <w:rFonts w:ascii="Garamond" w:cs="Garamond" w:eastAsia="Garamond" w:hAnsi="Garamond"/>
                <w:b/>
                <w:bCs/>
                <w:color w:val="FFFFFF"/>
                <w:sz w:val="22"/>
                <w:szCs w:val="22"/>
              </w:rPr>
              <w:t xml:space="preserve">EJE 1</w:t>
            </w:r>
          </w:p>
        </w:tc>
        <w:tc>
          <w:tcPr>
            <w:tcW w:type="dxa" w:w="6360"/>
            <w:tcBorders>
              <w:top w:val="none" w:color="FFFFFF" w:sz="0"/>
              <w:left w:val="none" w:color="FFFFFF" w:sz="0"/>
              <w:bottom w:val="none" w:color="FFFFFF" w:sz="0"/>
              <w:right w:val="none" w:color="FFFFFF" w:sz="0"/>
            </w:tcBorders>
            <w:shd w:fill="1C3A5E" w:val="clear"/>
            <w:tcMar>
              <w:top w:type="dxa" w:w="100"/>
              <w:left w:type="dxa" w:w="120"/>
              <w:bottom w:type="dxa" w:w="100"/>
              <w:right w:type="dxa" w:w="120"/>
            </w:tcMar>
            <w:vAlign w:val="center"/>
          </w:tcPr>
          <w:p>
            <w:pPr>
              <w:spacing w:after="0" w:before="0"/>
            </w:pPr>
            <w:r>
              <w:rPr>
                <w:rFonts w:ascii="Garamond" w:cs="Garamond" w:eastAsia="Garamond" w:hAnsi="Garamond"/>
                <w:b/>
                <w:bCs/>
                <w:color w:val="FFFFFF"/>
                <w:sz w:val="22"/>
                <w:szCs w:val="22"/>
              </w:rPr>
              <w:t xml:space="preserve">Eje 1: Cultura, Turismo, Deportes, Recreación y Bienestar Social</w:t>
            </w:r>
          </w:p>
        </w:tc>
        <w:tc>
          <w:tcPr>
            <w:tcW w:type="dxa" w:w="1800"/>
            <w:tcBorders>
              <w:top w:val="none" w:color="FFFFFF" w:sz="0"/>
              <w:left w:val="none" w:color="FFFFFF" w:sz="0"/>
              <w:bottom w:val="none" w:color="FFFFFF" w:sz="0"/>
              <w:right w:val="none" w:color="FFFFFF" w:sz="0"/>
            </w:tcBorders>
            <w:shd w:fill="D6E4F0" w:val="clear"/>
            <w:tcMar>
              <w:top w:type="dxa" w:w="80"/>
              <w:left w:type="dxa" w:w="100"/>
              <w:bottom w:type="dxa" w:w="80"/>
              <w:right w:type="dxa" w:w="100"/>
            </w:tcMar>
            <w:vAlign w:val="center"/>
          </w:tcPr>
          <w:p>
            <w:pPr>
              <w:spacing w:after="30" w:before="0"/>
              <w:jc w:val="center"/>
            </w:pPr>
            <w:r>
              <w:rPr>
                <w:rFonts w:ascii="Garamond" w:cs="Garamond" w:eastAsia="Garamond" w:hAnsi="Garamond"/>
                <w:b/>
                <w:bCs/>
                <w:color w:val="1C3A5E"/>
                <w:sz w:val="36"/>
                <w:szCs w:val="36"/>
              </w:rPr>
              <w:t xml:space="preserve">58</w:t>
            </w:r>
          </w:p>
          <w:p>
            <w:pPr>
              <w:spacing w:after="0" w:before="0"/>
              <w:jc w:val="center"/>
            </w:pPr>
            <w:r>
              <w:rPr>
                <w:rFonts w:ascii="Garamond" w:cs="Garamond" w:eastAsia="Garamond" w:hAnsi="Garamond"/>
                <w:color w:val="1C3A5E"/>
                <w:sz w:val="16"/>
                <w:szCs w:val="16"/>
              </w:rPr>
              <w:t xml:space="preserve">acciones · 26% del total</w:t>
            </w:r>
          </w:p>
        </w:tc>
      </w:tr>
    </w:tbl>
    <w:p>
      <w:pPr>
        <w:spacing w:after="0" w:before="120"/>
      </w:pPr>
    </w:p>
    <w:p>
      <w:pPr>
        <w:spacing w:after="100" w:before="80" w:line="280" w:lineRule="auto"/>
        <w:jc w:val="both"/>
      </w:pPr>
      <w:r>
        <w:rPr>
          <w:rFonts w:ascii="Garamond" w:cs="Garamond" w:eastAsia="Garamond" w:hAnsi="Garamond"/>
          <w:sz w:val="22"/>
          <w:szCs w:val="22"/>
        </w:rPr>
        <w:t xml:space="preserve">El Eje 1 es el más amplio del PLADECO —</w:t>
      </w:r>
      <w:r>
        <w:rPr>
          <w:rFonts w:ascii="Garamond" w:cs="Garamond" w:eastAsia="Garamond" w:hAnsi="Garamond"/>
          <w:b/>
          <w:bCs/>
          <w:color w:val="2E75B6"/>
          <w:sz w:val="22"/>
          <w:szCs w:val="22"/>
        </w:rPr>
        <w:t xml:space="preserve">58 acciones, el 26% del total</w:t>
      </w:r>
      <w:r>
        <w:rPr>
          <w:rFonts w:ascii="Garamond" w:cs="Garamond" w:eastAsia="Garamond" w:hAnsi="Garamond"/>
          <w:sz w:val="22"/>
          <w:szCs w:val="22"/>
        </w:rPr>
        <w:t xml:space="preserve">— y esa dimensión no es casualidad. El diagnóstico tripartito reveló que la ciudadanía de Rengo experimenta una brecha sistemática entre sus necesidades de bienestar, recreación y pertenencia territorial, y la oferta concreta que el municipio le provee. El hallazgo más contundente: el </w:t>
      </w:r>
      <w:r>
        <w:rPr>
          <w:rFonts w:ascii="Garamond" w:cs="Garamond" w:eastAsia="Garamond" w:hAnsi="Garamond"/>
          <w:b/>
          <w:bCs/>
          <w:color w:val="C0392B"/>
          <w:sz w:val="22"/>
          <w:szCs w:val="22"/>
        </w:rPr>
        <w:t xml:space="preserve">100% de los NNA</w:t>
      </w:r>
      <w:r>
        <w:rPr>
          <w:rFonts w:ascii="Garamond" w:cs="Garamond" w:eastAsia="Garamond" w:hAnsi="Garamond"/>
          <w:sz w:val="22"/>
          <w:szCs w:val="22"/>
        </w:rPr>
        <w:t xml:space="preserve"> evalúa negativamente el entorno que la comuna les ofrece en términos de espacios recreativos, culturales y de participación. No hay un solo indicador positivo en la evaluación de la infancia. Esa unanimidad no es una coincidencia estadística: es un diagnóstico institucional de primer orden.</w:t>
      </w:r>
    </w:p>
    <w:p>
      <w:pPr>
        <w:spacing w:after="100" w:before="80" w:line="280" w:lineRule="auto"/>
        <w:jc w:val="both"/>
      </w:pPr>
      <w:r>
        <w:rPr>
          <w:rFonts w:ascii="Garamond" w:cs="Garamond" w:eastAsia="Garamond" w:hAnsi="Garamond"/>
          <w:sz w:val="22"/>
          <w:szCs w:val="22"/>
        </w:rPr>
        <w:t xml:space="preserve">Al mismo tiempo, Rengo tiene condiciones objetivas para convertirse en un destino turístico de alcance regional. Con </w:t>
      </w:r>
      <w:r>
        <w:rPr>
          <w:rFonts w:ascii="Garamond" w:cs="Garamond" w:eastAsia="Garamond" w:hAnsi="Garamond"/>
          <w:b/>
          <w:bCs/>
          <w:color w:val="1C3A5E"/>
          <w:sz w:val="22"/>
          <w:szCs w:val="22"/>
        </w:rPr>
        <w:t xml:space="preserve">4.829 empresas formales</w:t>
      </w:r>
      <w:r>
        <w:rPr>
          <w:rFonts w:ascii="Garamond" w:cs="Garamond" w:eastAsia="Garamond" w:hAnsi="Garamond"/>
          <w:sz w:val="22"/>
          <w:szCs w:val="22"/>
        </w:rPr>
        <w:t xml:space="preserve"> —primera posición en la Provincia de Cachapoal—, la proximidad al </w:t>
      </w:r>
      <w:r>
        <w:rPr>
          <w:rFonts w:ascii="Garamond" w:cs="Garamond" w:eastAsia="Garamond" w:hAnsi="Garamond"/>
          <w:b/>
          <w:bCs/>
          <w:color w:val="1C3A5E"/>
          <w:sz w:val="22"/>
          <w:szCs w:val="22"/>
        </w:rPr>
        <w:t xml:space="preserve">Valle Apalta enoturístico</w:t>
      </w:r>
      <w:r>
        <w:rPr>
          <w:rFonts w:ascii="Garamond" w:cs="Garamond" w:eastAsia="Garamond" w:hAnsi="Garamond"/>
          <w:sz w:val="22"/>
          <w:szCs w:val="22"/>
        </w:rPr>
        <w:t xml:space="preserve"> y un patrimonio histórico local subvalorado, la comuna tiene activos que hoy generan prácticamente cero retorno turístico: el BIP registra apenas 5 proyectos de turismo (0,4% del total). Esta paradoja —liderazgo económico coexistiendo con ausencia de estrategia turística— es la que el Eje 1 debe resolver.</w:t>
      </w:r>
    </w:p>
    <w:p>
      <w:pPr>
        <w:spacing w:after="100" w:before="80" w:line="280" w:lineRule="auto"/>
        <w:jc w:val="both"/>
      </w:pPr>
      <w:r>
        <w:rPr>
          <w:rFonts w:ascii="Garamond" w:cs="Garamond" w:eastAsia="Garamond" w:hAnsi="Garamond"/>
          <w:sz w:val="22"/>
          <w:szCs w:val="22"/>
        </w:rPr>
        <w:t xml:space="preserve">El componente de </w:t>
      </w:r>
      <w:r>
        <w:rPr>
          <w:rFonts w:ascii="Garamond" w:cs="Garamond" w:eastAsia="Garamond" w:hAnsi="Garamond"/>
          <w:b/>
          <w:bCs/>
          <w:color w:val="1C3A5E"/>
          <w:sz w:val="22"/>
          <w:szCs w:val="22"/>
        </w:rPr>
        <w:t xml:space="preserve">bienestar social e inclusión</w:t>
      </w:r>
      <w:r>
        <w:rPr>
          <w:rFonts w:ascii="Garamond" w:cs="Garamond" w:eastAsia="Garamond" w:hAnsi="Garamond"/>
          <w:sz w:val="22"/>
          <w:szCs w:val="22"/>
        </w:rPr>
        <w:t xml:space="preserve"> adquiere urgencia por la dinámica demográfica: con un índice de envejecimiento que saltó de 53,8 (2017) a 72,1 (2024), la demanda de servicios para adultos mayores, personas con discapacidad y migrantes crecerá de forma estructural durante el período del PLADECO. Planificar sin este componente sería planificar para una Rengo que ya no existe.</w:t>
      </w:r>
    </w:p>
    <w:p>
      <w:pPr>
        <w:pBdr>
          <w:left w:val="single" w:color="1C3A5E" w:sz="12" w:space="8"/>
        </w:pBdr>
        <w:spacing w:after="100" w:before="100" w:line="276" w:lineRule="auto"/>
        <w:ind w:left="600" w:right="400"/>
        <w:jc w:val="both"/>
      </w:pPr>
      <w:r>
        <w:rPr>
          <w:rFonts w:ascii="Garamond" w:cs="Garamond" w:eastAsia="Garamond" w:hAnsi="Garamond"/>
          <w:i/>
          <w:iCs/>
          <w:color w:val="3D3D3D"/>
          <w:sz w:val="20"/>
          <w:szCs w:val="20"/>
        </w:rPr>
        <w:t xml:space="preserve">El consumo de alcohol y drogas en NNA y jóvenes no es un problema de valores: es un problema de ausencia de alternativas. Donde no hay oferta cultural, deportiva y recreativa de calidad, los factores de riesgo ocupan ese espacio. El Eje 1 es, también, prevención en salud pública.</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C3A5E" w:val="clear"/>
            <w:tcMar>
              <w:top w:type="dxa" w:w="80"/>
              <w:left w:type="dxa" w:w="100"/>
              <w:bottom w:type="dxa" w:w="80"/>
              <w:right w:type="dxa" w:w="60"/>
            </w:tcMar>
            <w:vAlign w:val="center"/>
          </w:tcPr>
          <w:p>
            <w:pPr>
              <w:jc w:val="center"/>
            </w:pPr>
            <w:r>
              <w:rPr>
                <w:rFonts w:ascii="Garamond" w:cs="Garamond" w:eastAsia="Garamond" w:hAnsi="Garamond"/>
                <w:b/>
                <w:bCs/>
                <w:color w:val="FFFFFF"/>
                <w:sz w:val="17"/>
                <w:szCs w:val="17"/>
              </w:rPr>
              <w:t xml:space="preserve">Objetivos
Estratégicos</w:t>
            </w:r>
          </w:p>
        </w:tc>
        <w:tc>
          <w:tcPr>
            <w:tcW w:type="dxa" w:w="8160"/>
            <w:tcBorders>
              <w:top w:val="none" w:color="FFFFFF" w:sz="0"/>
              <w:left w:val="none" w:color="FFFFFF" w:sz="0"/>
              <w:bottom w:val="none" w:color="FFFFFF" w:sz="0"/>
              <w:right w:val="none" w:color="FFFFFF" w:sz="0"/>
            </w:tcBorders>
            <w:shd w:fill="D6E4F0" w:val="clear"/>
            <w:tcMar>
              <w:top w:type="dxa" w:w="80"/>
              <w:left w:type="dxa" w:w="140"/>
              <w:bottom w:type="dxa" w:w="80"/>
              <w:right w:type="dxa" w:w="120"/>
            </w:tcMar>
          </w:tcPr>
          <w:p>
            <w:pPr>
              <w:spacing w:after="50" w:before="40"/>
            </w:pPr>
            <w:r>
              <w:rPr>
                <w:rFonts w:ascii="Garamond" w:cs="Garamond" w:eastAsia="Garamond" w:hAnsi="Garamond"/>
                <w:b/>
                <w:bCs/>
                <w:color w:val="1C3A5E"/>
                <w:sz w:val="18"/>
                <w:szCs w:val="18"/>
              </w:rPr>
              <w:t xml:space="preserve">OE 1.1: </w:t>
            </w:r>
            <w:r>
              <w:rPr>
                <w:rFonts w:ascii="Garamond" w:cs="Garamond" w:eastAsia="Garamond" w:hAnsi="Garamond"/>
                <w:color w:val="3D3D3D"/>
                <w:sz w:val="18"/>
                <w:szCs w:val="18"/>
              </w:rPr>
              <w:t xml:space="preserve">Desarrollar Plan de Turismo Rural, Patrimonial y Enoturístico — posicionar Rengo como destino en el Valle Apalta</w:t>
            </w:r>
          </w:p>
          <w:p>
            <w:pPr>
              <w:spacing w:after="50" w:before="40"/>
            </w:pPr>
            <w:r>
              <w:rPr>
                <w:rFonts w:ascii="Garamond" w:cs="Garamond" w:eastAsia="Garamond" w:hAnsi="Garamond"/>
                <w:b/>
                <w:bCs/>
                <w:color w:val="1C3A5E"/>
                <w:sz w:val="18"/>
                <w:szCs w:val="18"/>
              </w:rPr>
              <w:t xml:space="preserve">OE 1.2: </w:t>
            </w:r>
            <w:r>
              <w:rPr>
                <w:rFonts w:ascii="Garamond" w:cs="Garamond" w:eastAsia="Garamond" w:hAnsi="Garamond"/>
                <w:color w:val="3D3D3D"/>
                <w:sz w:val="18"/>
                <w:szCs w:val="18"/>
              </w:rPr>
              <w:t xml:space="preserve">Inventario y protección del patrimonio histórico local — condición para el turismo y la identidad comunal</w:t>
            </w:r>
          </w:p>
          <w:p>
            <w:pPr>
              <w:spacing w:after="50" w:before="40"/>
            </w:pPr>
            <w:r>
              <w:rPr>
                <w:rFonts w:ascii="Garamond" w:cs="Garamond" w:eastAsia="Garamond" w:hAnsi="Garamond"/>
                <w:b/>
                <w:bCs/>
                <w:color w:val="1C3A5E"/>
                <w:sz w:val="18"/>
                <w:szCs w:val="18"/>
              </w:rPr>
              <w:t xml:space="preserve">OE 1.3: </w:t>
            </w:r>
            <w:r>
              <w:rPr>
                <w:rFonts w:ascii="Garamond" w:cs="Garamond" w:eastAsia="Garamond" w:hAnsi="Garamond"/>
                <w:color w:val="3D3D3D"/>
                <w:sz w:val="18"/>
                <w:szCs w:val="18"/>
              </w:rPr>
              <w:t xml:space="preserve">Ampliar infraestructura deportiva accesible — reducir brechas territoriales entre zona urbana y rural</w:t>
            </w:r>
          </w:p>
          <w:p>
            <w:pPr>
              <w:spacing w:after="50" w:before="40"/>
            </w:pPr>
            <w:r>
              <w:rPr>
                <w:rFonts w:ascii="Garamond" w:cs="Garamond" w:eastAsia="Garamond" w:hAnsi="Garamond"/>
                <w:b/>
                <w:bCs/>
                <w:color w:val="1C3A5E"/>
                <w:sz w:val="18"/>
                <w:szCs w:val="18"/>
              </w:rPr>
              <w:t xml:space="preserve">OE 1.4: </w:t>
            </w:r>
            <w:r>
              <w:rPr>
                <w:rFonts w:ascii="Garamond" w:cs="Garamond" w:eastAsia="Garamond" w:hAnsi="Garamond"/>
                <w:color w:val="3D3D3D"/>
                <w:sz w:val="18"/>
                <w:szCs w:val="18"/>
              </w:rPr>
              <w:t xml:space="preserve">Fortalecer inclusión social: adultos mayores, personas con discapacidad y migrantes</w:t>
            </w:r>
          </w:p>
          <w:p>
            <w:pPr>
              <w:spacing w:after="50" w:before="40"/>
            </w:pPr>
            <w:r>
              <w:rPr>
                <w:rFonts w:ascii="Garamond" w:cs="Garamond" w:eastAsia="Garamond" w:hAnsi="Garamond"/>
                <w:b/>
                <w:bCs/>
                <w:color w:val="1C3A5E"/>
                <w:sz w:val="18"/>
                <w:szCs w:val="18"/>
              </w:rPr>
              <w:t xml:space="preserve">OE 1.5: </w:t>
            </w:r>
            <w:r>
              <w:rPr>
                <w:rFonts w:ascii="Garamond" w:cs="Garamond" w:eastAsia="Garamond" w:hAnsi="Garamond"/>
                <w:color w:val="3D3D3D"/>
                <w:sz w:val="18"/>
                <w:szCs w:val="18"/>
              </w:rPr>
              <w:t xml:space="preserve">Reducir consumo de alcohol y drogas mediante oferta recreativa, cultural y de prevención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c>
          <w:tcPr>
            <w:tcW w:type="dxa" w:w="1200"/>
            <w:tcBorders>
              <w:top w:val="none" w:color="FFFFFF" w:sz="0"/>
              <w:left w:val="none" w:color="FFFFFF" w:sz="0"/>
              <w:bottom w:val="none" w:color="FFFFFF" w:sz="0"/>
              <w:right w:val="none" w:color="FFFFFF" w:sz="0"/>
            </w:tcBorders>
            <w:shd w:fill="166534" w:val="clear"/>
            <w:tcMar>
              <w:top w:type="dxa" w:w="100"/>
              <w:left w:type="dxa" w:w="120"/>
              <w:bottom w:type="dxa" w:w="100"/>
              <w:right w:type="dxa" w:w="60"/>
            </w:tcMar>
            <w:vAlign w:val="center"/>
          </w:tcPr>
          <w:p>
            <w:pPr>
              <w:spacing w:after="0" w:before="0"/>
              <w:jc w:val="center"/>
            </w:pPr>
            <w:r>
              <w:rPr>
                <w:rFonts w:ascii="Garamond" w:cs="Garamond" w:eastAsia="Garamond" w:hAnsi="Garamond"/>
                <w:b/>
                <w:bCs/>
                <w:color w:val="FFFFFF"/>
                <w:sz w:val="22"/>
                <w:szCs w:val="22"/>
              </w:rPr>
              <w:t xml:space="preserve">EJE 2</w:t>
            </w:r>
          </w:p>
        </w:tc>
        <w:tc>
          <w:tcPr>
            <w:tcW w:type="dxa" w:w="6360"/>
            <w:tcBorders>
              <w:top w:val="none" w:color="FFFFFF" w:sz="0"/>
              <w:left w:val="none" w:color="FFFFFF" w:sz="0"/>
              <w:bottom w:val="none" w:color="FFFFFF" w:sz="0"/>
              <w:right w:val="none" w:color="FFFFFF" w:sz="0"/>
            </w:tcBorders>
            <w:shd w:fill="166534" w:val="clear"/>
            <w:tcMar>
              <w:top w:type="dxa" w:w="100"/>
              <w:left w:type="dxa" w:w="120"/>
              <w:bottom w:type="dxa" w:w="100"/>
              <w:right w:type="dxa" w:w="120"/>
            </w:tcMar>
            <w:vAlign w:val="center"/>
          </w:tcPr>
          <w:p>
            <w:pPr>
              <w:spacing w:after="0" w:before="0"/>
            </w:pPr>
            <w:r>
              <w:rPr>
                <w:rFonts w:ascii="Garamond" w:cs="Garamond" w:eastAsia="Garamond" w:hAnsi="Garamond"/>
                <w:b/>
                <w:bCs/>
                <w:color w:val="FFFFFF"/>
                <w:sz w:val="22"/>
                <w:szCs w:val="22"/>
              </w:rPr>
              <w:t xml:space="preserve">Eje 2: Desarrollo Económico Comunal</w:t>
            </w:r>
          </w:p>
        </w:tc>
        <w:tc>
          <w:tcPr>
            <w:tcW w:type="dxa" w:w="1800"/>
            <w:tcBorders>
              <w:top w:val="none" w:color="FFFFFF" w:sz="0"/>
              <w:left w:val="none" w:color="FFFFFF" w:sz="0"/>
              <w:bottom w:val="none" w:color="FFFFFF" w:sz="0"/>
              <w:right w:val="none" w:color="FFFFFF" w:sz="0"/>
            </w:tcBorders>
            <w:shd w:fill="DCFCE7" w:val="clear"/>
            <w:tcMar>
              <w:top w:type="dxa" w:w="80"/>
              <w:left w:type="dxa" w:w="100"/>
              <w:bottom w:type="dxa" w:w="80"/>
              <w:right w:type="dxa" w:w="100"/>
            </w:tcMar>
            <w:vAlign w:val="center"/>
          </w:tcPr>
          <w:p>
            <w:pPr>
              <w:spacing w:after="30" w:before="0"/>
              <w:jc w:val="center"/>
            </w:pPr>
            <w:r>
              <w:rPr>
                <w:rFonts w:ascii="Garamond" w:cs="Garamond" w:eastAsia="Garamond" w:hAnsi="Garamond"/>
                <w:b/>
                <w:bCs/>
                <w:color w:val="166534"/>
                <w:sz w:val="36"/>
                <w:szCs w:val="36"/>
              </w:rPr>
              <w:t xml:space="preserve">18</w:t>
            </w:r>
          </w:p>
          <w:p>
            <w:pPr>
              <w:spacing w:after="0" w:before="0"/>
              <w:jc w:val="center"/>
            </w:pPr>
            <w:r>
              <w:rPr>
                <w:rFonts w:ascii="Garamond" w:cs="Garamond" w:eastAsia="Garamond" w:hAnsi="Garamond"/>
                <w:color w:val="166534"/>
                <w:sz w:val="16"/>
                <w:szCs w:val="16"/>
              </w:rPr>
              <w:t xml:space="preserve">acciones · 8% del total</w:t>
            </w:r>
          </w:p>
        </w:tc>
      </w:tr>
    </w:tbl>
    <w:p>
      <w:pPr>
        <w:spacing w:after="0" w:before="120"/>
      </w:pPr>
    </w:p>
    <w:p>
      <w:pPr>
        <w:spacing w:after="100" w:before="80" w:line="280" w:lineRule="auto"/>
        <w:jc w:val="both"/>
      </w:pPr>
      <w:r>
        <w:rPr>
          <w:rFonts w:ascii="Garamond" w:cs="Garamond" w:eastAsia="Garamond" w:hAnsi="Garamond"/>
          <w:sz w:val="22"/>
          <w:szCs w:val="22"/>
        </w:rPr>
        <w:t xml:space="preserve">El Eje 2 tiene el menor número de acciones en términos absolutos —</w:t>
      </w:r>
      <w:r>
        <w:rPr>
          <w:rFonts w:ascii="Garamond" w:cs="Garamond" w:eastAsia="Garamond" w:hAnsi="Garamond"/>
          <w:b/>
          <w:bCs/>
          <w:color w:val="166534"/>
          <w:sz w:val="22"/>
          <w:szCs w:val="22"/>
        </w:rPr>
        <w:t xml:space="preserve">18 acciones, el 8% del total</w:t>
      </w:r>
      <w:r>
        <w:rPr>
          <w:rFonts w:ascii="Garamond" w:cs="Garamond" w:eastAsia="Garamond" w:hAnsi="Garamond"/>
          <w:sz w:val="22"/>
          <w:szCs w:val="22"/>
        </w:rPr>
        <w:t xml:space="preserve">— pero eso no refleja su importancia estratégica: refleja que el desarrollo económico local es un ámbito en que el municipio tiene atribuciones limitadas por ley. El municipio no puede crear empleos directamente, ni fijar precios agrícolas, ni subsidiar industrias. Lo que sí puede hacer es </w:t>
      </w:r>
      <w:r>
        <w:rPr>
          <w:rFonts w:ascii="Garamond" w:cs="Garamond" w:eastAsia="Garamond" w:hAnsi="Garamond"/>
          <w:b/>
          <w:bCs/>
          <w:color w:val="1C3A5E"/>
          <w:sz w:val="22"/>
          <w:szCs w:val="22"/>
        </w:rPr>
        <w:t xml:space="preserve">crear las condiciones institucionales para que el sector privado invierta</w:t>
      </w:r>
      <w:r>
        <w:rPr>
          <w:rFonts w:ascii="Garamond" w:cs="Garamond" w:eastAsia="Garamond" w:hAnsi="Garamond"/>
          <w:sz w:val="22"/>
          <w:szCs w:val="22"/>
        </w:rPr>
        <w:t xml:space="preserve">, y eso es exactamente lo que este eje plantea.</w:t>
      </w:r>
    </w:p>
    <w:p>
      <w:pPr>
        <w:spacing w:after="100" w:before="80" w:line="280" w:lineRule="auto"/>
        <w:jc w:val="both"/>
      </w:pPr>
      <w:r>
        <w:rPr>
          <w:rFonts w:ascii="Garamond" w:cs="Garamond" w:eastAsia="Garamond" w:hAnsi="Garamond"/>
          <w:sz w:val="22"/>
          <w:szCs w:val="22"/>
        </w:rPr>
        <w:t xml:space="preserve">El argumento de fondo es una asimetría que el diagnóstico documenta con precisión: Rengo </w:t>
      </w:r>
      <w:r>
        <w:rPr>
          <w:rFonts w:ascii="Garamond" w:cs="Garamond" w:eastAsia="Garamond" w:hAnsi="Garamond"/>
          <w:b/>
          <w:bCs/>
          <w:color w:val="1C3A5E"/>
          <w:sz w:val="22"/>
          <w:szCs w:val="22"/>
        </w:rPr>
        <w:t xml:space="preserve">lidera la provincia en base empresarial</w:t>
      </w:r>
      <w:r>
        <w:rPr>
          <w:rFonts w:ascii="Garamond" w:cs="Garamond" w:eastAsia="Garamond" w:hAnsi="Garamond"/>
          <w:sz w:val="22"/>
          <w:szCs w:val="22"/>
        </w:rPr>
        <w:t xml:space="preserve"> pero opera con un </w:t>
      </w:r>
      <w:r>
        <w:rPr>
          <w:rFonts w:ascii="Garamond" w:cs="Garamond" w:eastAsia="Garamond" w:hAnsi="Garamond"/>
          <w:b/>
          <w:bCs/>
          <w:color w:val="166534"/>
          <w:sz w:val="22"/>
          <w:szCs w:val="22"/>
        </w:rPr>
        <w:t xml:space="preserve">Departamento de Desarrollo Económico sin rango de Dirección</w:t>
      </w:r>
      <w:r>
        <w:rPr>
          <w:rFonts w:ascii="Garamond" w:cs="Garamond" w:eastAsia="Garamond" w:hAnsi="Garamond"/>
          <w:sz w:val="22"/>
          <w:szCs w:val="22"/>
        </w:rPr>
        <w:t xml:space="preserve">, con capacidad institucional limitada para acompañar ese liderazgo. El primer objetivo estratégico de este eje —elevar ese Departamento a rango de Dirección— es la condición institucional para que todos los demás objetivos económicos tengan viabilidad operativa.</w:t>
      </w:r>
    </w:p>
    <w:p>
      <w:pPr>
        <w:spacing w:after="100" w:before="80" w:line="280" w:lineRule="auto"/>
        <w:jc w:val="both"/>
      </w:pPr>
      <w:r>
        <w:rPr>
          <w:rFonts w:ascii="Garamond" w:cs="Garamond" w:eastAsia="Garamond" w:hAnsi="Garamond"/>
          <w:sz w:val="22"/>
          <w:szCs w:val="22"/>
        </w:rPr>
        <w:t xml:space="preserve">La </w:t>
      </w:r>
      <w:r>
        <w:rPr>
          <w:rFonts w:ascii="Garamond" w:cs="Garamond" w:eastAsia="Garamond" w:hAnsi="Garamond"/>
          <w:b/>
          <w:bCs/>
          <w:color w:val="1C3A5E"/>
          <w:sz w:val="22"/>
          <w:szCs w:val="22"/>
        </w:rPr>
        <w:t xml:space="preserve">transición agrícola</w:t>
      </w:r>
      <w:r>
        <w:rPr>
          <w:rFonts w:ascii="Garamond" w:cs="Garamond" w:eastAsia="Garamond" w:hAnsi="Garamond"/>
          <w:sz w:val="22"/>
          <w:szCs w:val="22"/>
        </w:rPr>
        <w:t xml:space="preserve"> es la otra urgencia del eje. El PACCC documenta 6 decretos de escasez hídrica desde 2006 y una pérdida de 145 hectáreas de bosque nativo en 20 años. La agricultura —columna vertebral de la economía rural de Rengo— está bajo presión climática creciente. El PLADECO no puede ignorar que el 21,9% de la población rural está más expuesta a eventos climáticos extremos. La reconversión hacia agricultura sustentable y eficiencia hídrica no es una opción ideológica: es una necesidad económica de supervivencia territorial.</w:t>
      </w:r>
    </w:p>
    <w:p>
      <w:pPr>
        <w:pBdr>
          <w:left w:val="single" w:color="166534" w:sz="12" w:space="8"/>
        </w:pBdr>
        <w:spacing w:after="100" w:before="100" w:line="276" w:lineRule="auto"/>
        <w:ind w:left="600" w:right="400"/>
        <w:jc w:val="both"/>
      </w:pPr>
      <w:r>
        <w:rPr>
          <w:rFonts w:ascii="Garamond" w:cs="Garamond" w:eastAsia="Garamond" w:hAnsi="Garamond"/>
          <w:i/>
          <w:iCs/>
          <w:color w:val="3D3D3D"/>
          <w:sz w:val="20"/>
          <w:szCs w:val="20"/>
        </w:rPr>
        <w:t xml:space="preserve">Una OMIL que solo gestiona bolsas de trabajo pasivas no está a la altura de una economía que necesita reconversión laboral activa. El fortalecimiento de la OMIL con programas de reskilling y upskilling es condición para que el capital humano de Rengo acompañe la diversificación económica que este eje proyecta.</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66534" w:val="clear"/>
            <w:tcMar>
              <w:top w:type="dxa" w:w="80"/>
              <w:left w:type="dxa" w:w="100"/>
              <w:bottom w:type="dxa" w:w="80"/>
              <w:right w:type="dxa" w:w="60"/>
            </w:tcMar>
            <w:vAlign w:val="center"/>
          </w:tcPr>
          <w:p>
            <w:pPr>
              <w:jc w:val="center"/>
            </w:pPr>
            <w:r>
              <w:rPr>
                <w:rFonts w:ascii="Garamond" w:cs="Garamond" w:eastAsia="Garamond" w:hAnsi="Garamond"/>
                <w:b/>
                <w:bCs/>
                <w:color w:val="FFFFFF"/>
                <w:sz w:val="17"/>
                <w:szCs w:val="17"/>
              </w:rPr>
              <w:t xml:space="preserve">Objetivos
Estratégicos</w:t>
            </w:r>
          </w:p>
        </w:tc>
        <w:tc>
          <w:tcPr>
            <w:tcW w:type="dxa" w:w="8160"/>
            <w:tcBorders>
              <w:top w:val="none" w:color="FFFFFF" w:sz="0"/>
              <w:left w:val="none" w:color="FFFFFF" w:sz="0"/>
              <w:bottom w:val="none" w:color="FFFFFF" w:sz="0"/>
              <w:right w:val="none" w:color="FFFFFF" w:sz="0"/>
            </w:tcBorders>
            <w:shd w:fill="DCFCE7" w:val="clear"/>
            <w:tcMar>
              <w:top w:type="dxa" w:w="80"/>
              <w:left w:type="dxa" w:w="140"/>
              <w:bottom w:type="dxa" w:w="80"/>
              <w:right w:type="dxa" w:w="120"/>
            </w:tcMar>
          </w:tcPr>
          <w:p>
            <w:pPr>
              <w:spacing w:after="50" w:before="40"/>
            </w:pPr>
            <w:r>
              <w:rPr>
                <w:rFonts w:ascii="Garamond" w:cs="Garamond" w:eastAsia="Garamond" w:hAnsi="Garamond"/>
                <w:b/>
                <w:bCs/>
                <w:color w:val="166534"/>
                <w:sz w:val="18"/>
                <w:szCs w:val="18"/>
              </w:rPr>
              <w:t xml:space="preserve">OE 2.1: </w:t>
            </w:r>
            <w:r>
              <w:rPr>
                <w:rFonts w:ascii="Garamond" w:cs="Garamond" w:eastAsia="Garamond" w:hAnsi="Garamond"/>
                <w:color w:val="3D3D3D"/>
                <w:sz w:val="18"/>
                <w:szCs w:val="18"/>
              </w:rPr>
              <w:t xml:space="preserve">Elevar Depto. Desarrollo Económico a Dirección — condición institucional para todos los demás OE económicos</w:t>
            </w:r>
          </w:p>
          <w:p>
            <w:pPr>
              <w:spacing w:after="50" w:before="40"/>
            </w:pPr>
            <w:r>
              <w:rPr>
                <w:rFonts w:ascii="Garamond" w:cs="Garamond" w:eastAsia="Garamond" w:hAnsi="Garamond"/>
                <w:b/>
                <w:bCs/>
                <w:color w:val="166534"/>
                <w:sz w:val="18"/>
                <w:szCs w:val="18"/>
              </w:rPr>
              <w:t xml:space="preserve">OE 2.2: </w:t>
            </w:r>
            <w:r>
              <w:rPr>
                <w:rFonts w:ascii="Garamond" w:cs="Garamond" w:eastAsia="Garamond" w:hAnsi="Garamond"/>
                <w:color w:val="3D3D3D"/>
                <w:sz w:val="18"/>
                <w:szCs w:val="18"/>
              </w:rPr>
              <w:t xml:space="preserve">Fortalecer OMIL con programas de reconversión laboral activa — reskilling para empleabilidad real</w:t>
            </w:r>
          </w:p>
          <w:p>
            <w:pPr>
              <w:spacing w:after="50" w:before="40"/>
            </w:pPr>
            <w:r>
              <w:rPr>
                <w:rFonts w:ascii="Garamond" w:cs="Garamond" w:eastAsia="Garamond" w:hAnsi="Garamond"/>
                <w:b/>
                <w:bCs/>
                <w:color w:val="166534"/>
                <w:sz w:val="18"/>
                <w:szCs w:val="18"/>
              </w:rPr>
              <w:t xml:space="preserve">OE 2.3: </w:t>
            </w:r>
            <w:r>
              <w:rPr>
                <w:rFonts w:ascii="Garamond" w:cs="Garamond" w:eastAsia="Garamond" w:hAnsi="Garamond"/>
                <w:color w:val="3D3D3D"/>
                <w:sz w:val="18"/>
                <w:szCs w:val="18"/>
              </w:rPr>
              <w:t xml:space="preserve">Crear polos de emprendimiento e innovación — infraestructura para PYMES y startups locales</w:t>
            </w:r>
          </w:p>
          <w:p>
            <w:pPr>
              <w:spacing w:after="50" w:before="40"/>
            </w:pPr>
            <w:r>
              <w:rPr>
                <w:rFonts w:ascii="Garamond" w:cs="Garamond" w:eastAsia="Garamond" w:hAnsi="Garamond"/>
                <w:b/>
                <w:bCs/>
                <w:color w:val="166534"/>
                <w:sz w:val="18"/>
                <w:szCs w:val="18"/>
              </w:rPr>
              <w:t xml:space="preserve">OE 2.4: </w:t>
            </w:r>
            <w:r>
              <w:rPr>
                <w:rFonts w:ascii="Garamond" w:cs="Garamond" w:eastAsia="Garamond" w:hAnsi="Garamond"/>
                <w:color w:val="3D3D3D"/>
                <w:sz w:val="18"/>
                <w:szCs w:val="18"/>
              </w:rPr>
              <w:t xml:space="preserve">Desarrollar turismo rural y enoturístico articulado con Valle Apalta — diversificación económica</w:t>
            </w:r>
          </w:p>
          <w:p>
            <w:pPr>
              <w:spacing w:after="50" w:before="40"/>
            </w:pPr>
            <w:r>
              <w:rPr>
                <w:rFonts w:ascii="Garamond" w:cs="Garamond" w:eastAsia="Garamond" w:hAnsi="Garamond"/>
                <w:b/>
                <w:bCs/>
                <w:color w:val="166534"/>
                <w:sz w:val="18"/>
                <w:szCs w:val="18"/>
              </w:rPr>
              <w:t xml:space="preserve">OE 2.5: </w:t>
            </w:r>
            <w:r>
              <w:rPr>
                <w:rFonts w:ascii="Garamond" w:cs="Garamond" w:eastAsia="Garamond" w:hAnsi="Garamond"/>
                <w:color w:val="3D3D3D"/>
                <w:sz w:val="18"/>
                <w:szCs w:val="18"/>
              </w:rPr>
              <w:t xml:space="preserve">Impulsar transición hacia agricultura sustentable — eficiencia hídrica y adaptación climática</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c>
          <w:tcPr>
            <w:tcW w:type="dxa" w:w="1200"/>
            <w:tcBorders>
              <w:top w:val="none" w:color="FFFFFF" w:sz="0"/>
              <w:left w:val="none" w:color="FFFFFF" w:sz="0"/>
              <w:bottom w:val="none" w:color="FFFFFF" w:sz="0"/>
              <w:right w:val="none" w:color="FFFFFF" w:sz="0"/>
            </w:tcBorders>
            <w:shd w:fill="1E40AF" w:val="clear"/>
            <w:tcMar>
              <w:top w:type="dxa" w:w="100"/>
              <w:left w:type="dxa" w:w="120"/>
              <w:bottom w:type="dxa" w:w="100"/>
              <w:right w:type="dxa" w:w="60"/>
            </w:tcMar>
            <w:vAlign w:val="center"/>
          </w:tcPr>
          <w:p>
            <w:pPr>
              <w:spacing w:after="0" w:before="0"/>
              <w:jc w:val="center"/>
            </w:pPr>
            <w:r>
              <w:rPr>
                <w:rFonts w:ascii="Garamond" w:cs="Garamond" w:eastAsia="Garamond" w:hAnsi="Garamond"/>
                <w:b/>
                <w:bCs/>
                <w:color w:val="FFFFFF"/>
                <w:sz w:val="22"/>
                <w:szCs w:val="22"/>
              </w:rPr>
              <w:t xml:space="preserve">EJE 3</w:t>
            </w:r>
          </w:p>
        </w:tc>
        <w:tc>
          <w:tcPr>
            <w:tcW w:type="dxa" w:w="6360"/>
            <w:tcBorders>
              <w:top w:val="none" w:color="FFFFFF" w:sz="0"/>
              <w:left w:val="none" w:color="FFFFFF" w:sz="0"/>
              <w:bottom w:val="none" w:color="FFFFFF" w:sz="0"/>
              <w:right w:val="none" w:color="FFFFFF" w:sz="0"/>
            </w:tcBorders>
            <w:shd w:fill="1E40AF" w:val="clear"/>
            <w:tcMar>
              <w:top w:type="dxa" w:w="100"/>
              <w:left w:type="dxa" w:w="120"/>
              <w:bottom w:type="dxa" w:w="100"/>
              <w:right w:type="dxa" w:w="120"/>
            </w:tcMar>
            <w:vAlign w:val="center"/>
          </w:tcPr>
          <w:p>
            <w:pPr>
              <w:spacing w:after="0" w:before="0"/>
            </w:pPr>
            <w:r>
              <w:rPr>
                <w:rFonts w:ascii="Garamond" w:cs="Garamond" w:eastAsia="Garamond" w:hAnsi="Garamond"/>
                <w:b/>
                <w:bCs/>
                <w:color w:val="FFFFFF"/>
                <w:sz w:val="22"/>
                <w:szCs w:val="22"/>
              </w:rPr>
              <w:t xml:space="preserve">Eje 3: Educación y Capacitación para el Desarrollo Humano</w:t>
            </w:r>
          </w:p>
        </w:tc>
        <w:tc>
          <w:tcPr>
            <w:tcW w:type="dxa" w:w="1800"/>
            <w:tcBorders>
              <w:top w:val="none" w:color="FFFFFF" w:sz="0"/>
              <w:left w:val="none" w:color="FFFFFF" w:sz="0"/>
              <w:bottom w:val="none" w:color="FFFFFF" w:sz="0"/>
              <w:right w:val="none" w:color="FFFFFF" w:sz="0"/>
            </w:tcBorders>
            <w:shd w:fill="DBEAFE" w:val="clear"/>
            <w:tcMar>
              <w:top w:type="dxa" w:w="80"/>
              <w:left w:type="dxa" w:w="100"/>
              <w:bottom w:type="dxa" w:w="80"/>
              <w:right w:type="dxa" w:w="100"/>
            </w:tcMar>
            <w:vAlign w:val="center"/>
          </w:tcPr>
          <w:p>
            <w:pPr>
              <w:spacing w:after="30" w:before="0"/>
              <w:jc w:val="center"/>
            </w:pPr>
            <w:r>
              <w:rPr>
                <w:rFonts w:ascii="Garamond" w:cs="Garamond" w:eastAsia="Garamond" w:hAnsi="Garamond"/>
                <w:b/>
                <w:bCs/>
                <w:color w:val="1E40AF"/>
                <w:sz w:val="36"/>
                <w:szCs w:val="36"/>
              </w:rPr>
              <w:t xml:space="preserve">14</w:t>
            </w:r>
          </w:p>
          <w:p>
            <w:pPr>
              <w:spacing w:after="0" w:before="0"/>
              <w:jc w:val="center"/>
            </w:pPr>
            <w:r>
              <w:rPr>
                <w:rFonts w:ascii="Garamond" w:cs="Garamond" w:eastAsia="Garamond" w:hAnsi="Garamond"/>
                <w:color w:val="1E40AF"/>
                <w:sz w:val="16"/>
                <w:szCs w:val="16"/>
              </w:rPr>
              <w:t xml:space="preserve">acciones · 6% del total</w:t>
            </w:r>
          </w:p>
        </w:tc>
      </w:tr>
    </w:tbl>
    <w:p>
      <w:pPr>
        <w:spacing w:after="0" w:before="120"/>
      </w:pPr>
    </w:p>
    <w:p>
      <w:pPr>
        <w:spacing w:after="100" w:before="80" w:line="280" w:lineRule="auto"/>
        <w:jc w:val="both"/>
      </w:pPr>
      <w:r>
        <w:rPr>
          <w:rFonts w:ascii="Garamond" w:cs="Garamond" w:eastAsia="Garamond" w:hAnsi="Garamond"/>
          <w:sz w:val="22"/>
          <w:szCs w:val="22"/>
        </w:rPr>
        <w:t xml:space="preserve">El Eje 3 concentra </w:t>
      </w:r>
      <w:r>
        <w:rPr>
          <w:rFonts w:ascii="Garamond" w:cs="Garamond" w:eastAsia="Garamond" w:hAnsi="Garamond"/>
          <w:b/>
          <w:bCs/>
          <w:color w:val="1E40AF"/>
          <w:sz w:val="22"/>
          <w:szCs w:val="22"/>
        </w:rPr>
        <w:t xml:space="preserve">14 acciones (6% del total)</w:t>
      </w:r>
      <w:r>
        <w:rPr>
          <w:rFonts w:ascii="Garamond" w:cs="Garamond" w:eastAsia="Garamond" w:hAnsi="Garamond"/>
          <w:sz w:val="22"/>
          <w:szCs w:val="22"/>
        </w:rPr>
        <w:t xml:space="preserve"> pero opera sobre la dimensión de mayor impacto de largo plazo: la formación del capital humano comunal. El diagnóstico entrega datos que justifican intervención urgente. La </w:t>
      </w:r>
      <w:r>
        <w:rPr>
          <w:rFonts w:ascii="Garamond" w:cs="Garamond" w:eastAsia="Garamond" w:hAnsi="Garamond"/>
          <w:b/>
          <w:bCs/>
          <w:color w:val="1C3A5E"/>
          <w:sz w:val="22"/>
          <w:szCs w:val="22"/>
        </w:rPr>
        <w:t xml:space="preserve">tasa de profesionalización municipal es de apenas 34,5%</w:t>
      </w:r>
      <w:r>
        <w:rPr>
          <w:rFonts w:ascii="Garamond" w:cs="Garamond" w:eastAsia="Garamond" w:hAnsi="Garamond"/>
          <w:sz w:val="22"/>
          <w:szCs w:val="22"/>
        </w:rPr>
        <w:t xml:space="preserve">, ubicando a Rengo en el puesto 26° de 33 comunas de la región. Solo 44 de los 120 funcionarios de planta tienen título profesional (37%). Esto no es solo un problema de la administración municipal: es un reflejo del nivel de capital humano del territorio en su conjunto.</w:t>
      </w:r>
    </w:p>
    <w:p>
      <w:pPr>
        <w:spacing w:after="100" w:before="80" w:line="280" w:lineRule="auto"/>
        <w:jc w:val="both"/>
      </w:pPr>
      <w:r>
        <w:rPr>
          <w:rFonts w:ascii="Garamond" w:cs="Garamond" w:eastAsia="Garamond" w:hAnsi="Garamond"/>
          <w:sz w:val="22"/>
          <w:szCs w:val="22"/>
        </w:rPr>
        <w:t xml:space="preserve">La base de datos educativa tiene señales positivas y señales de alerta simultáneas. Los resultados SIMCE mejoraron entre </w:t>
      </w:r>
      <w:r>
        <w:rPr>
          <w:rFonts w:ascii="Garamond" w:cs="Garamond" w:eastAsia="Garamond" w:hAnsi="Garamond"/>
          <w:b/>
          <w:bCs/>
          <w:color w:val="1C3A5E"/>
          <w:sz w:val="22"/>
          <w:szCs w:val="22"/>
        </w:rPr>
        <w:t xml:space="preserve">+15 y +20 puntos entre 2013 y 2019</w:t>
      </w:r>
      <w:r>
        <w:rPr>
          <w:rFonts w:ascii="Garamond" w:cs="Garamond" w:eastAsia="Garamond" w:hAnsi="Garamond"/>
          <w:sz w:val="22"/>
          <w:szCs w:val="22"/>
        </w:rPr>
        <w:t xml:space="preserve"> en todos los niveles, pero la brecha con el promedio nacional se mantiene en 14 puntos en Comprensión Lectora. La matrícula municipal representa el </w:t>
      </w:r>
      <w:r>
        <w:rPr>
          <w:rFonts w:ascii="Garamond" w:cs="Garamond" w:eastAsia="Garamond" w:hAnsi="Garamond"/>
          <w:b/>
          <w:bCs/>
          <w:color w:val="1C3A5E"/>
          <w:sz w:val="22"/>
          <w:szCs w:val="22"/>
        </w:rPr>
        <w:t xml:space="preserve">76% del total comunal</w:t>
      </w:r>
      <w:r>
        <w:rPr>
          <w:rFonts w:ascii="Garamond" w:cs="Garamond" w:eastAsia="Garamond" w:hAnsi="Garamond"/>
          <w:sz w:val="22"/>
          <w:szCs w:val="22"/>
        </w:rPr>
        <w:t xml:space="preserve">, lo que da al municipio una responsabilidad directa sobre la calidad educativa de la mayoría de los niños y jóvenes de Rengo. Esa responsabilidad no admite postergación.</w:t>
      </w:r>
    </w:p>
    <w:p>
      <w:pPr>
        <w:spacing w:after="100" w:before="80" w:line="280" w:lineRule="auto"/>
        <w:jc w:val="both"/>
      </w:pPr>
      <w:r>
        <w:rPr>
          <w:rFonts w:ascii="Garamond" w:cs="Garamond" w:eastAsia="Garamond" w:hAnsi="Garamond"/>
          <w:sz w:val="22"/>
          <w:szCs w:val="22"/>
        </w:rPr>
        <w:t xml:space="preserve">La meta de </w:t>
      </w:r>
      <w:r>
        <w:rPr>
          <w:rFonts w:ascii="Garamond" w:cs="Garamond" w:eastAsia="Garamond" w:hAnsi="Garamond"/>
          <w:b/>
          <w:bCs/>
          <w:color w:val="1C3A5E"/>
          <w:sz w:val="22"/>
          <w:szCs w:val="22"/>
        </w:rPr>
        <w:t xml:space="preserve">universalizar la cobertura preescolar al 70%</w:t>
      </w:r>
      <w:r>
        <w:rPr>
          <w:rFonts w:ascii="Garamond" w:cs="Garamond" w:eastAsia="Garamond" w:hAnsi="Garamond"/>
          <w:sz w:val="22"/>
          <w:szCs w:val="22"/>
        </w:rPr>
        <w:t xml:space="preserve"> no es arbitraria: la evidencia internacional demuestra que la inversión en primera infancia tiene el mayor retorno sobre el desarrollo humano de cualquier otra inversión pública. El diagnóstico de la OLN evidenció brechas graves en la primera infancia de Rengo. El Eje 3 responde a esa evidencia con objetivos medibles y con plazos definidos hasta 2035.</w:t>
      </w:r>
    </w:p>
    <w:p>
      <w:pPr>
        <w:pBdr>
          <w:left w:val="single" w:color="1E40AF" w:sz="12" w:space="8"/>
        </w:pBdr>
        <w:spacing w:after="100" w:before="100" w:line="276" w:lineRule="auto"/>
        <w:ind w:left="600" w:right="400"/>
        <w:jc w:val="both"/>
      </w:pPr>
      <w:r>
        <w:rPr>
          <w:rFonts w:ascii="Garamond" w:cs="Garamond" w:eastAsia="Garamond" w:hAnsi="Garamond"/>
          <w:i/>
          <w:iCs/>
          <w:color w:val="3D3D3D"/>
          <w:sz w:val="20"/>
          <w:szCs w:val="20"/>
        </w:rPr>
        <w:t xml:space="preserve">Reducir la deserción escolar por debajo del 6% y alcanzar 12,1 años de escolaridad promedio no son metas educativas: son condiciones para que el Eje 2 (desarrollo económico) tenga fuerza de trabajo calificada, y para que el Eje 6 (modernización municipal) tenga funcionarios capaces de gestionar un municipio del siglo XXI.</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E40AF" w:val="clear"/>
            <w:tcMar>
              <w:top w:type="dxa" w:w="80"/>
              <w:left w:type="dxa" w:w="100"/>
              <w:bottom w:type="dxa" w:w="80"/>
              <w:right w:type="dxa" w:w="60"/>
            </w:tcMar>
            <w:vAlign w:val="center"/>
          </w:tcPr>
          <w:p>
            <w:pPr>
              <w:jc w:val="center"/>
            </w:pPr>
            <w:r>
              <w:rPr>
                <w:rFonts w:ascii="Garamond" w:cs="Garamond" w:eastAsia="Garamond" w:hAnsi="Garamond"/>
                <w:b/>
                <w:bCs/>
                <w:color w:val="FFFFFF"/>
                <w:sz w:val="17"/>
                <w:szCs w:val="17"/>
              </w:rPr>
              <w:t xml:space="preserve">Objetivos
Estratégicos</w:t>
            </w:r>
          </w:p>
        </w:tc>
        <w:tc>
          <w:tcPr>
            <w:tcW w:type="dxa" w:w="8160"/>
            <w:tcBorders>
              <w:top w:val="none" w:color="FFFFFF" w:sz="0"/>
              <w:left w:val="none" w:color="FFFFFF" w:sz="0"/>
              <w:bottom w:val="none" w:color="FFFFFF" w:sz="0"/>
              <w:right w:val="none" w:color="FFFFFF" w:sz="0"/>
            </w:tcBorders>
            <w:shd w:fill="DBEAFE" w:val="clear"/>
            <w:tcMar>
              <w:top w:type="dxa" w:w="80"/>
              <w:left w:type="dxa" w:w="140"/>
              <w:bottom w:type="dxa" w:w="80"/>
              <w:right w:type="dxa" w:w="120"/>
            </w:tcMar>
          </w:tcPr>
          <w:p>
            <w:pPr>
              <w:spacing w:after="50" w:before="40"/>
            </w:pPr>
            <w:r>
              <w:rPr>
                <w:rFonts w:ascii="Garamond" w:cs="Garamond" w:eastAsia="Garamond" w:hAnsi="Garamond"/>
                <w:b/>
                <w:bCs/>
                <w:color w:val="1E40AF"/>
                <w:sz w:val="18"/>
                <w:szCs w:val="18"/>
              </w:rPr>
              <w:t xml:space="preserve">OE 3.1: </w:t>
            </w:r>
            <w:r>
              <w:rPr>
                <w:rFonts w:ascii="Garamond" w:cs="Garamond" w:eastAsia="Garamond" w:hAnsi="Garamond"/>
                <w:color w:val="3D3D3D"/>
                <w:sz w:val="18"/>
                <w:szCs w:val="18"/>
              </w:rPr>
              <w:t xml:space="preserve">Universalizar cobertura preescolar al 70% — mayor retorno sobre desarrollo humano en cualquier etapa</w:t>
            </w:r>
          </w:p>
          <w:p>
            <w:pPr>
              <w:spacing w:after="50" w:before="40"/>
            </w:pPr>
            <w:r>
              <w:rPr>
                <w:rFonts w:ascii="Garamond" w:cs="Garamond" w:eastAsia="Garamond" w:hAnsi="Garamond"/>
                <w:b/>
                <w:bCs/>
                <w:color w:val="1E40AF"/>
                <w:sz w:val="18"/>
                <w:szCs w:val="18"/>
              </w:rPr>
              <w:t xml:space="preserve">OE 3.2: </w:t>
            </w:r>
            <w:r>
              <w:rPr>
                <w:rFonts w:ascii="Garamond" w:cs="Garamond" w:eastAsia="Garamond" w:hAnsi="Garamond"/>
                <w:color w:val="3D3D3D"/>
                <w:sz w:val="18"/>
                <w:szCs w:val="18"/>
              </w:rPr>
              <w:t xml:space="preserve">Reducir deserción escolar por debajo del 6% — retención como condición de equidad</w:t>
            </w:r>
          </w:p>
          <w:p>
            <w:pPr>
              <w:spacing w:after="50" w:before="40"/>
            </w:pPr>
            <w:r>
              <w:rPr>
                <w:rFonts w:ascii="Garamond" w:cs="Garamond" w:eastAsia="Garamond" w:hAnsi="Garamond"/>
                <w:b/>
                <w:bCs/>
                <w:color w:val="1E40AF"/>
                <w:sz w:val="18"/>
                <w:szCs w:val="18"/>
              </w:rPr>
              <w:t xml:space="preserve">OE 3.3: </w:t>
            </w:r>
            <w:r>
              <w:rPr>
                <w:rFonts w:ascii="Garamond" w:cs="Garamond" w:eastAsia="Garamond" w:hAnsi="Garamond"/>
                <w:color w:val="3D3D3D"/>
                <w:sz w:val="18"/>
                <w:szCs w:val="18"/>
              </w:rPr>
              <w:t xml:space="preserve">Aumentar acceso a educación superior al 50% de egresados — movilidad social efectiva</w:t>
            </w:r>
          </w:p>
          <w:p>
            <w:pPr>
              <w:spacing w:after="50" w:before="40"/>
            </w:pPr>
            <w:r>
              <w:rPr>
                <w:rFonts w:ascii="Garamond" w:cs="Garamond" w:eastAsia="Garamond" w:hAnsi="Garamond"/>
                <w:b/>
                <w:bCs/>
                <w:color w:val="1E40AF"/>
                <w:sz w:val="18"/>
                <w:szCs w:val="18"/>
              </w:rPr>
              <w:t xml:space="preserve">OE 3.4: </w:t>
            </w:r>
            <w:r>
              <w:rPr>
                <w:rFonts w:ascii="Garamond" w:cs="Garamond" w:eastAsia="Garamond" w:hAnsi="Garamond"/>
                <w:color w:val="3D3D3D"/>
                <w:sz w:val="18"/>
                <w:szCs w:val="18"/>
              </w:rPr>
              <w:t xml:space="preserve">Alcanzar 12,1 años de escolaridad promedio — línea base de capital humano para el desarrollo económico</w:t>
            </w:r>
          </w:p>
          <w:p>
            <w:pPr>
              <w:spacing w:after="50" w:before="40"/>
            </w:pPr>
            <w:r>
              <w:rPr>
                <w:rFonts w:ascii="Garamond" w:cs="Garamond" w:eastAsia="Garamond" w:hAnsi="Garamond"/>
                <w:b/>
                <w:bCs/>
                <w:color w:val="1E40AF"/>
                <w:sz w:val="18"/>
                <w:szCs w:val="18"/>
              </w:rPr>
              <w:t xml:space="preserve">OE 3.5: </w:t>
            </w:r>
            <w:r>
              <w:rPr>
                <w:rFonts w:ascii="Garamond" w:cs="Garamond" w:eastAsia="Garamond" w:hAnsi="Garamond"/>
                <w:color w:val="3D3D3D"/>
                <w:sz w:val="18"/>
                <w:szCs w:val="18"/>
              </w:rPr>
              <w:t xml:space="preserve">Ampliar oferta SENCE/OTEC en capacitación para adultos — reconversión laboral y aprendizaje permanente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c>
          <w:tcPr>
            <w:tcW w:type="dxa" w:w="1200"/>
            <w:tcBorders>
              <w:top w:val="none" w:color="FFFFFF" w:sz="0"/>
              <w:left w:val="none" w:color="FFFFFF" w:sz="0"/>
              <w:bottom w:val="none" w:color="FFFFFF" w:sz="0"/>
              <w:right w:val="none" w:color="FFFFFF" w:sz="0"/>
            </w:tcBorders>
            <w:shd w:fill="7C2D12" w:val="clear"/>
            <w:tcMar>
              <w:top w:type="dxa" w:w="100"/>
              <w:left w:type="dxa" w:w="120"/>
              <w:bottom w:type="dxa" w:w="100"/>
              <w:right w:type="dxa" w:w="60"/>
            </w:tcMar>
            <w:vAlign w:val="center"/>
          </w:tcPr>
          <w:p>
            <w:pPr>
              <w:spacing w:after="0" w:before="0"/>
              <w:jc w:val="center"/>
            </w:pPr>
            <w:r>
              <w:rPr>
                <w:rFonts w:ascii="Garamond" w:cs="Garamond" w:eastAsia="Garamond" w:hAnsi="Garamond"/>
                <w:b/>
                <w:bCs/>
                <w:color w:val="FFFFFF"/>
                <w:sz w:val="22"/>
                <w:szCs w:val="22"/>
              </w:rPr>
              <w:t xml:space="preserve">EJE 4</w:t>
            </w:r>
          </w:p>
        </w:tc>
        <w:tc>
          <w:tcPr>
            <w:tcW w:type="dxa" w:w="6360"/>
            <w:tcBorders>
              <w:top w:val="none" w:color="FFFFFF" w:sz="0"/>
              <w:left w:val="none" w:color="FFFFFF" w:sz="0"/>
              <w:bottom w:val="none" w:color="FFFFFF" w:sz="0"/>
              <w:right w:val="none" w:color="FFFFFF" w:sz="0"/>
            </w:tcBorders>
            <w:shd w:fill="7C2D12" w:val="clear"/>
            <w:tcMar>
              <w:top w:type="dxa" w:w="100"/>
              <w:left w:type="dxa" w:w="120"/>
              <w:bottom w:type="dxa" w:w="100"/>
              <w:right w:type="dxa" w:w="120"/>
            </w:tcMar>
            <w:vAlign w:val="center"/>
          </w:tcPr>
          <w:p>
            <w:pPr>
              <w:spacing w:after="0" w:before="0"/>
            </w:pPr>
            <w:r>
              <w:rPr>
                <w:rFonts w:ascii="Garamond" w:cs="Garamond" w:eastAsia="Garamond" w:hAnsi="Garamond"/>
                <w:b/>
                <w:bCs/>
                <w:color w:val="FFFFFF"/>
                <w:sz w:val="22"/>
                <w:szCs w:val="22"/>
              </w:rPr>
              <w:t xml:space="preserve">Eje 4: Desarrollo Urbano, Vivienda, Infraestructura, Vialidad y Medio Ambiente</w:t>
            </w:r>
          </w:p>
        </w:tc>
        <w:tc>
          <w:tcPr>
            <w:tcW w:type="dxa" w:w="1800"/>
            <w:tcBorders>
              <w:top w:val="none" w:color="FFFFFF" w:sz="0"/>
              <w:left w:val="none" w:color="FFFFFF" w:sz="0"/>
              <w:bottom w:val="none" w:color="FFFFFF" w:sz="0"/>
              <w:right w:val="none" w:color="FFFFFF" w:sz="0"/>
            </w:tcBorders>
            <w:shd w:fill="FEE2E2" w:val="clear"/>
            <w:tcMar>
              <w:top w:type="dxa" w:w="80"/>
              <w:left w:type="dxa" w:w="100"/>
              <w:bottom w:type="dxa" w:w="80"/>
              <w:right w:type="dxa" w:w="100"/>
            </w:tcMar>
            <w:vAlign w:val="center"/>
          </w:tcPr>
          <w:p>
            <w:pPr>
              <w:spacing w:after="30" w:before="0"/>
              <w:jc w:val="center"/>
            </w:pPr>
            <w:r>
              <w:rPr>
                <w:rFonts w:ascii="Garamond" w:cs="Garamond" w:eastAsia="Garamond" w:hAnsi="Garamond"/>
                <w:b/>
                <w:bCs/>
                <w:color w:val="7C2D12"/>
                <w:sz w:val="36"/>
                <w:szCs w:val="36"/>
              </w:rPr>
              <w:t xml:space="preserve">53</w:t>
            </w:r>
          </w:p>
          <w:p>
            <w:pPr>
              <w:spacing w:after="0" w:before="0"/>
              <w:jc w:val="center"/>
            </w:pPr>
            <w:r>
              <w:rPr>
                <w:rFonts w:ascii="Garamond" w:cs="Garamond" w:eastAsia="Garamond" w:hAnsi="Garamond"/>
                <w:color w:val="7C2D12"/>
                <w:sz w:val="16"/>
                <w:szCs w:val="16"/>
              </w:rPr>
              <w:t xml:space="preserve">acciones · 24% del total</w:t>
            </w:r>
          </w:p>
        </w:tc>
      </w:tr>
    </w:tbl>
    <w:p>
      <w:pPr>
        <w:spacing w:after="0" w:before="120"/>
      </w:pPr>
    </w:p>
    <w:p>
      <w:pPr>
        <w:spacing w:after="100" w:before="80" w:line="280" w:lineRule="auto"/>
        <w:jc w:val="both"/>
      </w:pPr>
      <w:r>
        <w:rPr>
          <w:rFonts w:ascii="Garamond" w:cs="Garamond" w:eastAsia="Garamond" w:hAnsi="Garamond"/>
          <w:sz w:val="22"/>
          <w:szCs w:val="22"/>
        </w:rPr>
        <w:t xml:space="preserve">El Eje 4 es el segundo en volumen de acciones —</w:t>
      </w:r>
      <w:r>
        <w:rPr>
          <w:rFonts w:ascii="Garamond" w:cs="Garamond" w:eastAsia="Garamond" w:hAnsi="Garamond"/>
          <w:b/>
          <w:bCs/>
          <w:color w:val="7C2D12"/>
          <w:sz w:val="22"/>
          <w:szCs w:val="22"/>
        </w:rPr>
        <w:t xml:space="preserve">53 acciones, el 24% del total</w:t>
      </w:r>
      <w:r>
        <w:rPr>
          <w:rFonts w:ascii="Garamond" w:cs="Garamond" w:eastAsia="Garamond" w:hAnsi="Garamond"/>
          <w:sz w:val="22"/>
          <w:szCs w:val="22"/>
        </w:rPr>
        <w:t xml:space="preserve">— y el que más directamente traduce la planificación en transformación física del territorio. El diagnóstico identifica aquí las brechas más visibles y, al mismo tiempo, las más costosas políticamente de ignorar: el </w:t>
      </w:r>
      <w:r>
        <w:rPr>
          <w:rFonts w:ascii="Garamond" w:cs="Garamond" w:eastAsia="Garamond" w:hAnsi="Garamond"/>
          <w:b/>
          <w:bCs/>
          <w:color w:val="C0392B"/>
          <w:sz w:val="22"/>
          <w:szCs w:val="22"/>
        </w:rPr>
        <w:t xml:space="preserve">Plan Regulador Comunal lleva 16 años sin revisión integral</w:t>
      </w:r>
      <w:r>
        <w:rPr>
          <w:rFonts w:ascii="Garamond" w:cs="Garamond" w:eastAsia="Garamond" w:hAnsi="Garamond"/>
          <w:sz w:val="22"/>
          <w:szCs w:val="22"/>
        </w:rPr>
        <w:t xml:space="preserve"> (desde 2009), en circunstancias que Rengo creció de 54.533 a 65.786 habitantes en ese mismo período. Un instrumento de planificación territorial que no refleja la realidad de la ciudad que regula no planifica: administra la improvisación.</w:t>
      </w:r>
    </w:p>
    <w:p>
      <w:pPr>
        <w:spacing w:after="100" w:before="80" w:line="280" w:lineRule="auto"/>
        <w:jc w:val="both"/>
      </w:pPr>
      <w:r>
        <w:rPr>
          <w:rFonts w:ascii="Garamond" w:cs="Garamond" w:eastAsia="Garamond" w:hAnsi="Garamond"/>
          <w:sz w:val="22"/>
          <w:szCs w:val="22"/>
        </w:rPr>
        <w:t xml:space="preserve">La </w:t>
      </w:r>
      <w:r>
        <w:rPr>
          <w:rFonts w:ascii="Garamond" w:cs="Garamond" w:eastAsia="Garamond" w:hAnsi="Garamond"/>
          <w:b/>
          <w:bCs/>
          <w:color w:val="1C3A5E"/>
          <w:sz w:val="22"/>
          <w:szCs w:val="22"/>
        </w:rPr>
        <w:t xml:space="preserve">regeneración de 5 barrios vulnerables</w:t>
      </w:r>
      <w:r>
        <w:rPr>
          <w:rFonts w:ascii="Garamond" w:cs="Garamond" w:eastAsia="Garamond" w:hAnsi="Garamond"/>
          <w:sz w:val="22"/>
          <w:szCs w:val="22"/>
        </w:rPr>
        <w:t xml:space="preserve"> responde a un dato del diagnóstico geoespacial: se georreferenciaron 100 puntos de espacios públicos en 4 zonas comunales y se identificaron brechas sistémicas de infraestructura que se concentran en sectores específicos. La intervención por barrio —no genérica, sino con diagnóstico territorial propio— es la metodología que el Eje 4 aplica para asegurar que los recursos lleguen donde la necesidad es mayor.</w:t>
      </w:r>
    </w:p>
    <w:p>
      <w:pPr>
        <w:spacing w:after="100" w:before="80" w:line="280" w:lineRule="auto"/>
        <w:jc w:val="both"/>
      </w:pPr>
      <w:r>
        <w:rPr>
          <w:rFonts w:ascii="Garamond" w:cs="Garamond" w:eastAsia="Garamond" w:hAnsi="Garamond"/>
          <w:sz w:val="22"/>
          <w:szCs w:val="22"/>
        </w:rPr>
        <w:t xml:space="preserve">El </w:t>
      </w:r>
      <w:r>
        <w:rPr>
          <w:rFonts w:ascii="Garamond" w:cs="Garamond" w:eastAsia="Garamond" w:hAnsi="Garamond"/>
          <w:b/>
          <w:bCs/>
          <w:color w:val="1C3A5E"/>
          <w:sz w:val="22"/>
          <w:szCs w:val="22"/>
        </w:rPr>
        <w:t xml:space="preserve">riesgo hídrico del Río Claro</w:t>
      </w:r>
      <w:r>
        <w:rPr>
          <w:rFonts w:ascii="Garamond" w:cs="Garamond" w:eastAsia="Garamond" w:hAnsi="Garamond"/>
          <w:sz w:val="22"/>
          <w:szCs w:val="22"/>
        </w:rPr>
        <w:t xml:space="preserve"> no es una amenaza futura: el PACCC documenta 10 inundaciones en la región de O'Higgins en cuatro años y 6 decretos de escasez hídrica desde 2006. El 36,41% de la superficie comunal tiene erosión moderada a severa. Un PLADECO que no articula el desarrollo urbano con la gestión del riesgo hídrico no está planificando: está ignorando la geografía del territorio que pretende ordenar.</w:t>
      </w:r>
    </w:p>
    <w:p>
      <w:pPr>
        <w:pBdr>
          <w:left w:val="single" w:color="7C2D12" w:sz="12" w:space="8"/>
        </w:pBdr>
        <w:spacing w:after="100" w:before="100" w:line="276" w:lineRule="auto"/>
        <w:ind w:left="600" w:right="400"/>
        <w:jc w:val="both"/>
      </w:pPr>
      <w:r>
        <w:rPr>
          <w:rFonts w:ascii="Garamond" w:cs="Garamond" w:eastAsia="Garamond" w:hAnsi="Garamond"/>
          <w:i/>
          <w:iCs/>
          <w:color w:val="3D3D3D"/>
          <w:sz w:val="20"/>
          <w:szCs w:val="20"/>
        </w:rPr>
        <w:t xml:space="preserve">La meta de 15 km de ciclovías no es una concesión al ecologismo: es una respuesta a la congestión, la contaminación del aire y la demanda de movilidad activa de una ciudad que crece. En ciudades intermedias como Rengo, la inversión en movilidad no motorizada tiene uno de los mayores retornos en calidad de vida por peso invertido.</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7C2D12" w:val="clear"/>
            <w:tcMar>
              <w:top w:type="dxa" w:w="80"/>
              <w:left w:type="dxa" w:w="100"/>
              <w:bottom w:type="dxa" w:w="80"/>
              <w:right w:type="dxa" w:w="60"/>
            </w:tcMar>
            <w:vAlign w:val="center"/>
          </w:tcPr>
          <w:p>
            <w:pPr>
              <w:jc w:val="center"/>
            </w:pPr>
            <w:r>
              <w:rPr>
                <w:rFonts w:ascii="Garamond" w:cs="Garamond" w:eastAsia="Garamond" w:hAnsi="Garamond"/>
                <w:b/>
                <w:bCs/>
                <w:color w:val="FFFFFF"/>
                <w:sz w:val="17"/>
                <w:szCs w:val="17"/>
              </w:rPr>
              <w:t xml:space="preserve">Objetivos
Estratégicos</w:t>
            </w:r>
          </w:p>
        </w:tc>
        <w:tc>
          <w:tcPr>
            <w:tcW w:type="dxa" w:w="8160"/>
            <w:tcBorders>
              <w:top w:val="none" w:color="FFFFFF" w:sz="0"/>
              <w:left w:val="none" w:color="FFFFFF" w:sz="0"/>
              <w:bottom w:val="none" w:color="FFFFFF" w:sz="0"/>
              <w:right w:val="none" w:color="FFFFFF" w:sz="0"/>
            </w:tcBorders>
            <w:shd w:fill="FEE2E2" w:val="clear"/>
            <w:tcMar>
              <w:top w:type="dxa" w:w="80"/>
              <w:left w:type="dxa" w:w="140"/>
              <w:bottom w:type="dxa" w:w="80"/>
              <w:right w:type="dxa" w:w="120"/>
            </w:tcMar>
          </w:tcPr>
          <w:p>
            <w:pPr>
              <w:spacing w:after="50" w:before="40"/>
            </w:pPr>
            <w:r>
              <w:rPr>
                <w:rFonts w:ascii="Garamond" w:cs="Garamond" w:eastAsia="Garamond" w:hAnsi="Garamond"/>
                <w:b/>
                <w:bCs/>
                <w:color w:val="7C2D12"/>
                <w:sz w:val="18"/>
                <w:szCs w:val="18"/>
              </w:rPr>
              <w:t xml:space="preserve">OE 4.1: </w:t>
            </w:r>
            <w:r>
              <w:rPr>
                <w:rFonts w:ascii="Garamond" w:cs="Garamond" w:eastAsia="Garamond" w:hAnsi="Garamond"/>
                <w:color w:val="3D3D3D"/>
                <w:sz w:val="18"/>
                <w:szCs w:val="18"/>
              </w:rPr>
              <w:t xml:space="preserve">Actualización integral del Plan Regulador Comunal — 16 años de atraso que limitan todo el desarrollo urbano</w:t>
            </w:r>
          </w:p>
          <w:p>
            <w:pPr>
              <w:spacing w:after="50" w:before="40"/>
            </w:pPr>
            <w:r>
              <w:rPr>
                <w:rFonts w:ascii="Garamond" w:cs="Garamond" w:eastAsia="Garamond" w:hAnsi="Garamond"/>
                <w:b/>
                <w:bCs/>
                <w:color w:val="7C2D12"/>
                <w:sz w:val="18"/>
                <w:szCs w:val="18"/>
              </w:rPr>
              <w:t xml:space="preserve">OE 4.2: </w:t>
            </w:r>
            <w:r>
              <w:rPr>
                <w:rFonts w:ascii="Garamond" w:cs="Garamond" w:eastAsia="Garamond" w:hAnsi="Garamond"/>
                <w:color w:val="3D3D3D"/>
                <w:sz w:val="18"/>
                <w:szCs w:val="18"/>
              </w:rPr>
              <w:t xml:space="preserve">Regeneración de 5 barrios vulnerables con diagnóstico territorial específico — intervención focalizada, no genérica</w:t>
            </w:r>
          </w:p>
          <w:p>
            <w:pPr>
              <w:spacing w:after="50" w:before="40"/>
            </w:pPr>
            <w:r>
              <w:rPr>
                <w:rFonts w:ascii="Garamond" w:cs="Garamond" w:eastAsia="Garamond" w:hAnsi="Garamond"/>
                <w:b/>
                <w:bCs/>
                <w:color w:val="7C2D12"/>
                <w:sz w:val="18"/>
                <w:szCs w:val="18"/>
              </w:rPr>
              <w:t xml:space="preserve">OE 4.3: </w:t>
            </w:r>
            <w:r>
              <w:rPr>
                <w:rFonts w:ascii="Garamond" w:cs="Garamond" w:eastAsia="Garamond" w:hAnsi="Garamond"/>
                <w:color w:val="3D3D3D"/>
                <w:sz w:val="18"/>
                <w:szCs w:val="18"/>
              </w:rPr>
              <w:t xml:space="preserve">Red de ciclovías 15 km — movilidad activa, descongestión y calidad de vida urbana</w:t>
            </w:r>
          </w:p>
          <w:p>
            <w:pPr>
              <w:spacing w:after="50" w:before="40"/>
            </w:pPr>
            <w:r>
              <w:rPr>
                <w:rFonts w:ascii="Garamond" w:cs="Garamond" w:eastAsia="Garamond" w:hAnsi="Garamond"/>
                <w:b/>
                <w:bCs/>
                <w:color w:val="7C2D12"/>
                <w:sz w:val="18"/>
                <w:szCs w:val="18"/>
              </w:rPr>
              <w:t xml:space="preserve">OE 4.4: </w:t>
            </w:r>
            <w:r>
              <w:rPr>
                <w:rFonts w:ascii="Garamond" w:cs="Garamond" w:eastAsia="Garamond" w:hAnsi="Garamond"/>
                <w:color w:val="3D3D3D"/>
                <w:sz w:val="18"/>
                <w:szCs w:val="18"/>
              </w:rPr>
              <w:t xml:space="preserve">Alcantarillado al 90% — cobertura de saneamiento básico como derecho, no como aspiración</w:t>
            </w:r>
          </w:p>
          <w:p>
            <w:pPr>
              <w:spacing w:after="50" w:before="40"/>
            </w:pPr>
            <w:r>
              <w:rPr>
                <w:rFonts w:ascii="Garamond" w:cs="Garamond" w:eastAsia="Garamond" w:hAnsi="Garamond"/>
                <w:b/>
                <w:bCs/>
                <w:color w:val="7C2D12"/>
                <w:sz w:val="18"/>
                <w:szCs w:val="18"/>
              </w:rPr>
              <w:t xml:space="preserve">OE 4.5: </w:t>
            </w:r>
            <w:r>
              <w:rPr>
                <w:rFonts w:ascii="Garamond" w:cs="Garamond" w:eastAsia="Garamond" w:hAnsi="Garamond"/>
                <w:color w:val="3D3D3D"/>
                <w:sz w:val="18"/>
                <w:szCs w:val="18"/>
              </w:rPr>
              <w:t xml:space="preserve">Plan de gestión del riesgo hídrico del Río Claro — articulado con el PACCC vigente</w:t>
            </w:r>
          </w:p>
          <w:p>
            <w:pPr>
              <w:spacing w:after="50" w:before="40"/>
            </w:pPr>
            <w:r>
              <w:rPr>
                <w:rFonts w:ascii="Garamond" w:cs="Garamond" w:eastAsia="Garamond" w:hAnsi="Garamond"/>
                <w:b/>
                <w:bCs/>
                <w:color w:val="7C2D12"/>
                <w:sz w:val="18"/>
                <w:szCs w:val="18"/>
              </w:rPr>
              <w:t xml:space="preserve">OE 4.6: </w:t>
            </w:r>
            <w:r>
              <w:rPr>
                <w:rFonts w:ascii="Garamond" w:cs="Garamond" w:eastAsia="Garamond" w:hAnsi="Garamond"/>
                <w:color w:val="3D3D3D"/>
                <w:sz w:val="18"/>
                <w:szCs w:val="18"/>
              </w:rPr>
              <w:t xml:space="preserve">Gestión ambiental integral con Unidad de Medio Ambiente — condición para acceder a financiamiento climático</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c>
          <w:tcPr>
            <w:tcW w:type="dxa" w:w="1200"/>
            <w:tcBorders>
              <w:top w:val="none" w:color="FFFFFF" w:sz="0"/>
              <w:left w:val="none" w:color="FFFFFF" w:sz="0"/>
              <w:bottom w:val="none" w:color="FFFFFF" w:sz="0"/>
              <w:right w:val="none" w:color="FFFFFF" w:sz="0"/>
            </w:tcBorders>
            <w:shd w:fill="7C3AED" w:val="clear"/>
            <w:tcMar>
              <w:top w:type="dxa" w:w="100"/>
              <w:left w:type="dxa" w:w="120"/>
              <w:bottom w:type="dxa" w:w="100"/>
              <w:right w:type="dxa" w:w="60"/>
            </w:tcMar>
            <w:vAlign w:val="center"/>
          </w:tcPr>
          <w:p>
            <w:pPr>
              <w:spacing w:after="0" w:before="0"/>
              <w:jc w:val="center"/>
            </w:pPr>
            <w:r>
              <w:rPr>
                <w:rFonts w:ascii="Garamond" w:cs="Garamond" w:eastAsia="Garamond" w:hAnsi="Garamond"/>
                <w:b/>
                <w:bCs/>
                <w:color w:val="FFFFFF"/>
                <w:sz w:val="22"/>
                <w:szCs w:val="22"/>
              </w:rPr>
              <w:t xml:space="preserve">EJE 5</w:t>
            </w:r>
          </w:p>
        </w:tc>
        <w:tc>
          <w:tcPr>
            <w:tcW w:type="dxa" w:w="6360"/>
            <w:tcBorders>
              <w:top w:val="none" w:color="FFFFFF" w:sz="0"/>
              <w:left w:val="none" w:color="FFFFFF" w:sz="0"/>
              <w:bottom w:val="none" w:color="FFFFFF" w:sz="0"/>
              <w:right w:val="none" w:color="FFFFFF" w:sz="0"/>
            </w:tcBorders>
            <w:shd w:fill="7C3AED" w:val="clear"/>
            <w:tcMar>
              <w:top w:type="dxa" w:w="100"/>
              <w:left w:type="dxa" w:w="120"/>
              <w:bottom w:type="dxa" w:w="100"/>
              <w:right w:type="dxa" w:w="120"/>
            </w:tcMar>
            <w:vAlign w:val="center"/>
          </w:tcPr>
          <w:p>
            <w:pPr>
              <w:spacing w:after="0" w:before="0"/>
            </w:pPr>
            <w:r>
              <w:rPr>
                <w:rFonts w:ascii="Garamond" w:cs="Garamond" w:eastAsia="Garamond" w:hAnsi="Garamond"/>
                <w:b/>
                <w:bCs/>
                <w:color w:val="FFFFFF"/>
                <w:sz w:val="22"/>
                <w:szCs w:val="22"/>
              </w:rPr>
              <w:t xml:space="preserve">Eje 5: Seguridad Pública y Gestión de Riesgos y Emergencias</w:t>
            </w:r>
          </w:p>
        </w:tc>
        <w:tc>
          <w:tcPr>
            <w:tcW w:type="dxa" w:w="1800"/>
            <w:tcBorders>
              <w:top w:val="none" w:color="FFFFFF" w:sz="0"/>
              <w:left w:val="none" w:color="FFFFFF" w:sz="0"/>
              <w:bottom w:val="none" w:color="FFFFFF" w:sz="0"/>
              <w:right w:val="none" w:color="FFFFFF" w:sz="0"/>
            </w:tcBorders>
            <w:shd w:fill="EDE9FE" w:val="clear"/>
            <w:tcMar>
              <w:top w:type="dxa" w:w="80"/>
              <w:left w:type="dxa" w:w="100"/>
              <w:bottom w:type="dxa" w:w="80"/>
              <w:right w:type="dxa" w:w="100"/>
            </w:tcMar>
            <w:vAlign w:val="center"/>
          </w:tcPr>
          <w:p>
            <w:pPr>
              <w:spacing w:after="30" w:before="0"/>
              <w:jc w:val="center"/>
            </w:pPr>
            <w:r>
              <w:rPr>
                <w:rFonts w:ascii="Garamond" w:cs="Garamond" w:eastAsia="Garamond" w:hAnsi="Garamond"/>
                <w:b/>
                <w:bCs/>
                <w:color w:val="7C3AED"/>
                <w:sz w:val="36"/>
                <w:szCs w:val="36"/>
              </w:rPr>
              <w:t xml:space="preserve">32</w:t>
            </w:r>
          </w:p>
          <w:p>
            <w:pPr>
              <w:spacing w:after="0" w:before="0"/>
              <w:jc w:val="center"/>
            </w:pPr>
            <w:r>
              <w:rPr>
                <w:rFonts w:ascii="Garamond" w:cs="Garamond" w:eastAsia="Garamond" w:hAnsi="Garamond"/>
                <w:color w:val="7C3AED"/>
                <w:sz w:val="16"/>
                <w:szCs w:val="16"/>
              </w:rPr>
              <w:t xml:space="preserve">acciones · 14% del total</w:t>
            </w:r>
          </w:p>
        </w:tc>
      </w:tr>
    </w:tbl>
    <w:p>
      <w:pPr>
        <w:spacing w:after="0" w:before="120"/>
      </w:pPr>
    </w:p>
    <w:p>
      <w:pPr>
        <w:spacing w:after="100" w:before="80" w:line="280" w:lineRule="auto"/>
        <w:jc w:val="both"/>
      </w:pPr>
      <w:r>
        <w:rPr>
          <w:rFonts w:ascii="Garamond" w:cs="Garamond" w:eastAsia="Garamond" w:hAnsi="Garamond"/>
          <w:sz w:val="22"/>
          <w:szCs w:val="22"/>
        </w:rPr>
        <w:t xml:space="preserve">El Eje 5 concentra </w:t>
      </w:r>
      <w:r>
        <w:rPr>
          <w:rFonts w:ascii="Garamond" w:cs="Garamond" w:eastAsia="Garamond" w:hAnsi="Garamond"/>
          <w:b/>
          <w:bCs/>
          <w:color w:val="7C3AED"/>
          <w:sz w:val="22"/>
          <w:szCs w:val="22"/>
        </w:rPr>
        <w:t xml:space="preserve">32 acciones (14% del total)</w:t>
      </w:r>
      <w:r>
        <w:rPr>
          <w:rFonts w:ascii="Garamond" w:cs="Garamond" w:eastAsia="Garamond" w:hAnsi="Garamond"/>
          <w:sz w:val="22"/>
          <w:szCs w:val="22"/>
        </w:rPr>
        <w:t xml:space="preserve"> y responde al problema que el </w:t>
      </w:r>
      <w:r>
        <w:rPr>
          <w:rFonts w:ascii="Garamond" w:cs="Garamond" w:eastAsia="Garamond" w:hAnsi="Garamond"/>
          <w:b/>
          <w:bCs/>
          <w:color w:val="1C3A5E"/>
          <w:sz w:val="22"/>
          <w:szCs w:val="22"/>
        </w:rPr>
        <w:t xml:space="preserve">70% de la ciudadanía de Rengo identifica como su primera prioridad</w:t>
      </w:r>
      <w:r>
        <w:rPr>
          <w:rFonts w:ascii="Garamond" w:cs="Garamond" w:eastAsia="Garamond" w:hAnsi="Garamond"/>
          <w:sz w:val="22"/>
          <w:szCs w:val="22"/>
        </w:rPr>
        <w:t xml:space="preserve">: la inseguridad. Los datos del diagnóstico no dejan espacio para la relativización: los delitos contra la vida aumentaron un </w:t>
      </w:r>
      <w:r>
        <w:rPr>
          <w:rFonts w:ascii="Garamond" w:cs="Garamond" w:eastAsia="Garamond" w:hAnsi="Garamond"/>
          <w:b/>
          <w:bCs/>
          <w:color w:val="C0392B"/>
          <w:sz w:val="22"/>
          <w:szCs w:val="22"/>
        </w:rPr>
        <w:t xml:space="preserve">+126% en 20 años</w:t>
      </w:r>
      <w:r>
        <w:rPr>
          <w:rFonts w:ascii="Garamond" w:cs="Garamond" w:eastAsia="Garamond" w:hAnsi="Garamond"/>
          <w:sz w:val="22"/>
          <w:szCs w:val="22"/>
        </w:rPr>
        <w:t xml:space="preserve"> (de 599 casos en 2005 a 1.351 en 2024), los delitos de drogas crecieron un +440% y los de armas un +308%. Pero el indicador más perturbador para la planificación comunal —y el que más directamente interpela a este PLADECO— es el aumento de jóvenes victimarios de 14 a 17 años: </w:t>
      </w:r>
      <w:r>
        <w:rPr>
          <w:rFonts w:ascii="Garamond" w:cs="Garamond" w:eastAsia="Garamond" w:hAnsi="Garamond"/>
          <w:b/>
          <w:bCs/>
          <w:color w:val="C0392B"/>
          <w:sz w:val="22"/>
          <w:szCs w:val="22"/>
        </w:rPr>
        <w:t xml:space="preserve">+464% en 20 años.</w:t>
      </w:r>
    </w:p>
    <w:p>
      <w:pPr>
        <w:spacing w:after="100" w:before="80" w:line="280" w:lineRule="auto"/>
        <w:jc w:val="both"/>
      </w:pPr>
      <w:r>
        <w:rPr>
          <w:rFonts w:ascii="Garamond" w:cs="Garamond" w:eastAsia="Garamond" w:hAnsi="Garamond"/>
          <w:sz w:val="22"/>
          <w:szCs w:val="22"/>
        </w:rPr>
        <w:t xml:space="preserve">Este dato no puede interpretarse solo como un fenómeno policial. Un joven de 14 años que comete delitos en 2025 nació en 2011: fue atendido —o no— por el sistema de salud materno-infantil, pasó —o no— por una sala cuna y jardín de calidad, asistió —o no— a una escuela con convivencia escolar sana, vivió —o no— en un barrio con espacio público seguro y oferta recreativa. Cada uno de esos "o no" es un fracaso de los otros cinco ejes. La </w:t>
      </w:r>
      <w:r>
        <w:rPr>
          <w:rFonts w:ascii="Garamond" w:cs="Garamond" w:eastAsia="Garamond" w:hAnsi="Garamond"/>
          <w:b/>
          <w:bCs/>
          <w:color w:val="1C3A5E"/>
          <w:sz w:val="22"/>
          <w:szCs w:val="22"/>
        </w:rPr>
        <w:t xml:space="preserve">seguridad es el eje que paga la cuenta de las omisiones de los demás.</w:t>
      </w:r>
    </w:p>
    <w:p>
      <w:pPr>
        <w:spacing w:after="100" w:before="80" w:line="280" w:lineRule="auto"/>
        <w:jc w:val="both"/>
      </w:pPr>
      <w:r>
        <w:rPr>
          <w:rFonts w:ascii="Garamond" w:cs="Garamond" w:eastAsia="Garamond" w:hAnsi="Garamond"/>
          <w:sz w:val="22"/>
          <w:szCs w:val="22"/>
        </w:rPr>
        <w:t xml:space="preserve">Por eso los objetivos de este eje no son solo policiales. Los objetivos de reducir la violencia intrafamiliar hacia la mujer por debajo de 200 casos anuales y de alcanzar el 100% de escuelas con programas de convivencia escolar son objetivos de </w:t>
      </w:r>
      <w:r>
        <w:rPr>
          <w:rFonts w:ascii="Garamond" w:cs="Garamond" w:eastAsia="Garamond" w:hAnsi="Garamond"/>
          <w:b/>
          <w:bCs/>
          <w:color w:val="1C3A5E"/>
          <w:sz w:val="22"/>
          <w:szCs w:val="22"/>
        </w:rPr>
        <w:t xml:space="preserve">prevención estructural</w:t>
      </w:r>
      <w:r>
        <w:rPr>
          <w:rFonts w:ascii="Garamond" w:cs="Garamond" w:eastAsia="Garamond" w:hAnsi="Garamond"/>
          <w:sz w:val="22"/>
          <w:szCs w:val="22"/>
        </w:rPr>
        <w:t xml:space="preserve">, no de represión. La lógica es clara: la VIF doméstica que un niño presencia en su hogar a los 6 años es uno de los predictores más robustos de conducta delictual en la adolescencia. Intervenir temprano es más eficiente y más humano que intervenir tarde.</w:t>
      </w:r>
    </w:p>
    <w:p>
      <w:pPr>
        <w:pBdr>
          <w:left w:val="single" w:color="7C3AED" w:sz="12" w:space="8"/>
        </w:pBdr>
        <w:spacing w:after="100" w:before="100" w:line="276" w:lineRule="auto"/>
        <w:ind w:left="600" w:right="400"/>
        <w:jc w:val="both"/>
      </w:pPr>
      <w:r>
        <w:rPr>
          <w:rFonts w:ascii="Garamond" w:cs="Garamond" w:eastAsia="Garamond" w:hAnsi="Garamond"/>
          <w:i/>
          <w:iCs/>
          <w:color w:val="3D3D3D"/>
          <w:sz w:val="20"/>
          <w:szCs w:val="20"/>
        </w:rPr>
        <w:t xml:space="preserve">Reducir el porcentaje de NNA que se sienten inseguros en su entorno desde el nivel actual al 25% no es solo una meta de seguridad pública: es una condición para que el Eje 1 (recreación y bienestar) y el Eje 3 (educación) funcionen. Un niño que no se siente seguro en el espacio público no puede ejercer su derecho al juego, al deporte ni a la participación.</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7C3AED" w:val="clear"/>
            <w:tcMar>
              <w:top w:type="dxa" w:w="80"/>
              <w:left w:type="dxa" w:w="100"/>
              <w:bottom w:type="dxa" w:w="80"/>
              <w:right w:type="dxa" w:w="60"/>
            </w:tcMar>
            <w:vAlign w:val="center"/>
          </w:tcPr>
          <w:p>
            <w:pPr>
              <w:jc w:val="center"/>
            </w:pPr>
            <w:r>
              <w:rPr>
                <w:rFonts w:ascii="Garamond" w:cs="Garamond" w:eastAsia="Garamond" w:hAnsi="Garamond"/>
                <w:b/>
                <w:bCs/>
                <w:color w:val="FFFFFF"/>
                <w:sz w:val="17"/>
                <w:szCs w:val="17"/>
              </w:rPr>
              <w:t xml:space="preserve">Objetivos
Estratégicos</w:t>
            </w:r>
          </w:p>
        </w:tc>
        <w:tc>
          <w:tcPr>
            <w:tcW w:type="dxa" w:w="8160"/>
            <w:tcBorders>
              <w:top w:val="none" w:color="FFFFFF" w:sz="0"/>
              <w:left w:val="none" w:color="FFFFFF" w:sz="0"/>
              <w:bottom w:val="none" w:color="FFFFFF" w:sz="0"/>
              <w:right w:val="none" w:color="FFFFFF" w:sz="0"/>
            </w:tcBorders>
            <w:shd w:fill="EDE9FE" w:val="clear"/>
            <w:tcMar>
              <w:top w:type="dxa" w:w="80"/>
              <w:left w:type="dxa" w:w="140"/>
              <w:bottom w:type="dxa" w:w="80"/>
              <w:right w:type="dxa" w:w="120"/>
            </w:tcMar>
          </w:tcPr>
          <w:p>
            <w:pPr>
              <w:spacing w:after="50" w:before="40"/>
            </w:pPr>
            <w:r>
              <w:rPr>
                <w:rFonts w:ascii="Garamond" w:cs="Garamond" w:eastAsia="Garamond" w:hAnsi="Garamond"/>
                <w:b/>
                <w:bCs/>
                <w:color w:val="7C3AED"/>
                <w:sz w:val="18"/>
                <w:szCs w:val="18"/>
              </w:rPr>
              <w:t xml:space="preserve">OE 5.1: </w:t>
            </w:r>
            <w:r>
              <w:rPr>
                <w:rFonts w:ascii="Garamond" w:cs="Garamond" w:eastAsia="Garamond" w:hAnsi="Garamond"/>
                <w:color w:val="3D3D3D"/>
                <w:sz w:val="18"/>
                <w:szCs w:val="18"/>
              </w:rPr>
              <w:t xml:space="preserve">NNA que se sienten inseguros: reducir a &lt;25% — condición para ejercicio de derechos en el espacio público</w:t>
            </w:r>
          </w:p>
          <w:p>
            <w:pPr>
              <w:spacing w:after="50" w:before="40"/>
            </w:pPr>
            <w:r>
              <w:rPr>
                <w:rFonts w:ascii="Garamond" w:cs="Garamond" w:eastAsia="Garamond" w:hAnsi="Garamond"/>
                <w:b/>
                <w:bCs/>
                <w:color w:val="7C3AED"/>
                <w:sz w:val="18"/>
                <w:szCs w:val="18"/>
              </w:rPr>
              <w:t xml:space="preserve">OE 5.2: </w:t>
            </w:r>
            <w:r>
              <w:rPr>
                <w:rFonts w:ascii="Garamond" w:cs="Garamond" w:eastAsia="Garamond" w:hAnsi="Garamond"/>
                <w:color w:val="3D3D3D"/>
                <w:sz w:val="18"/>
                <w:szCs w:val="18"/>
              </w:rPr>
              <w:t xml:space="preserve">VIF hacia la mujer: reducir a &lt;200 casos anuales — prevención como eje, no solo respuesta reactiva</w:t>
            </w:r>
          </w:p>
          <w:p>
            <w:pPr>
              <w:spacing w:after="50" w:before="40"/>
            </w:pPr>
            <w:r>
              <w:rPr>
                <w:rFonts w:ascii="Garamond" w:cs="Garamond" w:eastAsia="Garamond" w:hAnsi="Garamond"/>
                <w:b/>
                <w:bCs/>
                <w:color w:val="7C3AED"/>
                <w:sz w:val="18"/>
                <w:szCs w:val="18"/>
              </w:rPr>
              <w:t xml:space="preserve">OE 5.3: </w:t>
            </w:r>
            <w:r>
              <w:rPr>
                <w:rFonts w:ascii="Garamond" w:cs="Garamond" w:eastAsia="Garamond" w:hAnsi="Garamond"/>
                <w:color w:val="3D3D3D"/>
                <w:sz w:val="18"/>
                <w:szCs w:val="18"/>
              </w:rPr>
              <w:t xml:space="preserve">Robos violentos: reducir a &lt;80 casos — recuperación del espacio público como estrategia central</w:t>
            </w:r>
          </w:p>
          <w:p>
            <w:pPr>
              <w:spacing w:after="50" w:before="40"/>
            </w:pPr>
            <w:r>
              <w:rPr>
                <w:rFonts w:ascii="Garamond" w:cs="Garamond" w:eastAsia="Garamond" w:hAnsi="Garamond"/>
                <w:b/>
                <w:bCs/>
                <w:color w:val="7C3AED"/>
                <w:sz w:val="18"/>
                <w:szCs w:val="18"/>
              </w:rPr>
              <w:t xml:space="preserve">OE 5.4: </w:t>
            </w:r>
            <w:r>
              <w:rPr>
                <w:rFonts w:ascii="Garamond" w:cs="Garamond" w:eastAsia="Garamond" w:hAnsi="Garamond"/>
                <w:color w:val="3D3D3D"/>
                <w:sz w:val="18"/>
                <w:szCs w:val="18"/>
              </w:rPr>
              <w:t xml:space="preserve">Convivencia escolar: 100% de escuelas con programa activo — prevención desde la primera infancia</w:t>
            </w:r>
          </w:p>
          <w:p>
            <w:pPr>
              <w:spacing w:after="50" w:before="40"/>
            </w:pPr>
            <w:r>
              <w:rPr>
                <w:rFonts w:ascii="Garamond" w:cs="Garamond" w:eastAsia="Garamond" w:hAnsi="Garamond"/>
                <w:b/>
                <w:bCs/>
                <w:color w:val="7C3AED"/>
                <w:sz w:val="18"/>
                <w:szCs w:val="18"/>
              </w:rPr>
              <w:t xml:space="preserve">OE 5.5: </w:t>
            </w:r>
            <w:r>
              <w:rPr>
                <w:rFonts w:ascii="Garamond" w:cs="Garamond" w:eastAsia="Garamond" w:hAnsi="Garamond"/>
                <w:color w:val="3D3D3D"/>
                <w:sz w:val="18"/>
                <w:szCs w:val="18"/>
              </w:rPr>
              <w:t xml:space="preserve">Plan de Gestión del Riesgo de Desastres — articulado con Ley 21.364 y el sistema regional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c>
          <w:tcPr>
            <w:tcW w:type="dxa" w:w="1200"/>
            <w:tcBorders>
              <w:top w:val="none" w:color="FFFFFF" w:sz="0"/>
              <w:left w:val="none" w:color="FFFFFF" w:sz="0"/>
              <w:bottom w:val="none" w:color="FFFFFF" w:sz="0"/>
              <w:right w:val="none" w:color="FFFFFF" w:sz="0"/>
            </w:tcBorders>
            <w:shd w:fill="B45309" w:val="clear"/>
            <w:tcMar>
              <w:top w:type="dxa" w:w="100"/>
              <w:left w:type="dxa" w:w="120"/>
              <w:bottom w:type="dxa" w:w="100"/>
              <w:right w:type="dxa" w:w="60"/>
            </w:tcMar>
            <w:vAlign w:val="center"/>
          </w:tcPr>
          <w:p>
            <w:pPr>
              <w:spacing w:after="0" w:before="0"/>
              <w:jc w:val="center"/>
            </w:pPr>
            <w:r>
              <w:rPr>
                <w:rFonts w:ascii="Garamond" w:cs="Garamond" w:eastAsia="Garamond" w:hAnsi="Garamond"/>
                <w:b/>
                <w:bCs/>
                <w:color w:val="FFFFFF"/>
                <w:sz w:val="22"/>
                <w:szCs w:val="22"/>
              </w:rPr>
              <w:t xml:space="preserve">EJE 6</w:t>
            </w:r>
          </w:p>
        </w:tc>
        <w:tc>
          <w:tcPr>
            <w:tcW w:type="dxa" w:w="6360"/>
            <w:tcBorders>
              <w:top w:val="none" w:color="FFFFFF" w:sz="0"/>
              <w:left w:val="none" w:color="FFFFFF" w:sz="0"/>
              <w:bottom w:val="none" w:color="FFFFFF" w:sz="0"/>
              <w:right w:val="none" w:color="FFFFFF" w:sz="0"/>
            </w:tcBorders>
            <w:shd w:fill="B45309" w:val="clear"/>
            <w:tcMar>
              <w:top w:type="dxa" w:w="100"/>
              <w:left w:type="dxa" w:w="120"/>
              <w:bottom w:type="dxa" w:w="100"/>
              <w:right w:type="dxa" w:w="120"/>
            </w:tcMar>
            <w:vAlign w:val="center"/>
          </w:tcPr>
          <w:p>
            <w:pPr>
              <w:spacing w:after="0" w:before="0"/>
            </w:pPr>
            <w:r>
              <w:rPr>
                <w:rFonts w:ascii="Garamond" w:cs="Garamond" w:eastAsia="Garamond" w:hAnsi="Garamond"/>
                <w:b/>
                <w:bCs/>
                <w:color w:val="FFFFFF"/>
                <w:sz w:val="22"/>
                <w:szCs w:val="22"/>
              </w:rPr>
              <w:t xml:space="preserve">Eje 6: Innovación, Modernización y Optimización de la Gestión Municipal</w:t>
            </w:r>
          </w:p>
        </w:tc>
        <w:tc>
          <w:tcPr>
            <w:tcW w:type="dxa" w:w="1800"/>
            <w:tcBorders>
              <w:top w:val="none" w:color="FFFFFF" w:sz="0"/>
              <w:left w:val="none" w:color="FFFFFF" w:sz="0"/>
              <w:bottom w:val="none" w:color="FFFFFF" w:sz="0"/>
              <w:right w:val="none" w:color="FFFFFF" w:sz="0"/>
            </w:tcBorders>
            <w:shd w:fill="FEF3C7" w:val="clear"/>
            <w:tcMar>
              <w:top w:type="dxa" w:w="80"/>
              <w:left w:type="dxa" w:w="100"/>
              <w:bottom w:type="dxa" w:w="80"/>
              <w:right w:type="dxa" w:w="100"/>
            </w:tcMar>
            <w:vAlign w:val="center"/>
          </w:tcPr>
          <w:p>
            <w:pPr>
              <w:spacing w:after="30" w:before="0"/>
              <w:jc w:val="center"/>
            </w:pPr>
            <w:r>
              <w:rPr>
                <w:rFonts w:ascii="Garamond" w:cs="Garamond" w:eastAsia="Garamond" w:hAnsi="Garamond"/>
                <w:b/>
                <w:bCs/>
                <w:color w:val="B45309"/>
                <w:sz w:val="36"/>
                <w:szCs w:val="36"/>
              </w:rPr>
              <w:t xml:space="preserve">50</w:t>
            </w:r>
          </w:p>
          <w:p>
            <w:pPr>
              <w:spacing w:after="0" w:before="0"/>
              <w:jc w:val="center"/>
            </w:pPr>
            <w:r>
              <w:rPr>
                <w:rFonts w:ascii="Garamond" w:cs="Garamond" w:eastAsia="Garamond" w:hAnsi="Garamond"/>
                <w:color w:val="B45309"/>
                <w:sz w:val="16"/>
                <w:szCs w:val="16"/>
              </w:rPr>
              <w:t xml:space="preserve">acciones · 22% del total</w:t>
            </w:r>
          </w:p>
        </w:tc>
      </w:tr>
    </w:tbl>
    <w:p>
      <w:pPr>
        <w:spacing w:after="0" w:before="120"/>
      </w:pPr>
    </w:p>
    <w:p>
      <w:pPr>
        <w:spacing w:after="100" w:before="80" w:line="280" w:lineRule="auto"/>
        <w:jc w:val="both"/>
      </w:pPr>
      <w:r>
        <w:rPr>
          <w:rFonts w:ascii="Garamond" w:cs="Garamond" w:eastAsia="Garamond" w:hAnsi="Garamond"/>
          <w:sz w:val="22"/>
          <w:szCs w:val="22"/>
        </w:rPr>
        <w:t xml:space="preserve">El Eje 6 concentra </w:t>
      </w:r>
      <w:r>
        <w:rPr>
          <w:rFonts w:ascii="Garamond" w:cs="Garamond" w:eastAsia="Garamond" w:hAnsi="Garamond"/>
          <w:b/>
          <w:bCs/>
          <w:color w:val="B45309"/>
          <w:sz w:val="22"/>
          <w:szCs w:val="22"/>
        </w:rPr>
        <w:t xml:space="preserve">50 acciones (22% del total)</w:t>
      </w:r>
      <w:r>
        <w:rPr>
          <w:rFonts w:ascii="Garamond" w:cs="Garamond" w:eastAsia="Garamond" w:hAnsi="Garamond"/>
          <w:sz w:val="22"/>
          <w:szCs w:val="22"/>
        </w:rPr>
        <w:t xml:space="preserve"> y es el eje más malentendido de cualquier plan de desarrollo: parece burocrático, parece administrativo, parece menos urgente que la seguridad o la educación. Pero el diagnóstico institucional de Rengo demuestra exactamente lo contrario. La razón por la cual los otros cinco ejes no han alcanzado sus metas en el ciclo anterior no es falta de buenas intenciones: es </w:t>
      </w:r>
      <w:r>
        <w:rPr>
          <w:rFonts w:ascii="Garamond" w:cs="Garamond" w:eastAsia="Garamond" w:hAnsi="Garamond"/>
          <w:b/>
          <w:bCs/>
          <w:color w:val="1C3A5E"/>
          <w:sz w:val="22"/>
          <w:szCs w:val="22"/>
        </w:rPr>
        <w:t xml:space="preserve">falta de capacidad institucional para ejecutar.</w:t>
      </w:r>
    </w:p>
    <w:p>
      <w:pPr>
        <w:spacing w:after="100" w:before="80" w:line="280" w:lineRule="auto"/>
        <w:jc w:val="both"/>
      </w:pPr>
      <w:r>
        <w:rPr>
          <w:rFonts w:ascii="Garamond" w:cs="Garamond" w:eastAsia="Garamond" w:hAnsi="Garamond"/>
          <w:sz w:val="22"/>
          <w:szCs w:val="22"/>
        </w:rPr>
        <w:t xml:space="preserve">Los datos son concluyentes. La tasa de materialización de la inversión cayó del 76% (2018) al </w:t>
      </w:r>
      <w:r>
        <w:rPr>
          <w:rFonts w:ascii="Garamond" w:cs="Garamond" w:eastAsia="Garamond" w:hAnsi="Garamond"/>
          <w:b/>
          <w:bCs/>
          <w:color w:val="C0392B"/>
          <w:sz w:val="22"/>
          <w:szCs w:val="22"/>
        </w:rPr>
        <w:t xml:space="preserve">32,2% en 2024</w:t>
      </w:r>
      <w:r>
        <w:rPr>
          <w:rFonts w:ascii="Garamond" w:cs="Garamond" w:eastAsia="Garamond" w:hAnsi="Garamond"/>
          <w:sz w:val="22"/>
          <w:szCs w:val="22"/>
        </w:rPr>
        <w:t xml:space="preserve">, con recursos no ejecutados estimados en $3.526 millones anuales. La tasa de captación de fondos externos es del </w:t>
      </w:r>
      <w:r>
        <w:rPr>
          <w:rFonts w:ascii="Garamond" w:cs="Garamond" w:eastAsia="Garamond" w:hAnsi="Garamond"/>
          <w:b/>
          <w:bCs/>
          <w:color w:val="C0392B"/>
          <w:sz w:val="22"/>
          <w:szCs w:val="22"/>
        </w:rPr>
        <w:t xml:space="preserve">6,28% frente al 13,89% del promedio regional</w:t>
      </w:r>
      <w:r>
        <w:rPr>
          <w:rFonts w:ascii="Garamond" w:cs="Garamond" w:eastAsia="Garamond" w:hAnsi="Garamond"/>
          <w:sz w:val="22"/>
          <w:szCs w:val="22"/>
        </w:rPr>
        <w:t xml:space="preserve"> —un 55% menos de lo que Rengo debería estar captando—. El </w:t>
      </w:r>
      <w:r>
        <w:rPr>
          <w:rFonts w:ascii="Garamond" w:cs="Garamond" w:eastAsia="Garamond" w:hAnsi="Garamond"/>
          <w:b/>
          <w:bCs/>
          <w:color w:val="1C3A5E"/>
          <w:sz w:val="22"/>
          <w:szCs w:val="22"/>
        </w:rPr>
        <w:t xml:space="preserve">50% de los instrumentos municipales</w:t>
      </w:r>
      <w:r>
        <w:rPr>
          <w:rFonts w:ascii="Garamond" w:cs="Garamond" w:eastAsia="Garamond" w:hAnsi="Garamond"/>
          <w:sz w:val="22"/>
          <w:szCs w:val="22"/>
        </w:rPr>
        <w:t xml:space="preserve"> están formalizados en decreto pero sin implementación verificable. No hay tablero de control, no hay sistema de M&amp;E, no hay indicadores de seguimiento activos. Sin resolver estas brechas, los 32 objetivos estratégicos de los ejes 1 al 5 son aspiraciones sin tracción real.</w:t>
      </w:r>
    </w:p>
    <w:p>
      <w:pPr>
        <w:spacing w:after="100" w:before="80" w:line="280" w:lineRule="auto"/>
        <w:jc w:val="both"/>
      </w:pPr>
      <w:r>
        <w:rPr>
          <w:rFonts w:ascii="Garamond" w:cs="Garamond" w:eastAsia="Garamond" w:hAnsi="Garamond"/>
          <w:sz w:val="22"/>
          <w:szCs w:val="22"/>
        </w:rPr>
        <w:t xml:space="preserve">Las 6 brechas activas de la </w:t>
      </w:r>
      <w:r>
        <w:rPr>
          <w:rFonts w:ascii="Garamond" w:cs="Garamond" w:eastAsia="Garamond" w:hAnsi="Garamond"/>
          <w:b/>
          <w:bCs/>
          <w:color w:val="1C3A5E"/>
          <w:sz w:val="22"/>
          <w:szCs w:val="22"/>
        </w:rPr>
        <w:t xml:space="preserve">Ley Karin (21.643)</w:t>
      </w:r>
      <w:r>
        <w:rPr>
          <w:rFonts w:ascii="Garamond" w:cs="Garamond" w:eastAsia="Garamond" w:hAnsi="Garamond"/>
          <w:sz w:val="22"/>
          <w:szCs w:val="22"/>
        </w:rPr>
        <w:t xml:space="preserve"> son otro indicador de la urgencia. El Protocolo de Prevención del Acoso vigente (Decreto N°1807/2023) fue aprobado 9 meses antes de que la Ley Karin entrara en vigencia, y no incorpora sus exigencias. El 43% de los funcionarios desconoce la ley. El DAEM acumula más de 170 sumarios activos por problemas de convivencia laboral. Estas brechas no son solo un riesgo legal: son un indicador del estado de la </w:t>
      </w:r>
      <w:r>
        <w:rPr>
          <w:rFonts w:ascii="Garamond" w:cs="Garamond" w:eastAsia="Garamond" w:hAnsi="Garamond"/>
          <w:b/>
          <w:bCs/>
          <w:color w:val="1C3A5E"/>
          <w:sz w:val="22"/>
          <w:szCs w:val="22"/>
        </w:rPr>
        <w:t xml:space="preserve">cultura organizacional</w:t>
      </w:r>
      <w:r>
        <w:rPr>
          <w:rFonts w:ascii="Garamond" w:cs="Garamond" w:eastAsia="Garamond" w:hAnsi="Garamond"/>
          <w:sz w:val="22"/>
          <w:szCs w:val="22"/>
        </w:rPr>
        <w:t xml:space="preserve"> del municipio, y la cultura organizacional es la que determina si las políticas se implementan o se archivan.</w:t>
      </w:r>
    </w:p>
    <w:p>
      <w:pPr>
        <w:pBdr>
          <w:left w:val="single" w:color="B45309" w:sz="12" w:space="8"/>
        </w:pBdr>
        <w:spacing w:after="100" w:before="100" w:line="276" w:lineRule="auto"/>
        <w:ind w:left="600" w:right="400"/>
        <w:jc w:val="both"/>
      </w:pPr>
      <w:r>
        <w:rPr>
          <w:rFonts w:ascii="Garamond" w:cs="Garamond" w:eastAsia="Garamond" w:hAnsi="Garamond"/>
          <w:i/>
          <w:iCs/>
          <w:color w:val="3D3D3D"/>
          <w:sz w:val="20"/>
          <w:szCs w:val="20"/>
        </w:rPr>
        <w:t xml:space="preserve">El primer déficit operacional de la Municipalidad de Rengo se proyecta para el ejercicio 2027-2028 si no se implementan reformas de eficiencia. El superávit mostró tendencia decreciente de $3.683M (2021) a $2.765M (2024), -24,9%. El Eje 6 no es modernización por modernización: es la condición fiscal para que el municipio siga siendo solvente durante la vigencia del PLADECO.</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B45309" w:val="clear"/>
            <w:tcMar>
              <w:top w:type="dxa" w:w="80"/>
              <w:left w:type="dxa" w:w="100"/>
              <w:bottom w:type="dxa" w:w="80"/>
              <w:right w:type="dxa" w:w="60"/>
            </w:tcMar>
            <w:vAlign w:val="center"/>
          </w:tcPr>
          <w:p>
            <w:pPr>
              <w:jc w:val="center"/>
            </w:pPr>
            <w:r>
              <w:rPr>
                <w:rFonts w:ascii="Garamond" w:cs="Garamond" w:eastAsia="Garamond" w:hAnsi="Garamond"/>
                <w:b/>
                <w:bCs/>
                <w:color w:val="FFFFFF"/>
                <w:sz w:val="17"/>
                <w:szCs w:val="17"/>
              </w:rPr>
              <w:t xml:space="preserve">Objetivos
Estratégicos</w:t>
            </w:r>
          </w:p>
        </w:tc>
        <w:tc>
          <w:tcPr>
            <w:tcW w:type="dxa" w:w="8160"/>
            <w:tcBorders>
              <w:top w:val="none" w:color="FFFFFF" w:sz="0"/>
              <w:left w:val="none" w:color="FFFFFF" w:sz="0"/>
              <w:bottom w:val="none" w:color="FFFFFF" w:sz="0"/>
              <w:right w:val="none" w:color="FFFFFF" w:sz="0"/>
            </w:tcBorders>
            <w:shd w:fill="FEF3C7" w:val="clear"/>
            <w:tcMar>
              <w:top w:type="dxa" w:w="80"/>
              <w:left w:type="dxa" w:w="140"/>
              <w:bottom w:type="dxa" w:w="80"/>
              <w:right w:type="dxa" w:w="120"/>
            </w:tcMar>
          </w:tcPr>
          <w:p>
            <w:pPr>
              <w:spacing w:after="50" w:before="40"/>
            </w:pPr>
            <w:r>
              <w:rPr>
                <w:rFonts w:ascii="Garamond" w:cs="Garamond" w:eastAsia="Garamond" w:hAnsi="Garamond"/>
                <w:b/>
                <w:bCs/>
                <w:color w:val="B45309"/>
                <w:sz w:val="18"/>
                <w:szCs w:val="18"/>
              </w:rPr>
              <w:t xml:space="preserve">OE 6.1: </w:t>
            </w:r>
            <w:r>
              <w:rPr>
                <w:rFonts w:ascii="Garamond" w:cs="Garamond" w:eastAsia="Garamond" w:hAnsi="Garamond"/>
                <w:color w:val="3D3D3D"/>
                <w:sz w:val="18"/>
                <w:szCs w:val="18"/>
              </w:rPr>
              <w:t xml:space="preserve">Crear Unidad de M&amp;E del PLADECO en SECPLAN — sin monitoreo, no hay planificación: hay declaración de intenciones</w:t>
            </w:r>
          </w:p>
          <w:p>
            <w:pPr>
              <w:spacing w:after="50" w:before="40"/>
            </w:pPr>
            <w:r>
              <w:rPr>
                <w:rFonts w:ascii="Garamond" w:cs="Garamond" w:eastAsia="Garamond" w:hAnsi="Garamond"/>
                <w:b/>
                <w:bCs/>
                <w:color w:val="B45309"/>
                <w:sz w:val="18"/>
                <w:szCs w:val="18"/>
              </w:rPr>
              <w:t xml:space="preserve">OE 6.2: </w:t>
            </w:r>
            <w:r>
              <w:rPr>
                <w:rFonts w:ascii="Garamond" w:cs="Garamond" w:eastAsia="Garamond" w:hAnsi="Garamond"/>
                <w:color w:val="3D3D3D"/>
                <w:sz w:val="18"/>
                <w:szCs w:val="18"/>
              </w:rPr>
              <w:t xml:space="preserve">Actualizar Política de RRHH y Protocolo Ley Karin — brecha crítica con pasivo legal activo</w:t>
            </w:r>
          </w:p>
          <w:p>
            <w:pPr>
              <w:spacing w:after="50" w:before="40"/>
            </w:pPr>
            <w:r>
              <w:rPr>
                <w:rFonts w:ascii="Garamond" w:cs="Garamond" w:eastAsia="Garamond" w:hAnsi="Garamond"/>
                <w:b/>
                <w:bCs/>
                <w:color w:val="B45309"/>
                <w:sz w:val="18"/>
                <w:szCs w:val="18"/>
              </w:rPr>
              <w:t xml:space="preserve">OE 6.3: </w:t>
            </w:r>
            <w:r>
              <w:rPr>
                <w:rFonts w:ascii="Garamond" w:cs="Garamond" w:eastAsia="Garamond" w:hAnsi="Garamond"/>
                <w:color w:val="3D3D3D"/>
                <w:sz w:val="18"/>
                <w:szCs w:val="18"/>
              </w:rPr>
              <w:t xml:space="preserve">Implementar Sistema ERP Municipal — digitalización como base de eficiencia operativa y transparencia</w:t>
            </w:r>
          </w:p>
          <w:p>
            <w:pPr>
              <w:spacing w:after="50" w:before="40"/>
            </w:pPr>
            <w:r>
              <w:rPr>
                <w:rFonts w:ascii="Garamond" w:cs="Garamond" w:eastAsia="Garamond" w:hAnsi="Garamond"/>
                <w:b/>
                <w:bCs/>
                <w:color w:val="B45309"/>
                <w:sz w:val="18"/>
                <w:szCs w:val="18"/>
              </w:rPr>
              <w:t xml:space="preserve">OE 6.4: </w:t>
            </w:r>
            <w:r>
              <w:rPr>
                <w:rFonts w:ascii="Garamond" w:cs="Garamond" w:eastAsia="Garamond" w:hAnsi="Garamond"/>
                <w:color w:val="3D3D3D"/>
                <w:sz w:val="18"/>
                <w:szCs w:val="18"/>
              </w:rPr>
              <w:t xml:space="preserve">Crear Unidad de Medio Ambiente — condición para ejecutar el PACCC y acceder a financiamiento climático</w:t>
            </w:r>
          </w:p>
          <w:p>
            <w:pPr>
              <w:spacing w:after="50" w:before="40"/>
            </w:pPr>
            <w:r>
              <w:rPr>
                <w:rFonts w:ascii="Garamond" w:cs="Garamond" w:eastAsia="Garamond" w:hAnsi="Garamond"/>
                <w:b/>
                <w:bCs/>
                <w:color w:val="B45309"/>
                <w:sz w:val="18"/>
                <w:szCs w:val="18"/>
              </w:rPr>
              <w:t xml:space="preserve">OE 6.5: </w:t>
            </w:r>
            <w:r>
              <w:rPr>
                <w:rFonts w:ascii="Garamond" w:cs="Garamond" w:eastAsia="Garamond" w:hAnsi="Garamond"/>
                <w:color w:val="3D3D3D"/>
                <w:sz w:val="18"/>
                <w:szCs w:val="18"/>
              </w:rPr>
              <w:t xml:space="preserve">Elevar Dirección de Desarrollo Económico — estructura orgánica alineada con los objetivos del Eje 2</w:t>
            </w:r>
          </w:p>
          <w:p>
            <w:pPr>
              <w:spacing w:after="50" w:before="40"/>
            </w:pPr>
            <w:r>
              <w:rPr>
                <w:rFonts w:ascii="Garamond" w:cs="Garamond" w:eastAsia="Garamond" w:hAnsi="Garamond"/>
                <w:b/>
                <w:bCs/>
                <w:color w:val="B45309"/>
                <w:sz w:val="18"/>
                <w:szCs w:val="18"/>
              </w:rPr>
              <w:t xml:space="preserve">OE 6.6: </w:t>
            </w:r>
            <w:r>
              <w:rPr>
                <w:rFonts w:ascii="Garamond" w:cs="Garamond" w:eastAsia="Garamond" w:hAnsi="Garamond"/>
                <w:color w:val="3D3D3D"/>
                <w:sz w:val="18"/>
                <w:szCs w:val="18"/>
              </w:rPr>
              <w:t xml:space="preserve">Rendición de Cuentas Semestral — transparencia activa como estándar de gestión, no como excepción</w:t>
            </w:r>
          </w:p>
        </w:tc>
      </w:tr>
    </w:tbl>
    <w:p>
      <w:r>
        <w:br w:type="page"/>
      </w:r>
    </w:p>
    <w:p>
      <w:pPr>
        <w:pStyle w:val="Heading1"/>
        <w:pBdr>
          <w:bottom w:val="single" w:color="2E75B6" w:sz="6" w:space="2"/>
        </w:pBdr>
        <w:spacing w:after="80" w:before="0"/>
      </w:pPr>
      <w:r>
        <w:rPr>
          <w:rFonts w:ascii="Garamond" w:cs="Garamond" w:eastAsia="Garamond" w:hAnsi="Garamond"/>
          <w:b/>
          <w:bCs/>
          <w:color w:val="1C3A5E"/>
          <w:sz w:val="28"/>
          <w:szCs w:val="28"/>
        </w:rPr>
        <w:t xml:space="preserve">Conclusión: la integración como método</w:t>
      </w:r>
    </w:p>
    <w:p>
      <w:pPr>
        <w:spacing w:after="100" w:before="80" w:line="280" w:lineRule="auto"/>
        <w:jc w:val="both"/>
      </w:pPr>
      <w:r>
        <w:rPr>
          <w:rFonts w:ascii="Garamond" w:cs="Garamond" w:eastAsia="Garamond" w:hAnsi="Garamond"/>
          <w:sz w:val="22"/>
          <w:szCs w:val="22"/>
        </w:rPr>
        <w:t xml:space="preserve">Los seis ejes del PLADECO 2025-2035 no son seis planes paralelos: son </w:t>
      </w:r>
      <w:r>
        <w:rPr>
          <w:rFonts w:ascii="Garamond" w:cs="Garamond" w:eastAsia="Garamond" w:hAnsi="Garamond"/>
          <w:b/>
          <w:bCs/>
          <w:color w:val="1C3A5E"/>
          <w:sz w:val="22"/>
          <w:szCs w:val="22"/>
        </w:rPr>
        <w:t xml:space="preserve">una sola estrategia de desarrollo comunal articulada en seis dimensiones</w:t>
      </w:r>
      <w:r>
        <w:rPr>
          <w:rFonts w:ascii="Garamond" w:cs="Garamond" w:eastAsia="Garamond" w:hAnsi="Garamond"/>
          <w:sz w:val="22"/>
          <w:szCs w:val="22"/>
        </w:rPr>
        <w:t xml:space="preserve"> que se condicionan entre sí. El Eje 6 (modernización) es la condición de ejecución de los otros cinco. El Eje 5 (seguridad) paga el costo acumulado de las omisiones en los ejes 1, 2 y 3. El Eje 4 (urbanismo) es el soporte físico del Eje 1 (bienestar) y el Eje 3 (educación). El Eje 2 (economía) es la base de sustentabilidad fiscal del Eje 6.</w:t>
      </w:r>
    </w:p>
    <w:p>
      <w:pPr>
        <w:spacing w:after="100" w:before="80" w:line="280" w:lineRule="auto"/>
        <w:jc w:val="both"/>
      </w:pPr>
      <w:r>
        <w:rPr>
          <w:rFonts w:ascii="Garamond" w:cs="Garamond" w:eastAsia="Garamond" w:hAnsi="Garamond"/>
          <w:sz w:val="22"/>
          <w:szCs w:val="22"/>
        </w:rPr>
        <w:t xml:space="preserve">Las </w:t>
      </w:r>
      <w:r>
        <w:rPr>
          <w:rFonts w:ascii="Garamond" w:cs="Garamond" w:eastAsia="Garamond" w:hAnsi="Garamond"/>
          <w:b/>
          <w:bCs/>
          <w:color w:val="2E75B6"/>
          <w:sz w:val="22"/>
          <w:szCs w:val="22"/>
        </w:rPr>
        <w:t xml:space="preserve">225 acciones</w:t>
      </w:r>
      <w:r>
        <w:rPr>
          <w:rFonts w:ascii="Garamond" w:cs="Garamond" w:eastAsia="Garamond" w:hAnsi="Garamond"/>
          <w:sz w:val="22"/>
          <w:szCs w:val="22"/>
        </w:rPr>
        <w:t xml:space="preserve"> del PLADECO son verificables, tienen línea base, tienen responsable institucional y tienen indicador de seguimiento. Esa es la diferencia entre este instrumento y sus antecesores. El PLADECO 2019-2031 alcanzó un cumplimiento estimado del 40% a 6 años de su aprobación, precisamente porque careció de los mecanismos de seguimiento que el Eje 6 de este nuevo instrumento hace obligatorios.</w:t>
      </w:r>
    </w:p>
    <w:p>
      <w:pPr>
        <w:spacing w:after="100" w:before="80" w:line="280" w:lineRule="auto"/>
        <w:jc w:val="both"/>
      </w:pPr>
      <w:r>
        <w:rPr>
          <w:rFonts w:ascii="Garamond" w:cs="Garamond" w:eastAsia="Garamond" w:hAnsi="Garamond"/>
          <w:sz w:val="22"/>
          <w:szCs w:val="22"/>
        </w:rPr>
        <w:t xml:space="preserve">Rengo tiene la información, la metodología y el diagnóstico para planificar su próxima década con certeza. Lo que se requiere ahora es la </w:t>
      </w:r>
      <w:r>
        <w:rPr>
          <w:rFonts w:ascii="Garamond" w:cs="Garamond" w:eastAsia="Garamond" w:hAnsi="Garamond"/>
          <w:b/>
          <w:bCs/>
          <w:color w:val="1C3A5E"/>
          <w:sz w:val="22"/>
          <w:szCs w:val="22"/>
        </w:rPr>
        <w:t xml:space="preserve">voluntad política</w:t>
      </w:r>
      <w:r>
        <w:rPr>
          <w:rFonts w:ascii="Garamond" w:cs="Garamond" w:eastAsia="Garamond" w:hAnsi="Garamond"/>
          <w:sz w:val="22"/>
          <w:szCs w:val="22"/>
        </w:rPr>
        <w:t xml:space="preserve"> para aprobar este instrumento, la </w:t>
      </w:r>
      <w:r>
        <w:rPr>
          <w:rFonts w:ascii="Garamond" w:cs="Garamond" w:eastAsia="Garamond" w:hAnsi="Garamond"/>
          <w:b/>
          <w:bCs/>
          <w:color w:val="1C3A5E"/>
          <w:sz w:val="22"/>
          <w:szCs w:val="22"/>
        </w:rPr>
        <w:t xml:space="preserve">capacidad técnica</w:t>
      </w:r>
      <w:r>
        <w:rPr>
          <w:rFonts w:ascii="Garamond" w:cs="Garamond" w:eastAsia="Garamond" w:hAnsi="Garamond"/>
          <w:sz w:val="22"/>
          <w:szCs w:val="22"/>
        </w:rPr>
        <w:t xml:space="preserve"> para implementarlo y la </w:t>
      </w:r>
      <w:r>
        <w:rPr>
          <w:rFonts w:ascii="Garamond" w:cs="Garamond" w:eastAsia="Garamond" w:hAnsi="Garamond"/>
          <w:b/>
          <w:bCs/>
          <w:color w:val="1C3A5E"/>
          <w:sz w:val="22"/>
          <w:szCs w:val="22"/>
        </w:rPr>
        <w:t xml:space="preserve">responsabilidad institucional</w:t>
      </w:r>
      <w:r>
        <w:rPr>
          <w:rFonts w:ascii="Garamond" w:cs="Garamond" w:eastAsia="Garamond" w:hAnsi="Garamond"/>
          <w:sz w:val="22"/>
          <w:szCs w:val="22"/>
        </w:rPr>
        <w:t xml:space="preserve"> para rendirle cuentas a la ciudadanía cada seis meses. Los tres elementos son igualmente indispensables.</w:t>
      </w:r>
    </w:p>
    <w:p>
      <w:pPr>
        <w:spacing w:after="0" w:before="120"/>
      </w:pPr>
    </w:p>
    <w:p>
      <w:pPr>
        <w:pBdr>
          <w:top w:val="single" w:color="2E75B6" w:sz="4" w:space="2"/>
        </w:pBdr>
        <w:spacing w:after="0" w:before="0"/>
      </w:pPr>
    </w:p>
    <w:p>
      <w:pPr>
        <w:spacing w:after="0" w:before="80"/>
      </w:pPr>
    </w:p>
    <w:p>
      <w:pPr>
        <w:spacing w:after="40" w:before="0"/>
        <w:jc w:val="center"/>
      </w:pPr>
      <w:r>
        <w:rPr>
          <w:rFonts w:ascii="Garamond" w:cs="Garamond" w:eastAsia="Garamond" w:hAnsi="Garamond"/>
          <w:color w:val="2E75B6"/>
          <w:sz w:val="18"/>
          <w:szCs w:val="18"/>
        </w:rPr>
        <w:t xml:space="preserve">Osvaldo Mañán Arce · osvaldomanan.chile@gmail.com</w:t>
      </w:r>
    </w:p>
    <w:p>
      <w:pPr>
        <w:spacing w:after="40" w:before="0"/>
        <w:jc w:val="center"/>
      </w:pPr>
      <w:r>
        <w:rPr>
          <w:rFonts w:ascii="Garamond" w:cs="Garamond" w:eastAsia="Garamond" w:hAnsi="Garamond"/>
          <w:color w:val="3D3D3D"/>
          <w:sz w:val="17"/>
          <w:szCs w:val="17"/>
        </w:rPr>
        <w:t xml:space="preserve">Secretaría de Planificación Comunal — Municipalidad de Rengo — Abril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3" w:space="1"/>
      </w:pBdr>
      <w:tabs>
        <w:tab w:val="right" w:pos="9026"/>
      </w:tabs>
      <w:spacing w:after="0" w:before="80"/>
    </w:pPr>
    <w:r>
      <w:rPr>
        <w:rFonts w:ascii="Garamond" w:cs="Garamond" w:eastAsia="Garamond" w:hAnsi="Garamond"/>
        <w:color w:val="3D3D3D"/>
        <w:sz w:val="16"/>
        <w:szCs w:val="16"/>
      </w:rPr>
      <w:t xml:space="preserve">Uso interno · Abril 2026</w:t>
    </w:r>
    <w:r>
      <w:rPr>
        <w:rFonts w:ascii="Garamond" w:cs="Garamond" w:eastAsia="Garamond" w:hAnsi="Garamond"/>
        <w:sz w:val="16"/>
        <w:szCs w:val="16"/>
      </w:rPr>
      <w:t xml:space="preserve">	</w:t>
    </w:r>
    <w:r>
      <w:rPr>
        <w:rFonts w:ascii="Garamond" w:cs="Garamond" w:eastAsia="Garamond" w:hAnsi="Garamond"/>
        <w:color w:val="1C3A5E"/>
        <w:sz w:val="16"/>
        <w:szCs w:val="16"/>
      </w:rPr>
      <w:t xml:space="preserve">Página </w:t>
    </w:r>
    <w:r>
      <w:rPr>
        <w:rFonts w:ascii="Garamond" w:cs="Garamond" w:eastAsia="Garamond" w:hAnsi="Garamond"/>
        <w:color w:val="1C3A5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3" w:space="1"/>
      </w:pBdr>
      <w:tabs>
        <w:tab w:val="right" w:pos="9026"/>
      </w:tabs>
      <w:spacing w:after="80" w:before="0"/>
    </w:pPr>
    <w:r>
      <w:rPr>
        <w:rFonts w:ascii="Garamond" w:cs="Garamond" w:eastAsia="Garamond" w:hAnsi="Garamond"/>
        <w:color w:val="3D3D3D"/>
        <w:sz w:val="16"/>
        <w:szCs w:val="16"/>
      </w:rPr>
      <w:t xml:space="preserve">Municipalidad de Rengo — PLADECO 2025-2035</w:t>
    </w:r>
    <w:r>
      <w:rPr>
        <w:rFonts w:ascii="Garamond" w:cs="Garamond" w:eastAsia="Garamond" w:hAnsi="Garamond"/>
        <w:sz w:val="16"/>
        <w:szCs w:val="16"/>
      </w:rPr>
      <w:t xml:space="preserve">	</w:t>
    </w:r>
    <w:r>
      <w:rPr>
        <w:rFonts w:ascii="Garamond" w:cs="Garamond" w:eastAsia="Garamond" w:hAnsi="Garamond"/>
        <w:b/>
        <w:bCs/>
        <w:color w:val="1C3A5E"/>
        <w:sz w:val="16"/>
        <w:szCs w:val="16"/>
      </w:rPr>
      <w:t xml:space="preserve">Argumentación Estratégica — 6 Ejes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20"/>
      <w:outlineLvl w:val="0"/>
    </w:pPr>
    <w:rPr>
      <w:rFonts w:ascii="Garamond" w:cs="Garamond" w:eastAsia="Garamond" w:hAnsi="Garamond"/>
      <w:b/>
      <w:bCs/>
      <w:color w:val="1C3A5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2026-04-22T18:39:44.533Z</dcterms:created>
  <dcterms:modified xsi:type="dcterms:W3CDTF">2026-04-22T18:39:44.534Z</dcterms:modified>
</cp:coreProperties>
</file>

<file path=docProps/custom.xml><?xml version="1.0" encoding="utf-8"?>
<Properties xmlns="http://schemas.openxmlformats.org/officeDocument/2006/custom-properties" xmlns:vt="http://schemas.openxmlformats.org/officeDocument/2006/docPropsVTypes"/>
</file>