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8CEA" w14:textId="77777777" w:rsidR="00096D74" w:rsidRDefault="00096D74">
      <w:pPr>
        <w:spacing w:line="40" w:lineRule="exact"/>
        <w:rPr>
          <w:sz w:val="4"/>
          <w:szCs w:val="4"/>
        </w:rPr>
      </w:pPr>
    </w:p>
    <w:p w14:paraId="32498CEB" w14:textId="77777777" w:rsidR="00096D74" w:rsidRDefault="00000000">
      <w:pPr>
        <w:spacing w:after="200"/>
        <w:jc w:val="center"/>
      </w:pPr>
      <w:r>
        <w:rPr>
          <w:b/>
          <w:bCs/>
          <w:color w:val="1B2A4A"/>
          <w:sz w:val="112"/>
          <w:szCs w:val="112"/>
        </w:rPr>
        <w:t>RELATO ESTRATÉGICO</w:t>
      </w:r>
    </w:p>
    <w:p w14:paraId="32498CEC" w14:textId="77777777" w:rsidR="00096D74" w:rsidRDefault="00096D74">
      <w:pPr>
        <w:spacing w:line="40" w:lineRule="exact"/>
        <w:rPr>
          <w:sz w:val="4"/>
          <w:szCs w:val="4"/>
        </w:rPr>
      </w:pPr>
    </w:p>
    <w:p w14:paraId="32498CED" w14:textId="77777777" w:rsidR="00096D74" w:rsidRDefault="00000000">
      <w:pPr>
        <w:spacing w:after="200"/>
        <w:jc w:val="center"/>
      </w:pPr>
      <w:r>
        <w:rPr>
          <w:color w:val="0D9488"/>
          <w:sz w:val="56"/>
          <w:szCs w:val="56"/>
        </w:rPr>
        <w:t>PLAN DE DESARROLLO COMUNAL DE RENGO</w:t>
      </w:r>
    </w:p>
    <w:p w14:paraId="32498CEE" w14:textId="77777777" w:rsidR="00096D74" w:rsidRDefault="00000000">
      <w:pPr>
        <w:spacing w:after="100"/>
        <w:jc w:val="center"/>
      </w:pPr>
      <w:r>
        <w:rPr>
          <w:b/>
          <w:bCs/>
          <w:color w:val="0D9488"/>
          <w:sz w:val="72"/>
          <w:szCs w:val="72"/>
        </w:rPr>
        <w:t>2025–2035</w:t>
      </w:r>
    </w:p>
    <w:p w14:paraId="32498CEF" w14:textId="77777777" w:rsidR="00096D74" w:rsidRDefault="00096D74">
      <w:pPr>
        <w:spacing w:line="40" w:lineRule="exact"/>
        <w:rPr>
          <w:sz w:val="4"/>
          <w:szCs w:val="4"/>
        </w:rPr>
      </w:pPr>
    </w:p>
    <w:p w14:paraId="32498CF0" w14:textId="77777777" w:rsidR="00096D74" w:rsidRDefault="00000000">
      <w:pPr>
        <w:spacing w:after="300"/>
        <w:jc w:val="center"/>
      </w:pPr>
      <w:r>
        <w:rPr>
          <w:i/>
          <w:iCs/>
          <w:color w:val="065A82"/>
          <w:sz w:val="56"/>
          <w:szCs w:val="56"/>
        </w:rPr>
        <w:t>De la Situación Actual a la Imagen Objetivo</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10"/>
      </w:tblGrid>
      <w:tr w:rsidR="00096D74" w14:paraId="32498CF2" w14:textId="77777777">
        <w:tblPrEx>
          <w:tblCellMar>
            <w:top w:w="0" w:type="dxa"/>
            <w:bottom w:w="0" w:type="dxa"/>
          </w:tblCellMar>
        </w:tblPrEx>
        <w:tc>
          <w:tcPr>
            <w:tcW w:w="5000" w:type="pct"/>
            <w:shd w:val="clear" w:color="auto" w:fill="0D9488"/>
          </w:tcPr>
          <w:p w14:paraId="32498CF1" w14:textId="77777777" w:rsidR="00096D74" w:rsidRDefault="00000000">
            <w:r>
              <w:rPr>
                <w:sz w:val="4"/>
                <w:szCs w:val="4"/>
              </w:rPr>
              <w:t xml:space="preserve"> </w:t>
            </w:r>
          </w:p>
        </w:tc>
      </w:tr>
    </w:tbl>
    <w:p w14:paraId="32498CF3" w14:textId="77777777" w:rsidR="00096D74" w:rsidRDefault="00000000">
      <w:pPr>
        <w:spacing w:after="120"/>
        <w:jc w:val="center"/>
      </w:pPr>
      <w:r>
        <w:rPr>
          <w:b/>
          <w:bCs/>
          <w:color w:val="1B2A4A"/>
          <w:sz w:val="24"/>
          <w:szCs w:val="24"/>
        </w:rPr>
        <w:t xml:space="preserve">200 </w:t>
      </w:r>
      <w:proofErr w:type="gramStart"/>
      <w:r>
        <w:rPr>
          <w:b/>
          <w:bCs/>
          <w:color w:val="1B2A4A"/>
          <w:sz w:val="24"/>
          <w:szCs w:val="24"/>
        </w:rPr>
        <w:t>Políticas</w:t>
      </w:r>
      <w:proofErr w:type="gramEnd"/>
      <w:r>
        <w:rPr>
          <w:b/>
          <w:bCs/>
          <w:color w:val="1B2A4A"/>
          <w:sz w:val="24"/>
          <w:szCs w:val="24"/>
        </w:rPr>
        <w:t xml:space="preserve">  |  6 Ejes  |  32 Objetivos  |  65.786 Habitantes</w:t>
      </w:r>
    </w:p>
    <w:p w14:paraId="32498CF4" w14:textId="77777777" w:rsidR="00096D74" w:rsidRDefault="00096D74">
      <w:pPr>
        <w:spacing w:line="40" w:lineRule="exact"/>
        <w:rPr>
          <w:sz w:val="4"/>
          <w:szCs w:val="4"/>
        </w:rPr>
      </w:pPr>
    </w:p>
    <w:p w14:paraId="32498CF5" w14:textId="77777777" w:rsidR="00096D74" w:rsidRDefault="00000000">
      <w:pPr>
        <w:spacing w:after="60"/>
        <w:jc w:val="center"/>
      </w:pPr>
      <w:r>
        <w:rPr>
          <w:b/>
          <w:bCs/>
          <w:color w:val="666666"/>
          <w:sz w:val="20"/>
          <w:szCs w:val="20"/>
        </w:rPr>
        <w:t xml:space="preserve">Alcalde: </w:t>
      </w:r>
      <w:r>
        <w:rPr>
          <w:color w:val="666666"/>
          <w:sz w:val="20"/>
          <w:szCs w:val="20"/>
        </w:rPr>
        <w:t>Enrique Del Barrio Hernández</w:t>
      </w:r>
    </w:p>
    <w:p w14:paraId="32498CF6" w14:textId="77777777" w:rsidR="00096D74" w:rsidRDefault="00000000">
      <w:pPr>
        <w:spacing w:after="60"/>
        <w:jc w:val="center"/>
      </w:pPr>
      <w:r>
        <w:rPr>
          <w:b/>
          <w:bCs/>
          <w:color w:val="666666"/>
          <w:sz w:val="20"/>
          <w:szCs w:val="20"/>
        </w:rPr>
        <w:t xml:space="preserve">Director SECPLAC: </w:t>
      </w:r>
      <w:r>
        <w:rPr>
          <w:color w:val="666666"/>
          <w:sz w:val="20"/>
          <w:szCs w:val="20"/>
        </w:rPr>
        <w:t>Daniel Castillo Campos</w:t>
      </w:r>
    </w:p>
    <w:p w14:paraId="32498CF7" w14:textId="77777777" w:rsidR="00096D74" w:rsidRDefault="00000000">
      <w:pPr>
        <w:spacing w:after="60"/>
        <w:jc w:val="center"/>
      </w:pPr>
      <w:r>
        <w:rPr>
          <w:b/>
          <w:bCs/>
          <w:color w:val="666666"/>
          <w:sz w:val="20"/>
          <w:szCs w:val="20"/>
        </w:rPr>
        <w:t xml:space="preserve">Encargado PLADECO: </w:t>
      </w:r>
      <w:r>
        <w:rPr>
          <w:color w:val="666666"/>
          <w:sz w:val="20"/>
          <w:szCs w:val="20"/>
        </w:rPr>
        <w:t>Osvaldo Mañán Arce</w:t>
      </w:r>
    </w:p>
    <w:p w14:paraId="32498CF8" w14:textId="77777777" w:rsidR="00096D74" w:rsidRDefault="00000000">
      <w:pPr>
        <w:spacing w:after="60"/>
        <w:jc w:val="center"/>
      </w:pPr>
      <w:r>
        <w:rPr>
          <w:b/>
          <w:bCs/>
          <w:color w:val="666666"/>
          <w:sz w:val="20"/>
          <w:szCs w:val="20"/>
        </w:rPr>
        <w:t xml:space="preserve">Asesora: </w:t>
      </w:r>
      <w:r>
        <w:rPr>
          <w:color w:val="666666"/>
          <w:sz w:val="20"/>
          <w:szCs w:val="20"/>
        </w:rPr>
        <w:t>Paula Ramírez Marambio</w:t>
      </w:r>
    </w:p>
    <w:p w14:paraId="32498CF9" w14:textId="77777777" w:rsidR="00096D74" w:rsidRDefault="00096D74">
      <w:pPr>
        <w:spacing w:line="40" w:lineRule="exact"/>
        <w:rPr>
          <w:sz w:val="4"/>
          <w:szCs w:val="4"/>
        </w:rPr>
      </w:pPr>
    </w:p>
    <w:p w14:paraId="32498CFA" w14:textId="77777777" w:rsidR="00096D74" w:rsidRDefault="00000000">
      <w:pPr>
        <w:jc w:val="center"/>
      </w:pPr>
      <w:r>
        <w:rPr>
          <w:b/>
          <w:bCs/>
          <w:color w:val="1B2A4A"/>
          <w:sz w:val="24"/>
          <w:szCs w:val="24"/>
        </w:rPr>
        <w:t>Abril 2026</w:t>
      </w:r>
    </w:p>
    <w:p w14:paraId="32498CFB" w14:textId="77777777" w:rsidR="00096D74" w:rsidRDefault="00000000">
      <w:pPr>
        <w:pageBreakBefore/>
        <w:spacing w:before="360" w:after="200" w:line="276" w:lineRule="auto"/>
      </w:pPr>
      <w:r>
        <w:rPr>
          <w:b/>
          <w:bCs/>
          <w:color w:val="1C3557"/>
          <w:sz w:val="36"/>
          <w:szCs w:val="36"/>
        </w:rPr>
        <w:lastRenderedPageBreak/>
        <w:t>Introducción: Rengo Frente a su Futuro</w:t>
      </w:r>
    </w:p>
    <w:p w14:paraId="32498CFC" w14:textId="77777777" w:rsidR="00096D74" w:rsidRDefault="00096D74">
      <w:pPr>
        <w:spacing w:line="40" w:lineRule="exact"/>
        <w:rPr>
          <w:sz w:val="4"/>
          <w:szCs w:val="4"/>
        </w:rPr>
      </w:pPr>
    </w:p>
    <w:p w14:paraId="32498CFD" w14:textId="77777777" w:rsidR="00096D74" w:rsidRDefault="00000000">
      <w:pPr>
        <w:spacing w:after="120" w:line="276" w:lineRule="auto"/>
        <w:jc w:val="both"/>
      </w:pPr>
      <w:r>
        <w:rPr>
          <w:color w:val="1A1A2E"/>
        </w:rPr>
        <w:t xml:space="preserve">La comuna de Rengo, con sus 65.786 habitantes distribuidos en 592 km² de territorio, se encuentra en un momento de transformación sin precedentes. Fundada en 1831 y ubicada a 114 kilómetros al sur de Santiago, Rengo ha transitado durante las últimas décadas desde una vocación predominantemente agrícola hacia una realidad urbano-rural compleja. La llegada del </w:t>
      </w:r>
      <w:proofErr w:type="spellStart"/>
      <w:r>
        <w:rPr>
          <w:color w:val="1A1A2E"/>
        </w:rPr>
        <w:t>Metrotren</w:t>
      </w:r>
      <w:proofErr w:type="spellEnd"/>
      <w:r>
        <w:rPr>
          <w:color w:val="1A1A2E"/>
        </w:rPr>
        <w:t xml:space="preserve"> en 2021 alteró radicalmente la conectividad regional, acercando la comuna a la capital y generando nuevas dinámicas de movilidad, empleo y asentamiento. Con 4.829 empresas —primera a nivel regional en densidad empresarial— Rengo exhibe un tejido productivo vigoroso que, sin embargo, convive con desigualdades persistentes, vulnerabilidades sociales profundas y una institucionalidad municipal que requiere modernización urgente. Este Plan de Desarrollo Comunal se propone, entonces, como el instrumento que articula diagnóstico, voluntad política y capacidad institucional para construir la Rengo del 2035.</w:t>
      </w:r>
    </w:p>
    <w:p w14:paraId="32498CFE" w14:textId="77777777" w:rsidR="00096D74" w:rsidRDefault="00000000">
      <w:pPr>
        <w:spacing w:before="240" w:after="160" w:line="276" w:lineRule="auto"/>
      </w:pPr>
      <w:r>
        <w:rPr>
          <w:b/>
          <w:bCs/>
          <w:color w:val="065A82"/>
          <w:sz w:val="28"/>
          <w:szCs w:val="28"/>
        </w:rPr>
        <w:t>Marco Teórico: Por qué un PLADECO importa</w:t>
      </w:r>
    </w:p>
    <w:p w14:paraId="32498CFF" w14:textId="77777777" w:rsidR="00096D74" w:rsidRDefault="00000000">
      <w:pPr>
        <w:spacing w:after="120" w:line="276" w:lineRule="auto"/>
        <w:jc w:val="both"/>
      </w:pPr>
      <w:r>
        <w:rPr>
          <w:color w:val="1A1A2E"/>
        </w:rPr>
        <w:t>Un Plan de Desarrollo Comunal no es un ejercicio académico ni un trámite burocrático: es el instrumento que, conforme al Artículo 7° de la Ley Orgánica Constitucional de Municipalidades (Ley 18.695), define la visión de desarrollo de largo plazo del territorio y las estrategias para materializarla. La ley establece que el PLADECO debe contemplar las acciones orientadas a satisfacer las necesidades de la comunidad local, promoviendo su avance social, económico y cultural. No se trata, por tanto, de un documento optativo, sino de un mandato legal que compromete la gestión municipal con una hoja de ruta verificable.</w:t>
      </w:r>
    </w:p>
    <w:p w14:paraId="32498D00" w14:textId="77777777" w:rsidR="00096D74" w:rsidRDefault="00000000">
      <w:pPr>
        <w:spacing w:after="120" w:line="276" w:lineRule="auto"/>
        <w:jc w:val="both"/>
      </w:pPr>
      <w:r>
        <w:rPr>
          <w:color w:val="1A1A2E"/>
        </w:rPr>
        <w:t>Desde la perspectiva de la Planificación Estratégica Situacional (PES) desarrollada por Carlos Matus (1987), todo plan de desarrollo opera en la tensión permanente entre el “ser” —la situación diagnóstica, el estado actual del territorio con sus brechas, fortalezas y contradicciones— y el “deber ser” —la imagen objetivo, la configuración deseada de la comunidad hacia la cual se dirigen las acciones. Matus enseña que planificar no es predecir el futuro, sino preparar las condiciones institucionales, políticas y técnicas para actuar sobre él. Este PLADECO asume esa lección: cada una de sus 200 políticas no es una predicción de lo que ocurrirá, sino un compromiso sobre lo que el municipio hará —y sobre lo que rendirá cuentas— durante la próxima década.</w:t>
      </w:r>
    </w:p>
    <w:p w14:paraId="32498D01" w14:textId="77777777" w:rsidR="00096D74" w:rsidRDefault="00000000">
      <w:pPr>
        <w:spacing w:after="120" w:line="276" w:lineRule="auto"/>
        <w:jc w:val="both"/>
      </w:pPr>
      <w:r>
        <w:rPr>
          <w:color w:val="1A1A2E"/>
        </w:rPr>
        <w:t>La tensión entre el “ser” y el “deber ser” se materializa en este documento de manera concreta: el diagnóstico identifica que el PLADECO anterior (2019-2031) alcanzó apenas un 40% de cumplimiento; la imagen objetivo establece que el nuevo plan debe alcanzar al menos un 80% de ejecución efectiva. La distancia entre ambas cifras no se salva con buenos deseos: requiere una reingeniería institucional profunda que este plan aborda explícitamente en su Eje 6. En términos de Matus, se trata de construir “viabilidad política, económica y organizativa” para que el plan no sea letra muerta.</w:t>
      </w:r>
    </w:p>
    <w:p w14:paraId="32498D02" w14:textId="77777777" w:rsidR="00096D74" w:rsidRDefault="00000000">
      <w:pPr>
        <w:spacing w:before="240" w:after="160" w:line="276" w:lineRule="auto"/>
      </w:pPr>
      <w:r>
        <w:rPr>
          <w:b/>
          <w:bCs/>
          <w:color w:val="065A82"/>
          <w:sz w:val="28"/>
          <w:szCs w:val="28"/>
        </w:rPr>
        <w:t>Marco Metodológico: Cómo se construyó este diagnóstico</w:t>
      </w:r>
    </w:p>
    <w:p w14:paraId="32498D03" w14:textId="77777777" w:rsidR="00096D74" w:rsidRDefault="00000000">
      <w:pPr>
        <w:spacing w:after="120" w:line="276" w:lineRule="auto"/>
        <w:jc w:val="both"/>
      </w:pPr>
      <w:r>
        <w:rPr>
          <w:color w:val="1A1A2E"/>
        </w:rPr>
        <w:t xml:space="preserve">El presente Plan de Desarrollo Comunal nace de un proceso diagnóstico sin precedentes en rigor y profundidad. La metodología se fundamenta en un diseño convergente de métodos mixtos </w:t>
      </w:r>
      <w:r>
        <w:rPr>
          <w:color w:val="1A1A2E"/>
        </w:rPr>
        <w:lastRenderedPageBreak/>
        <w:t>(Creswell y Plano Clark, 2018), que integra simultáneamente datos cuantitativos y cualitativos para producir una comprensión holística de la realidad comunal. Este diseño no es secuencial —no se recopilaron primero los números y luego las narrativas— sino paralelo: las encuestas ciudadanas, las entrevistas etnográficas, el análisis documental y la revisión de bases de datos institucionales se desarrollaron de manera simultánea, permitiendo que los hallazgos de cada fuente informaran y corrigieran a las demás en tiempo real.</w:t>
      </w:r>
    </w:p>
    <w:p w14:paraId="32498D04" w14:textId="77777777" w:rsidR="00096D74" w:rsidRDefault="00000000">
      <w:pPr>
        <w:spacing w:after="120" w:line="276" w:lineRule="auto"/>
        <w:jc w:val="both"/>
      </w:pPr>
      <w:r>
        <w:rPr>
          <w:color w:val="1A1A2E"/>
        </w:rPr>
        <w:t>El principio de triangulación (Denzin, 1970) constituye el pilar epistemológico del diagnóstico: ningún hallazgo se consideró válido a menos que fuera confirmado por al menos dos fuentes independientes. Este rigor explica la convergencia del 97,9% entre las fuentes diagnósticas y el Programa de Gobierno: no se trata de que el plan haya sido redactado para coincidir con las promesas electorales, sino de que el diagnóstico científico y la sensibilidad política convergieron naturalmente porque ambos se alimentan de la misma realidad territorial. La triangulación se aplicó en cuatro dimensiones: triangulación de datos (múltiples fuentes), de investigadores (equipo interdisciplinario), de teorías (marcos analíticos complementarios) y metodológica (técnicas cuantitativas y cualitativas).</w:t>
      </w:r>
    </w:p>
    <w:p w14:paraId="32498D05" w14:textId="77777777" w:rsidR="00096D74" w:rsidRDefault="00000000">
      <w:pPr>
        <w:spacing w:after="120" w:line="276" w:lineRule="auto"/>
        <w:jc w:val="both"/>
      </w:pPr>
      <w:r>
        <w:rPr>
          <w:color w:val="1A1A2E"/>
        </w:rPr>
        <w:t>La Etnografía Institucional (Smith, 2005) se aplicó como método central del componente cualitativo: más de 40 entrevistas en profundidad a funcionarios de todas las direcciones municipales permitieron reconstruir los “relatos de coordinación” —las narrativas que los propios funcionarios usan para describir cómo funcionan (o no) los procesos internos—. Estas entrevistas revelaron patrones invisibles en las estadísticas: la descoordinación no es un problema de organigramas sino de prácticas cotidianas; la baja ejecución presupuestaria no se explica por falta de recursos sino por cuellos de botella burocráticos; y la relación con la comunidad no es débil por desinterés sino por ausencia de protocolos de retroalimentación.</w:t>
      </w:r>
    </w:p>
    <w:p w14:paraId="32498D06" w14:textId="77777777" w:rsidR="00096D74" w:rsidRDefault="00000000">
      <w:pPr>
        <w:spacing w:after="120" w:line="276" w:lineRule="auto"/>
        <w:jc w:val="both"/>
      </w:pPr>
      <w:r>
        <w:rPr>
          <w:color w:val="1A1A2E"/>
        </w:rPr>
        <w:t>En el componente cuantitativo, el diagnóstico se nutrió de tres encuestas ciudadanas (n=119 población general, n=116 segunda aplicación, y n=21 para niños, niñas y adolescentes), el análisis del Banco Integrado de Proyectos con 1.182 registros históricos que permitió evaluar la capacidad de inversión pública, la revisión documental de 24 instrumentos fiscalizados por la Contraloría General de la República, y el cruce sistemático de 65 instrumentos normativos de política pública. El Índice de Bienestar Humano Territorial (BHT), construido ad hoc para este plan, integró 18 indicadores en 4 dimensiones (socioeconómica, accesibilidad, ambiental e institucional), revelando una correlación de r=0,831 entre la dimensión socioeconómica y el bienestar general, lo que confirma que la vulnerabilidad económica es el predictor más potente del deterioro territorial integral.</w:t>
      </w:r>
    </w:p>
    <w:p w14:paraId="32498D07" w14:textId="77777777" w:rsidR="00096D74" w:rsidRDefault="00000000">
      <w:pPr>
        <w:spacing w:before="240" w:after="160" w:line="276" w:lineRule="auto"/>
      </w:pPr>
      <w:r>
        <w:rPr>
          <w:b/>
          <w:bCs/>
          <w:color w:val="065A82"/>
          <w:sz w:val="28"/>
          <w:szCs w:val="28"/>
        </w:rPr>
        <w:t>Cinco Tensiones Estructurales</w:t>
      </w:r>
    </w:p>
    <w:p w14:paraId="32498D08" w14:textId="77777777" w:rsidR="00096D74" w:rsidRDefault="00000000">
      <w:pPr>
        <w:spacing w:after="120" w:line="276" w:lineRule="auto"/>
        <w:jc w:val="both"/>
      </w:pPr>
      <w:r>
        <w:rPr>
          <w:color w:val="1A1A2E"/>
        </w:rPr>
        <w:t>Del proceso diagnóstico emergen cinco tensiones estructurales que atraviesan todos los ámbitos del desarrollo comunal y que el PLADECO se propone abordar de manera integral. Estas tensiones no son simples “problemas” discretos: son configuraciones sistémicas que se retroalimentan mutuamente, y cuya comprensión articulada es condición necesaria para diseñar respuestas efectivas.</w:t>
      </w:r>
    </w:p>
    <w:p w14:paraId="32498D09" w14:textId="77777777" w:rsidR="00096D74" w:rsidRDefault="00000000">
      <w:pPr>
        <w:spacing w:after="120" w:line="276" w:lineRule="auto"/>
        <w:ind w:left="431"/>
        <w:jc w:val="both"/>
      </w:pPr>
      <w:r>
        <w:rPr>
          <w:b/>
          <w:bCs/>
          <w:color w:val="1A1A2E"/>
        </w:rPr>
        <w:t xml:space="preserve">1. </w:t>
      </w:r>
      <w:r>
        <w:rPr>
          <w:color w:val="1A1A2E"/>
        </w:rPr>
        <w:t xml:space="preserve">Inseguridad como crisis transversal: El 70% de la ciudadanía identifica la seguridad como prioridad máxima. Los delitos contra la vida han aumentado un 126%, los relacionados con </w:t>
      </w:r>
      <w:r>
        <w:rPr>
          <w:color w:val="1A1A2E"/>
        </w:rPr>
        <w:lastRenderedPageBreak/>
        <w:t>drogas un 440%, se registran 608 casos de violencia intrafamiliar anuales y el 54,41% de los NNA se siente inseguro en su entorno. Esta tensión no es independiente de las demás: la inseguridad se alimenta de la crisis de identidad (Tensión 3), porque comunidades sin sentido de pertenencia carecen de los mecanismos informales de control social; y se profundiza por la descoordinación institucional (Tensión 4), porque la DSP, Carabineros, la PDI y el municipio operan sin protocolos integrados de acción preventiva.</w:t>
      </w:r>
    </w:p>
    <w:p w14:paraId="32498D0A" w14:textId="77777777" w:rsidR="00096D74" w:rsidRDefault="00000000">
      <w:pPr>
        <w:spacing w:after="120" w:line="276" w:lineRule="auto"/>
        <w:ind w:left="431"/>
        <w:jc w:val="both"/>
      </w:pPr>
      <w:r>
        <w:rPr>
          <w:b/>
          <w:bCs/>
          <w:color w:val="1A1A2E"/>
        </w:rPr>
        <w:t xml:space="preserve">2. </w:t>
      </w:r>
      <w:r>
        <w:rPr>
          <w:color w:val="1A1A2E"/>
        </w:rPr>
        <w:t>Brecha urbano-rural persistente: El 82% de los funcionarios municipales reconoce esta brecha. La inversión en el BIP refleja una asimetría de $987 millones para el área urbana contra apenas $113 millones para el área rural, una proporción de 8,7 a 1 que no se justifica por la distribución demográfica (el 35% de la población habita en sectores rurales). Rosario, con 12.000 habitantes, opera sin la infraestructura que su tamaño demanda. Esta brecha agrava la vulnerabilidad social (Tensión 5) al concentrar la pobreza multidimensional en los sectores rurales, y alimenta la inseguridad (Tensión 1) al dejar territorios extensos sin cobertura policial, iluminación ni presencia institucional.</w:t>
      </w:r>
    </w:p>
    <w:p w14:paraId="32498D0B" w14:textId="77777777" w:rsidR="00096D74" w:rsidRDefault="00000000">
      <w:pPr>
        <w:spacing w:after="120" w:line="276" w:lineRule="auto"/>
        <w:ind w:left="431"/>
        <w:jc w:val="both"/>
      </w:pPr>
      <w:r>
        <w:rPr>
          <w:b/>
          <w:bCs/>
          <w:color w:val="1A1A2E"/>
        </w:rPr>
        <w:t xml:space="preserve">3. </w:t>
      </w:r>
      <w:r>
        <w:rPr>
          <w:color w:val="1A1A2E"/>
        </w:rPr>
        <w:t>Crisis de identidad cultural: El 66% de los encuestados percibe una identidad comunal débil, y el dato más alarmante es que el 0% de los NNA manifestó una visión positiva de su comuna. La inversión en cultura representa apenas el 0,52% del presupuesto municipal, reflejando un abandono sistemático de la dimensión identitaria. Esta crisis no es trivial: la literatura sobre desarrollo territorial (</w:t>
      </w:r>
      <w:proofErr w:type="spellStart"/>
      <w:r>
        <w:rPr>
          <w:color w:val="1A1A2E"/>
        </w:rPr>
        <w:t>Boisier</w:t>
      </w:r>
      <w:proofErr w:type="spellEnd"/>
      <w:r>
        <w:rPr>
          <w:color w:val="1A1A2E"/>
        </w:rPr>
        <w:t>, 2003) demuestra que las comunas sin identidad cohesiva enfrentan mayor emigración juvenil, menor participación cívica y debilidad en la atracción de inversiones. Cuando los propios jóvenes no ven nada positivo en su territorio, el futuro del capital humano local está comprometido.</w:t>
      </w:r>
    </w:p>
    <w:p w14:paraId="32498D0C" w14:textId="77777777" w:rsidR="00096D74" w:rsidRDefault="00000000">
      <w:pPr>
        <w:spacing w:after="120" w:line="276" w:lineRule="auto"/>
        <w:ind w:left="431"/>
        <w:jc w:val="both"/>
      </w:pPr>
      <w:r>
        <w:rPr>
          <w:b/>
          <w:bCs/>
          <w:color w:val="1A1A2E"/>
        </w:rPr>
        <w:t xml:space="preserve">4. </w:t>
      </w:r>
      <w:r>
        <w:rPr>
          <w:color w:val="1A1A2E"/>
        </w:rPr>
        <w:t xml:space="preserve">Descoordinación institucional crítica: El PLADECO anterior alcanzó apenas un 40% de cumplimiento. La coordinación interdepartamental fue calificada como “nula” por la propia </w:t>
      </w:r>
      <w:proofErr w:type="gramStart"/>
      <w:r>
        <w:rPr>
          <w:color w:val="1A1A2E"/>
        </w:rPr>
        <w:t>Secretaria</w:t>
      </w:r>
      <w:proofErr w:type="gramEnd"/>
      <w:r>
        <w:rPr>
          <w:color w:val="1A1A2E"/>
        </w:rPr>
        <w:t xml:space="preserve"> Municipal. El gasto en personal absorbe el 74,0% del presupuesto, mientras la ejecución presupuestaria de inversión apenas alcanza el 32,2%. La Contraloría identificó fraccionamiento de contratos en 3 auditorías, honorarios encubiertos durante el periodo 2010-2021 y rendiciones deficientes durante 8 años. Esta disfunción institucional no es solo un problema administrativo: es la condición habilitante de todas las demás tensiones, porque un municipio que no se coordina internamente no puede coordinar respuestas a la inseguridad, cerrar la brecha rural ni ejecutar políticas culturales.</w:t>
      </w:r>
    </w:p>
    <w:p w14:paraId="32498D0D" w14:textId="77777777" w:rsidR="00096D74" w:rsidRDefault="00000000">
      <w:pPr>
        <w:spacing w:after="120" w:line="276" w:lineRule="auto"/>
        <w:ind w:left="431"/>
        <w:jc w:val="both"/>
      </w:pPr>
      <w:r>
        <w:rPr>
          <w:b/>
          <w:bCs/>
          <w:color w:val="1A1A2E"/>
        </w:rPr>
        <w:t xml:space="preserve">5. </w:t>
      </w:r>
      <w:r>
        <w:rPr>
          <w:color w:val="1A1A2E"/>
        </w:rPr>
        <w:t>Vulnerabilidad social concentrada: El 62,5% de la población pertenece a FONASA tramos A y B. La comuna tiene 8.796 adultos mayores con un índice de envejecimiento de 72,1 (escalando desde 53,8 en una década), y 7.256 personas en situación de discapacidad (12,1% de la población), configurando un escenario de alta demanda de servicios sociales. La correlación r=0,831 entre la dimensión socioeconómica y el BHT confirma que la vulnerabilidad económica es el predictor más potente del deterioro integral. Esta tensión se agrava con la brecha urbano-rural (Tensión 2), ya que los adultos mayores rurales enfrentan doble exclusión: por edad y por distancia geográfica de los servicios.</w:t>
      </w:r>
    </w:p>
    <w:p w14:paraId="32498D0E" w14:textId="77777777" w:rsidR="00096D74" w:rsidRDefault="00000000">
      <w:pPr>
        <w:spacing w:after="120" w:line="276" w:lineRule="auto"/>
        <w:jc w:val="both"/>
      </w:pPr>
      <w:r>
        <w:rPr>
          <w:color w:val="1A1A2E"/>
        </w:rPr>
        <w:t xml:space="preserve">Estas cinco tensiones configuran un sistema de retroalimentación negativa: la inseguridad ahuyenta la inversión y agrava la crisis económica; la descoordinación institucional impide respuestas efectivas a todas las demás; la brecha urbano-rural concentra la vulnerabilidad en los </w:t>
      </w:r>
      <w:r>
        <w:rPr>
          <w:color w:val="1A1A2E"/>
        </w:rPr>
        <w:lastRenderedPageBreak/>
        <w:t xml:space="preserve">sectores más alejados del poder político; y la crisis de identidad erosiona la cohesión social necesaria para cualquier proyecto colectivo. El PLADECO 2025–2035 no aborda estas tensiones de manera aislada: cada eje estratégico ataca múltiples tensiones simultáneamente, y el Análisis de Red Social (SNA) identificó 12 dependencias </w:t>
      </w:r>
      <w:proofErr w:type="spellStart"/>
      <w:r>
        <w:rPr>
          <w:color w:val="1A1A2E"/>
        </w:rPr>
        <w:t>inter-eje</w:t>
      </w:r>
      <w:proofErr w:type="spellEnd"/>
      <w:r>
        <w:rPr>
          <w:color w:val="1A1A2E"/>
        </w:rPr>
        <w:t xml:space="preserve"> que aseguran la coherencia sistémica del plan.</w:t>
      </w:r>
    </w:p>
    <w:p w14:paraId="32498D0F" w14:textId="77777777" w:rsidR="00096D74" w:rsidRDefault="00000000">
      <w:pPr>
        <w:spacing w:before="240" w:after="160" w:line="276" w:lineRule="auto"/>
      </w:pPr>
      <w:r>
        <w:rPr>
          <w:b/>
          <w:bCs/>
          <w:color w:val="065A82"/>
          <w:sz w:val="28"/>
          <w:szCs w:val="28"/>
        </w:rPr>
        <w:t>Convergencia Político-Técnica: El Significado del 97,9%</w:t>
      </w:r>
    </w:p>
    <w:p w14:paraId="32498D10" w14:textId="77777777" w:rsidR="00096D74" w:rsidRDefault="00000000">
      <w:pPr>
        <w:spacing w:after="120" w:line="276" w:lineRule="auto"/>
        <w:jc w:val="both"/>
      </w:pPr>
      <w:r>
        <w:rPr>
          <w:color w:val="1A1A2E"/>
        </w:rPr>
        <w:t>El análisis de convergencia entre las fuentes diagnósticas, los instrumentos de política pública y el Programa de Gobierno del alcalde Enrique Del Barrio arroja un índice de coincidencia del 97,9%. Esta cifra, lejos de ser una casualidad, tiene un significado político y técnico profundo. En lo político, confirma que el mandato electoral está alineado con las necesidades objetivas del territorio: lo que la ciudadanía votó coincide con lo que los datos diagnósticos revelan. En lo técnico, significa que las 200 políticas del PLADECO no son concesiones a la coyuntura electoral sino respuestas basadas en evidencia a problemas reales y verificables.</w:t>
      </w:r>
    </w:p>
    <w:p w14:paraId="32498D11" w14:textId="77777777" w:rsidR="00096D74" w:rsidRDefault="00000000">
      <w:pPr>
        <w:spacing w:after="120" w:line="276" w:lineRule="auto"/>
        <w:jc w:val="both"/>
      </w:pPr>
      <w:r>
        <w:rPr>
          <w:color w:val="1A1A2E"/>
        </w:rPr>
        <w:t>Esta convergencia otorga al Plan una doble legitimidad: la legitimidad democrática del mandato ciudadano y la legitimidad técnica del diagnóstico basado en evidencia. Ambas son necesarias para la implementación: sin legitimidad política, el Plan carece de fuerza ejecutiva; sin legitimidad técnica, las acciones podrían ser arbitrarias o ineficaces. El 2,1% de no-convergencia corresponde a acciones de gestión interna que el diagnóstico identificó como necesarias pero que no formaban parte del discurso público —como la implementación de un sistema ERP o la creación de protocolos anticorrupción—, lo que confirma que el Plan se atreve a ir más allá de lo políticamente visible.</w:t>
      </w:r>
    </w:p>
    <w:p w14:paraId="32498D12" w14:textId="77777777" w:rsidR="00096D74" w:rsidRDefault="00000000">
      <w:pPr>
        <w:spacing w:after="120" w:line="276" w:lineRule="auto"/>
        <w:jc w:val="both"/>
      </w:pPr>
      <w:r>
        <w:rPr>
          <w:color w:val="1A1A2E"/>
        </w:rPr>
        <w:t xml:space="preserve">La Ficha Resumen sintetiza en una sola vista los elementos constitutivos del PLADECO. Su diseño responde a una necesidad práctica: cuando el </w:t>
      </w:r>
      <w:proofErr w:type="gramStart"/>
      <w:r>
        <w:rPr>
          <w:color w:val="1A1A2E"/>
        </w:rPr>
        <w:t>Alcalde</w:t>
      </w:r>
      <w:proofErr w:type="gramEnd"/>
      <w:r>
        <w:rPr>
          <w:color w:val="1A1A2E"/>
        </w:rPr>
        <w:t xml:space="preserve"> presenta ante el GORE, cuando SECPLAN postula un proyecto FNDR, o cuando el COSOC evalúa el avance del plan, se requiere un instrumento visual que comunique la arquitectura completa en menos de un minuto. La ficha articula tres dimensiones: los datos comunales que fundamentan el diagnóstico (65.786 habitantes, 4.829 empresas, IDHC 0,51→0,74), la estructura estratégica que organiza la respuesta (6 ejes, 32 objetivos, 200 políticas, $46.000M de inversión), y las 5 brechas críticas que definen las prioridades de acción inmediata.</w:t>
      </w:r>
    </w:p>
    <w:p w14:paraId="32498D13" w14:textId="77777777" w:rsidR="00096D74" w:rsidRDefault="00000000">
      <w:pPr>
        <w:spacing w:before="120" w:after="60"/>
        <w:jc w:val="center"/>
      </w:pPr>
      <w:r>
        <w:rPr>
          <w:noProof/>
        </w:rPr>
        <w:lastRenderedPageBreak/>
        <w:drawing>
          <wp:inline distT="0" distB="0" distL="0" distR="0" wp14:anchorId="32498D94" wp14:editId="32498D95">
            <wp:extent cx="5334000"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0"/>
                    </a:xfrm>
                    <a:prstGeom prst="rect">
                      <a:avLst/>
                    </a:prstGeom>
                  </pic:spPr>
                </pic:pic>
              </a:graphicData>
            </a:graphic>
          </wp:inline>
        </w:drawing>
      </w:r>
    </w:p>
    <w:p w14:paraId="32498D14" w14:textId="77777777" w:rsidR="00096D74" w:rsidRDefault="00000000">
      <w:pPr>
        <w:spacing w:before="120" w:after="60"/>
        <w:jc w:val="center"/>
      </w:pPr>
      <w:r>
        <w:rPr>
          <w:i/>
          <w:iCs/>
          <w:color w:val="64748B"/>
          <w:sz w:val="18"/>
          <w:szCs w:val="18"/>
        </w:rPr>
        <w:t>Figura 1. Ficha Resumen del PLADECO Rengo 2025–2035</w:t>
      </w:r>
    </w:p>
    <w:p w14:paraId="32498D15" w14:textId="77777777" w:rsidR="00096D74" w:rsidRDefault="00000000">
      <w:pPr>
        <w:spacing w:after="120" w:line="276" w:lineRule="auto"/>
        <w:jc w:val="both"/>
      </w:pPr>
      <w:r>
        <w:rPr>
          <w:color w:val="1A1A2E"/>
        </w:rPr>
        <w:t>La ficha permite verificar la proporcionalidad del plan: el Eje 1 concentra 54 acciones (27%) porque integra tres áreas convergentes — cultura, deportes y bienestar social — que el diagnóstico reveló como las más demandadas por la ciudadanía (seguridad 63%, salud 46%, deporte 41% según la encuesta n=119). El Eje 6, con 44 acciones (22%), refleja la decisión estratégica de priorizar la reforma institucional como condición habilitante: sin modernización de la gestión, los otros cinco ejes no pueden ejecutarse. Esta distribución no es arbitraria — es la traducción presupuestaria del diagnóstico.</w:t>
      </w:r>
    </w:p>
    <w:p w14:paraId="32498D16" w14:textId="77777777" w:rsidR="00096D74" w:rsidRDefault="00000000">
      <w:pPr>
        <w:spacing w:before="240" w:after="160" w:line="276" w:lineRule="auto"/>
      </w:pPr>
      <w:r>
        <w:rPr>
          <w:b/>
          <w:color w:val="065A82"/>
          <w:sz w:val="28"/>
          <w:szCs w:val="28"/>
        </w:rPr>
        <w:t>Arquitectura Estratégica: El Flujo del PLADECO</w:t>
      </w:r>
    </w:p>
    <w:p w14:paraId="32498D17" w14:textId="77777777" w:rsidR="00096D74" w:rsidRDefault="00000000">
      <w:pPr>
        <w:spacing w:after="120" w:line="276" w:lineRule="auto"/>
        <w:jc w:val="both"/>
      </w:pPr>
      <w:r>
        <w:rPr>
          <w:color w:val="1A1A2E"/>
        </w:rPr>
        <w:t xml:space="preserve">Antes de abordar cada eje en detalle, es fundamental comprender cómo se articulan los distintos niveles de planificación. El siguiente diagrama de Sankey visualiza el flujo completo del PLADECO, desde los lineamientos regionales hasta los plazos de implementación. Esta representación no es decorativa: es la prueba visual de la coherencia de política (policy </w:t>
      </w:r>
      <w:proofErr w:type="spellStart"/>
      <w:r>
        <w:rPr>
          <w:color w:val="1A1A2E"/>
        </w:rPr>
        <w:t>coherence</w:t>
      </w:r>
      <w:proofErr w:type="spellEnd"/>
      <w:r>
        <w:rPr>
          <w:color w:val="1A1A2E"/>
        </w:rPr>
        <w:t>) que el Art. 7° de la Ley 18.695 exige al establecer que el plan comunal debe ser concordante con la ERD y las políticas nacionales.</w:t>
      </w:r>
    </w:p>
    <w:p w14:paraId="32498D18" w14:textId="77777777" w:rsidR="00096D74" w:rsidRDefault="00000000">
      <w:pPr>
        <w:spacing w:after="120" w:line="276" w:lineRule="auto"/>
        <w:jc w:val="both"/>
      </w:pPr>
      <w:r>
        <w:rPr>
          <w:color w:val="1A1A2E"/>
        </w:rPr>
        <w:t xml:space="preserve">El diagrama se lee de izquierda a derecha en cuatro niveles. El primer nivel muestra los 7 lineamientos de la Estrategia Regional de Desarrollo O’Higgins 2024-2036 — cinco temáticos (Desarrollo Humano, Economía Diversificada, Territorio Conectado, Seguridad Ciudadana, Sustentabilidad Ambiental) y dos transversales (Modernización de la Gestión Pública e Igualdad de Género). Cada lineamiento se traduce en uno o más ejes del PLADECO a través de flujos cuyo grosor es proporcional al número de acciones. El flujo más grueso conecta L1 (Desarrollo Humano) con el Eje 1 (51 acciones), reflejando la prioridad social del plan. El segundo flujo más </w:t>
      </w:r>
      <w:r>
        <w:rPr>
          <w:color w:val="1A1A2E"/>
        </w:rPr>
        <w:lastRenderedPageBreak/>
        <w:t>grueso conecta T1 (Modernización) con el Eje 6 (44 acciones), confirmando que la reforma institucional es la segunda prioridad estratégica.</w:t>
      </w:r>
    </w:p>
    <w:p w14:paraId="32498D19" w14:textId="77777777" w:rsidR="00096D74" w:rsidRDefault="00000000">
      <w:pPr>
        <w:spacing w:after="120" w:line="276" w:lineRule="auto"/>
        <w:jc w:val="both"/>
      </w:pPr>
      <w:r>
        <w:rPr>
          <w:color w:val="1A1A2E"/>
        </w:rPr>
        <w:t>El segundo nivel — los 6 ejes — funciona como nodo articulador: recibe mandatos regionales y los distribuye hacia los 32 objetivos estratégicos del tercer nivel. Aquí se observa un patrón revelador: los ejes con más objetivos no son necesariamente los que tienen más acciones por objetivo. El Eje 4 (Infraestructura) tiene 6 objetivos con distribución equilibrada (2-3 acciones cada uno), mientras el Eje 6 tiene alta concentración en OE 6.6 (Cuentas Públicas, 9 acciones) y OE 6.2 (RRHH, 6 acciones). Esta concentración no es un defecto — refleja que la rendición de cuentas y la gestión de personas son los dos cuellos de botella institucionales que el diagnóstico identificó como críticos.</w:t>
      </w:r>
    </w:p>
    <w:p w14:paraId="32498D1A" w14:textId="77777777" w:rsidR="00096D74" w:rsidRDefault="00000000">
      <w:pPr>
        <w:spacing w:after="120" w:line="276" w:lineRule="auto"/>
        <w:jc w:val="both"/>
      </w:pPr>
      <w:r>
        <w:rPr>
          <w:color w:val="1A1A2E"/>
        </w:rPr>
        <w:t xml:space="preserve">El cuarto nivel muestra la distribución temporal: Corto Plazo (2026-2027) recibe los flujos más gruesos porque la estrategia prioriza resultados visibles tempranos para mantener legitimidad política. Sin embargo, el flujo hacia Largo Plazo (2032-2035) no es residual — contiene las transformaciones estructurales (nuevo PRC, Parque Huilquio, transición agrícola sustentable) que requieren maduración institucional. Esta secuencia sigue el principio de la </w:t>
      </w:r>
      <w:proofErr w:type="spellStart"/>
      <w:r>
        <w:rPr>
          <w:color w:val="1A1A2E"/>
        </w:rPr>
        <w:t>GpRD</w:t>
      </w:r>
      <w:proofErr w:type="spellEnd"/>
      <w:r>
        <w:rPr>
          <w:color w:val="1A1A2E"/>
        </w:rPr>
        <w:t xml:space="preserve"> (Gestión por Resultados para el Desarrollo): </w:t>
      </w:r>
      <w:proofErr w:type="spellStart"/>
      <w:r>
        <w:rPr>
          <w:color w:val="1A1A2E"/>
        </w:rPr>
        <w:t>quick</w:t>
      </w:r>
      <w:proofErr w:type="spellEnd"/>
      <w:r>
        <w:rPr>
          <w:color w:val="1A1A2E"/>
        </w:rPr>
        <w:t xml:space="preserve"> </w:t>
      </w:r>
      <w:proofErr w:type="spellStart"/>
      <w:r>
        <w:rPr>
          <w:color w:val="1A1A2E"/>
        </w:rPr>
        <w:t>wins</w:t>
      </w:r>
      <w:proofErr w:type="spellEnd"/>
      <w:r>
        <w:rPr>
          <w:color w:val="1A1A2E"/>
        </w:rPr>
        <w:t xml:space="preserve"> primero, reformas profundas después.</w:t>
      </w:r>
    </w:p>
    <w:p w14:paraId="32498D1B" w14:textId="77777777" w:rsidR="00096D74" w:rsidRDefault="00096D74"/>
    <w:p w14:paraId="32498D1C" w14:textId="77777777" w:rsidR="00096D74" w:rsidRDefault="00000000">
      <w:pPr>
        <w:spacing w:before="120" w:after="60"/>
        <w:jc w:val="center"/>
      </w:pPr>
      <w:r>
        <w:rPr>
          <w:noProof/>
        </w:rPr>
        <w:drawing>
          <wp:inline distT="0" distB="0" distL="0" distR="0" wp14:anchorId="32498D96" wp14:editId="32498D97">
            <wp:extent cx="5524500" cy="3810000"/>
            <wp:effectExtent l="0" t="0" r="0" b="0"/>
            <wp:docPr id="1615555043" name="Imagen 161555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14:paraId="32498D1D" w14:textId="77777777" w:rsidR="00096D74" w:rsidRDefault="00000000">
      <w:pPr>
        <w:spacing w:before="120" w:after="60"/>
        <w:jc w:val="center"/>
      </w:pPr>
      <w:r>
        <w:rPr>
          <w:i/>
          <w:iCs/>
          <w:color w:val="64748B"/>
          <w:sz w:val="18"/>
          <w:szCs w:val="18"/>
        </w:rPr>
        <w:t>Figura 2. Diagrama Sankey — Flujo Estratégico del PLADECO Rengo 2025–2035</w:t>
      </w:r>
    </w:p>
    <w:p w14:paraId="32498D1E" w14:textId="77777777" w:rsidR="00096D74" w:rsidRDefault="00000000">
      <w:pPr>
        <w:spacing w:after="120" w:line="276" w:lineRule="auto"/>
        <w:jc w:val="both"/>
      </w:pPr>
      <w:r>
        <w:rPr>
          <w:color w:val="1A1A2E"/>
        </w:rPr>
        <w:t xml:space="preserve">La lectura cruzada del diagrama revela tres hallazgos estratégicos. Primero, la coherencia vertical: cada acción municipal se remonta a un lineamiento regional, lo que garantiza elegibilidad para financiamiento FNDR — condición crítica cuando la tasa de materialización del BIP cayó de 49,4% a 30,7%. Segundo, la intersectorialidad: los flujos cruzados (L1 alimentando Eje 1 Y T2 </w:t>
      </w:r>
      <w:r>
        <w:rPr>
          <w:color w:val="1A1A2E"/>
        </w:rPr>
        <w:lastRenderedPageBreak/>
        <w:t>cruzando hacia Eje 3) demuestran que el plan no opera en silos sectoriales, respondiendo al hallazgo etnográfico de que el 82% de los funcionarios reconoce la brecha territorial como problema que trasciende cualquier dirección individual. Tercero, la proporcionalidad: si los flujos fueran uniformes — misma cantidad de acciones por eje — significaría que el plan ignora el diagnóstico. La asimetría visible en el Sankey es, paradójicamente, la evidencia de planificación basada en evidencia.</w:t>
      </w:r>
    </w:p>
    <w:p w14:paraId="32498D1F"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21" w14:textId="77777777">
        <w:tblPrEx>
          <w:tblCellMar>
            <w:top w:w="0" w:type="dxa"/>
            <w:bottom w:w="0" w:type="dxa"/>
          </w:tblCellMar>
        </w:tblPrEx>
        <w:tc>
          <w:tcPr>
            <w:tcW w:w="5000" w:type="pct"/>
            <w:shd w:val="clear" w:color="auto" w:fill="6D2E46"/>
            <w:tcMar>
              <w:top w:w="120" w:type="dxa"/>
              <w:left w:w="200" w:type="dxa"/>
              <w:bottom w:w="120" w:type="dxa"/>
              <w:right w:w="200" w:type="dxa"/>
            </w:tcMar>
            <w:vAlign w:val="center"/>
          </w:tcPr>
          <w:p w14:paraId="32498D20" w14:textId="77777777" w:rsidR="00096D74" w:rsidRDefault="00000000">
            <w:pPr>
              <w:spacing w:before="40" w:after="40"/>
            </w:pPr>
            <w:r>
              <w:rPr>
                <w:b/>
                <w:bCs/>
                <w:color w:val="FFFFFF"/>
                <w:sz w:val="28"/>
                <w:szCs w:val="32"/>
              </w:rPr>
              <w:t xml:space="preserve">EJE 1  |  </w:t>
            </w:r>
            <w:r>
              <w:rPr>
                <w:b/>
                <w:bCs/>
                <w:color w:val="FFFFFF"/>
                <w:sz w:val="28"/>
                <w:szCs w:val="28"/>
              </w:rPr>
              <w:t>DESARROLLO HUMANO, SOCIAL Y COMUNITARIO</w:t>
            </w:r>
            <w:r>
              <w:rPr>
                <w:b/>
                <w:color w:val="FFFFFF"/>
                <w:sz w:val="28"/>
                <w:szCs w:val="24"/>
              </w:rPr>
              <w:t xml:space="preserve">   —   54 acciones</w:t>
            </w:r>
          </w:p>
        </w:tc>
      </w:tr>
    </w:tbl>
    <w:p w14:paraId="32498D22" w14:textId="77777777" w:rsidR="00096D74" w:rsidRDefault="00000000">
      <w:pPr>
        <w:spacing w:before="240" w:after="160" w:line="276" w:lineRule="auto"/>
      </w:pPr>
      <w:r>
        <w:rPr>
          <w:b/>
          <w:bCs/>
          <w:color w:val="065A82"/>
          <w:sz w:val="28"/>
          <w:szCs w:val="28"/>
        </w:rPr>
        <w:t>El diagnóstico: una comuna con tejido social activo pero sobrecargado</w:t>
      </w:r>
    </w:p>
    <w:p w14:paraId="32498D23" w14:textId="77777777" w:rsidR="00096D74" w:rsidRDefault="00000000">
      <w:pPr>
        <w:spacing w:after="120" w:line="276" w:lineRule="auto"/>
        <w:jc w:val="both"/>
      </w:pPr>
      <w:r>
        <w:rPr>
          <w:color w:val="1A1A2E"/>
        </w:rPr>
        <w:t>Rengo cuenta con 330 organizaciones comunitarias activas, un activo social extraordinario que, sin embargo, opera bajo condiciones de sobrecarga permanente. El desglose de estas organizaciones revela la estructura social de la comuna: 109 comités de vivienda (33,0%), 92 juntas de vecinos (27,9%), 60 organizaciones socioculturales (18,2%), 54 clubes deportivos (16,4%), 8 agrupaciones de adultos mayores (2,4%) y 7 Asociaciones de Agua Potable Rural (2,1%). La predominancia de comités de vivienda no es casual: refleja el déficit habitacional de 1.401 viviendas que empuja a las familias a organizarse en torno a la demanda más básica.</w:t>
      </w:r>
    </w:p>
    <w:p w14:paraId="32498D24" w14:textId="77777777" w:rsidR="00096D74" w:rsidRDefault="00000000">
      <w:pPr>
        <w:pBdr>
          <w:left w:val="single" w:sz="24" w:space="8" w:color="0D9488"/>
        </w:pBdr>
        <w:spacing w:before="120" w:after="120" w:line="276" w:lineRule="auto"/>
        <w:ind w:left="720" w:right="720"/>
        <w:jc w:val="both"/>
      </w:pPr>
      <w:r>
        <w:rPr>
          <w:i/>
          <w:iCs/>
          <w:color w:val="4B5563"/>
          <w:sz w:val="20"/>
        </w:rPr>
        <w:t>“Quieren ser tomados en cuenta; dicen que al no tener contactos dentro de la municipalidad no los ayudan — Junta de Vecinos Los Abedules”</w:t>
      </w:r>
    </w:p>
    <w:p w14:paraId="32498D25" w14:textId="77777777" w:rsidR="00096D74" w:rsidRDefault="00000000">
      <w:pPr>
        <w:spacing w:after="120" w:line="276" w:lineRule="auto"/>
        <w:jc w:val="both"/>
      </w:pPr>
      <w:r>
        <w:rPr>
          <w:color w:val="1A1A2E"/>
        </w:rPr>
        <w:t>Este testimonio, recogido en la etnografía institucional, cristaliza una percepción extendida: la relación entre el municipio y las organizaciones comunitarias está mediada por redes informales de acceso, no por protocolos institucionales de participación. Los vecinos perciben que la gestión de sus requerimientos depende de “tener contactos” más que de la pertinencia de sus demandas. Esta percepción, compartida por múltiples dirigentes entrevistados, erosiona la confianza institucional y explica en parte por qué el 66% de la ciudadanía percibe una identidad comunal débil: cuando la relación con el Estado local se percibe como discrecional, la comunidad se fragmenta.</w:t>
      </w:r>
    </w:p>
    <w:p w14:paraId="32498D26" w14:textId="77777777" w:rsidR="00096D74" w:rsidRDefault="00000000">
      <w:pPr>
        <w:spacing w:after="120" w:line="276" w:lineRule="auto"/>
        <w:jc w:val="both"/>
      </w:pPr>
      <w:r>
        <w:rPr>
          <w:color w:val="1A1A2E"/>
        </w:rPr>
        <w:t>La red de atención primaria de salud atiende a 63.240 beneficiarios, con un total de 91.606 consultas APS anuales distribuidas en 3 CESFAM, un SAR, un SAPU y postas rurales. El Programa de Salud Cardiovascular controla a 10.528 personas. El índice de envejecimiento ha escalado de 53,8 a 72,1 en la última década, presionando una red de cuidados que recién en 2022 inauguró su primer ELEAM (Establecimiento de Larga Estadía para Adultos Mayores). La Farmacia Popular, operativa desde 2018, ha aliviado parcialmente la carga farmacéutica, pero el Hospital de Rengo —cuya construcción demanda una inversión de $20.000 millones— sigue en proceso, representando la mayor apuesta de infraestructura sanitaria de la región.</w:t>
      </w:r>
    </w:p>
    <w:p w14:paraId="32498D27" w14:textId="77777777" w:rsidR="00096D74" w:rsidRDefault="00000000">
      <w:pPr>
        <w:spacing w:after="120" w:line="276" w:lineRule="auto"/>
        <w:jc w:val="both"/>
      </w:pPr>
      <w:r>
        <w:rPr>
          <w:color w:val="1A1A2E"/>
        </w:rPr>
        <w:t>Las áreas verdes de la comuna alcanzan apenas 1,96 m² por habitante, muy por debajo del estándar OMS de 9 m² y de la media nacional de 4,1 m². Esta carencia impacta directamente en la salud mental, la actividad física y las posibilidades de recreación de la población. Existe una conexión directa entre este déficit y la crisis de seguridad (Eje 5): los espacios públicos deteriorados o inexistentes no solo privan de recreación sino que generan condiciones propicias para la delincuencia. Del mismo modo, la brecha urbano-rural se manifiesta con particular crudeza en el acceso a servicios de salud, donde las localidades rurales dependen de postas con equipamiento insuficiente y horarios limitados.</w:t>
      </w:r>
    </w:p>
    <w:p w14:paraId="32498D28" w14:textId="77777777" w:rsidR="00096D74" w:rsidRDefault="00000000">
      <w:pPr>
        <w:spacing w:after="120" w:line="276" w:lineRule="auto"/>
        <w:jc w:val="both"/>
      </w:pPr>
      <w:r>
        <w:rPr>
          <w:color w:val="1A1A2E"/>
        </w:rPr>
        <w:t xml:space="preserve">La vulnerabilidad social se concentra en grupos específicos que requieren atención diferenciada: 8.796 adultos mayores, 7.256 personas en situación de discapacidad, y un porcentaje </w:t>
      </w:r>
      <w:r>
        <w:rPr>
          <w:color w:val="1A1A2E"/>
        </w:rPr>
        <w:lastRenderedPageBreak/>
        <w:t>significativo de hogares monoparentales con jefatura femenina. El 62,5% de la población en FONASA tramos A y B refleja una dependencia estructural del sistema público de salud que demanda no solo más recursos, sino una reingeniería completa del modelo de atención. La intersección entre envejecimiento, discapacidad y ruralidad configura una triple vulnerabilidad que el diagnóstico cuantificó con precisión y que las acciones del Eje 1 abordan de manera diferenciada.</w:t>
      </w:r>
    </w:p>
    <w:p w14:paraId="32498D29" w14:textId="77777777" w:rsidR="00096D74" w:rsidRDefault="00000000">
      <w:pPr>
        <w:spacing w:before="240" w:after="160" w:line="276" w:lineRule="auto"/>
      </w:pPr>
      <w:r>
        <w:rPr>
          <w:b/>
          <w:bCs/>
          <w:color w:val="065A82"/>
          <w:sz w:val="28"/>
          <w:szCs w:val="28"/>
        </w:rPr>
        <w:t>La respuesta estratégica: 54 acciones articuladas</w:t>
      </w:r>
    </w:p>
    <w:p w14:paraId="32498D2A" w14:textId="77777777" w:rsidR="00096D74" w:rsidRDefault="00000000">
      <w:pPr>
        <w:spacing w:after="120" w:line="276" w:lineRule="auto"/>
        <w:jc w:val="both"/>
      </w:pPr>
      <w:r>
        <w:rPr>
          <w:color w:val="1A1A2E"/>
        </w:rPr>
        <w:t>El Eje 1 despliega el mayor número de acciones del Plan, reconociendo que el desarrollo humano constituye el pilar fundamental de toda transformación territorial. Entre las iniciativas más emblemáticas se encuentran los Parques Elige Vivir Sano, seleccionados sobre otras alternativas de equipamiento deportivo por tres razones estratégicas: (i) el modelo cuenta con cofinanciamiento MINDEP que reduce la carga presupuestaria municipal; (ii) el diseño es replicable y escalable, permitiendo instalaciones en múltiples localidades; y (iii) el equipamiento está pensado para atender simultáneamente a adultos mayores y personas con discapacidad, los dos grupos de mayor vulnerabilidad identificados en el diagnóstico.</w:t>
      </w:r>
    </w:p>
    <w:p w14:paraId="32498D2B" w14:textId="77777777" w:rsidR="00096D74" w:rsidRDefault="00000000">
      <w:pPr>
        <w:spacing w:after="120" w:line="276" w:lineRule="auto"/>
        <w:jc w:val="both"/>
      </w:pPr>
      <w:r>
        <w:rPr>
          <w:color w:val="1A1A2E"/>
        </w:rPr>
        <w:t>El Teatro Municipal se reposiciona como proyecto estratégico de infraestructura cultural emblemático. Su inclusión como prioridad no es arbitraria: el análisis del BIP reveló 10 registros asociados a este proyecto, acumulados durante 8 años sin materialización efectiva. El Teatro es, en este sentido, el símbolo más visible de la falla en la gestión del pipeline de proyectos municipales: un proyecto que la comunidad ha demandado recurrentemente, que ha consumido recursos en formulaciones y diseños, pero que nunca ha cruzado el umbral de la ejecución. Su priorización en este PLADECO es también una señal política: el compromiso de romper el ciclo de formulación sin ejecución.</w:t>
      </w:r>
    </w:p>
    <w:p w14:paraId="32498D2C" w14:textId="77777777" w:rsidR="00096D74" w:rsidRDefault="00000000">
      <w:pPr>
        <w:spacing w:after="120" w:line="276" w:lineRule="auto"/>
        <w:jc w:val="both"/>
      </w:pPr>
      <w:r>
        <w:rPr>
          <w:color w:val="1A1A2E"/>
        </w:rPr>
        <w:t>La marca “Rengo Origen” busca reconstruir una identidad cultural que el 66% de la población percibe como débil, articulando patrimonio agrícola, gastronomía local y expresiones artísticas en una narrativa común. La Red de Cuidados “Rengo Cuida” estructura un sistema integral de apoyo para adultos mayores, personas en situación de discapacidad y cuidadores, incluyendo la creación de nuevos Centros de Día que descentralicen la atención hacia las localidades rurales. Esta descentralización es una respuesta directa a la Tensión 2 (brecha urbano-rural).</w:t>
      </w:r>
    </w:p>
    <w:p w14:paraId="32498D2D" w14:textId="77777777" w:rsidR="00096D74" w:rsidRDefault="00000000">
      <w:pPr>
        <w:spacing w:before="200" w:after="120" w:line="276" w:lineRule="auto"/>
      </w:pPr>
      <w:r>
        <w:rPr>
          <w:b/>
          <w:bCs/>
          <w:color w:val="333333"/>
          <w:sz w:val="24"/>
          <w:szCs w:val="24"/>
        </w:rPr>
        <w:t>Lógica de implementación</w:t>
      </w:r>
    </w:p>
    <w:p w14:paraId="32498D2E" w14:textId="77777777" w:rsidR="00096D74" w:rsidRDefault="00000000">
      <w:pPr>
        <w:spacing w:after="120" w:line="276" w:lineRule="auto"/>
        <w:jc w:val="both"/>
      </w:pPr>
      <w:r>
        <w:rPr>
          <w:color w:val="1A1A2E"/>
        </w:rPr>
        <w:t>La secuencia de implementación del Eje 1 obedece a una lógica de condiciones habilitantes: en el corto plazo (C), se priorizan las acciones que fortalecen la base organizacional (actualización de registros de organizaciones, protocolos de participación, diagnósticos sectoriales de salud); en el mediano plazo (M), se despliegan las inversiones en infraestructura (Parques Elige Vivir Sano, Centros de Día, mejoramiento de postas rurales); y en el largo plazo (L), se materializan los proyectos transformadores (Teatro Municipal, Hospital, Red de Cuidados integrada). Esta secuencia reconoce que las inversiones de infraestructura requieren diseños, postulaciones y licitaciones que demandan tiempo, y que ejecutarlas sin la base organizacional previa repite el error del 40% de incumplimiento anterior.</w:t>
      </w:r>
    </w:p>
    <w:p w14:paraId="32498D2F" w14:textId="77777777" w:rsidR="00096D74" w:rsidRDefault="00000000">
      <w:pPr>
        <w:spacing w:before="200" w:after="120" w:line="276" w:lineRule="auto"/>
      </w:pPr>
      <w:r>
        <w:rPr>
          <w:b/>
          <w:bCs/>
          <w:color w:val="333333"/>
          <w:sz w:val="24"/>
          <w:szCs w:val="24"/>
        </w:rPr>
        <w:t>Indicadores clave y rendición de cuentas</w:t>
      </w:r>
    </w:p>
    <w:p w14:paraId="32498D30" w14:textId="77777777" w:rsidR="00096D74" w:rsidRDefault="00000000">
      <w:pPr>
        <w:spacing w:after="120" w:line="276" w:lineRule="auto"/>
        <w:jc w:val="both"/>
      </w:pPr>
      <w:r>
        <w:rPr>
          <w:color w:val="1A1A2E"/>
        </w:rPr>
        <w:lastRenderedPageBreak/>
        <w:t>Los indicadores de seguimiento del Eje 1 incluyen: (i) Áreas verdes per cápita: línea base 1,96 m²/</w:t>
      </w:r>
      <w:proofErr w:type="spellStart"/>
      <w:r>
        <w:rPr>
          <w:color w:val="1A1A2E"/>
        </w:rPr>
        <w:t>hab</w:t>
      </w:r>
      <w:proofErr w:type="spellEnd"/>
      <w:r>
        <w:rPr>
          <w:color w:val="1A1A2E"/>
        </w:rPr>
        <w:t xml:space="preserve"> → meta 2035 de 4,5 m²/</w:t>
      </w:r>
      <w:proofErr w:type="spellStart"/>
      <w:r>
        <w:rPr>
          <w:color w:val="1A1A2E"/>
        </w:rPr>
        <w:t>hab</w:t>
      </w:r>
      <w:proofErr w:type="spellEnd"/>
      <w:r>
        <w:rPr>
          <w:color w:val="1A1A2E"/>
        </w:rPr>
        <w:t>, responsabilidad de la DOM y SECPLAC; (ii) Índice de Envejecimiento: línea base 72,1 → meta de estabilización bajo 85 con cobertura de Red de Cuidados al 60% de AM en situación de dependencia, responsabilidad de DIDECO y Salud; (iii) Cobertura de participación ciudadana: línea base 3,6% del corpus normativo dedicado a participación → meta de Ordenanza de Participación aprobada y operativa, con COSOC funcionando trimestralmente. Si el Índice de Envejecimiento alcanza 90 al 2035 sin la implementación de estos programas, la presión sobre el sistema de salud y los servicios sociales sobrepasará la capacidad institucional, forzando soluciones de emergencia más costosas e ineficientes.</w:t>
      </w:r>
    </w:p>
    <w:p w14:paraId="32498D31"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33" w14:textId="77777777">
        <w:tblPrEx>
          <w:tblCellMar>
            <w:top w:w="0" w:type="dxa"/>
            <w:bottom w:w="0" w:type="dxa"/>
          </w:tblCellMar>
        </w:tblPrEx>
        <w:tc>
          <w:tcPr>
            <w:tcW w:w="5000" w:type="pct"/>
            <w:shd w:val="clear" w:color="auto" w:fill="1E7E45"/>
            <w:tcMar>
              <w:top w:w="120" w:type="dxa"/>
              <w:left w:w="200" w:type="dxa"/>
              <w:bottom w:w="120" w:type="dxa"/>
              <w:right w:w="200" w:type="dxa"/>
            </w:tcMar>
            <w:vAlign w:val="center"/>
          </w:tcPr>
          <w:p w14:paraId="32498D32" w14:textId="77777777" w:rsidR="00096D74" w:rsidRDefault="00000000">
            <w:pPr>
              <w:spacing w:before="40" w:after="40"/>
            </w:pPr>
            <w:r>
              <w:rPr>
                <w:b/>
                <w:bCs/>
                <w:color w:val="FFFFFF"/>
                <w:sz w:val="28"/>
                <w:szCs w:val="32"/>
              </w:rPr>
              <w:t xml:space="preserve">EJE 2  |  </w:t>
            </w:r>
            <w:r>
              <w:rPr>
                <w:b/>
                <w:bCs/>
                <w:color w:val="FFFFFF"/>
                <w:sz w:val="28"/>
                <w:szCs w:val="28"/>
              </w:rPr>
              <w:t>DESARROLLO ECONÓMICO LOCAL Y EMPLEO</w:t>
            </w:r>
            <w:r>
              <w:rPr>
                <w:b/>
                <w:color w:val="FFFFFF"/>
                <w:sz w:val="28"/>
                <w:szCs w:val="24"/>
              </w:rPr>
              <w:t xml:space="preserve">   —   17 acciones</w:t>
            </w:r>
          </w:p>
        </w:tc>
      </w:tr>
    </w:tbl>
    <w:p w14:paraId="32498D34" w14:textId="77777777" w:rsidR="00096D74" w:rsidRDefault="00000000">
      <w:pPr>
        <w:spacing w:before="240" w:after="160" w:line="276" w:lineRule="auto"/>
      </w:pPr>
      <w:r>
        <w:rPr>
          <w:b/>
          <w:bCs/>
          <w:color w:val="065A82"/>
          <w:sz w:val="28"/>
          <w:szCs w:val="28"/>
        </w:rPr>
        <w:t>El diagnóstico: liderazgo empresarial con fragilidades estructurales</w:t>
      </w:r>
    </w:p>
    <w:p w14:paraId="32498D35" w14:textId="77777777" w:rsidR="00096D74" w:rsidRDefault="00000000">
      <w:pPr>
        <w:spacing w:after="120" w:line="276" w:lineRule="auto"/>
        <w:jc w:val="both"/>
      </w:pPr>
      <w:r>
        <w:rPr>
          <w:color w:val="1A1A2E"/>
        </w:rPr>
        <w:t>Rengo ostenta el primer lugar regional con 4.829 empresas, un logro notable para una comuna de su tamaño. Sin embargo, detrás de esta cifra se esconde una realidad más compleja: el 57% del empleo es de carácter estacional, vinculado a los ciclos agrícolas de la fruta y la vendimia. Esta estacionalidad genera periodos de alto desempleo, migración laboral temporal y una economía informal que escapa a la protección social. La OMIL ha logrado más de 500 colocaciones anuales, pero opera sin programas de reconversión laboral que permitan a los trabajadores estacionales transitar hacia empleos permanentes —una omisión que perpetúa la precariedad.</w:t>
      </w:r>
    </w:p>
    <w:p w14:paraId="32498D36" w14:textId="77777777" w:rsidR="00096D74" w:rsidRDefault="00000000">
      <w:pPr>
        <w:spacing w:after="120" w:line="276" w:lineRule="auto"/>
        <w:jc w:val="both"/>
      </w:pPr>
      <w:r>
        <w:rPr>
          <w:color w:val="1A1A2E"/>
        </w:rPr>
        <w:t>La paradoja de las patentes comerciales ilustra la concentración geográfica de la actividad económica: Rengo ciudad concentra 17 patentes que representan el 54,7% de la recaudación total ($227,7 millones), configurando una brecha de 58 a 1 entre el área urbana y rural. Esto significa que la ruralidad —que ocupa más del 80% del territorio— genera menos del 2% de los ingresos por patentes comerciales. La tasa de pobreza por ingresos se sitúa en 5,4%, pero el Índice de Prioridad Social (IPP) de 34,6% revela una vulnerabilidad mucho mayor que la que captura la medición monetaria.</w:t>
      </w:r>
    </w:p>
    <w:p w14:paraId="32498D37" w14:textId="77777777" w:rsidR="00096D74" w:rsidRDefault="00000000">
      <w:pPr>
        <w:spacing w:after="120" w:line="276" w:lineRule="auto"/>
        <w:jc w:val="both"/>
      </w:pPr>
      <w:r>
        <w:rPr>
          <w:color w:val="1A1A2E"/>
        </w:rPr>
        <w:t>El sector agrícola enfrenta una transición histórica: 3.950 hectáreas productivas se han perdido en las últimas décadas por presión inmobiliaria y cambio de uso de suelo. La Junta de Vigilancia del Río Cachapoal, con 74 años de operación, administra el recurso hídrico para 1.200 regantes, pero el embalse de 10 millones de metros cúbicos resulta insuficiente ante 6 decretos de escasez hídrica acumulados. Esta crisis agrícola no es solo económica: es identitaria y ambiental. Las 678 hectáreas de suelos Clase I —los más productivos del país— están amenazadas, y su pérdida sería irreversible para la seguridad alimentaria regional.</w:t>
      </w:r>
    </w:p>
    <w:p w14:paraId="32498D38" w14:textId="77777777" w:rsidR="00096D74" w:rsidRDefault="00000000">
      <w:pPr>
        <w:spacing w:after="120" w:line="276" w:lineRule="auto"/>
        <w:jc w:val="both"/>
      </w:pPr>
      <w:r>
        <w:rPr>
          <w:color w:val="1A1A2E"/>
        </w:rPr>
        <w:t xml:space="preserve">El </w:t>
      </w:r>
      <w:proofErr w:type="spellStart"/>
      <w:r>
        <w:rPr>
          <w:color w:val="1A1A2E"/>
        </w:rPr>
        <w:t>Metrotren</w:t>
      </w:r>
      <w:proofErr w:type="spellEnd"/>
      <w:r>
        <w:rPr>
          <w:color w:val="1A1A2E"/>
        </w:rPr>
        <w:t xml:space="preserve">, inaugurado en 2021, representa el activo económico más transformador de la última década. Sin embargo, su potencial no se ha capitalizado de manera estratégica: no existe un plan de desarrollo de entornos de estación (TOD, </w:t>
      </w:r>
      <w:proofErr w:type="spellStart"/>
      <w:r>
        <w:rPr>
          <w:color w:val="1A1A2E"/>
        </w:rPr>
        <w:t>Transit</w:t>
      </w:r>
      <w:proofErr w:type="spellEnd"/>
      <w:r>
        <w:rPr>
          <w:color w:val="1A1A2E"/>
        </w:rPr>
        <w:t xml:space="preserve">-Oriented Development), la infraestructura comercial circundante es informal, y los beneficios de conectividad se disipan por la falta de un sistema integrado de transporte </w:t>
      </w:r>
      <w:proofErr w:type="spellStart"/>
      <w:r>
        <w:rPr>
          <w:color w:val="1A1A2E"/>
        </w:rPr>
        <w:t>inter-comunal</w:t>
      </w:r>
      <w:proofErr w:type="spellEnd"/>
      <w:r>
        <w:rPr>
          <w:color w:val="1A1A2E"/>
        </w:rPr>
        <w:t xml:space="preserve">. El </w:t>
      </w:r>
      <w:proofErr w:type="spellStart"/>
      <w:r>
        <w:rPr>
          <w:color w:val="1A1A2E"/>
        </w:rPr>
        <w:t>Metrotren</w:t>
      </w:r>
      <w:proofErr w:type="spellEnd"/>
      <w:r>
        <w:rPr>
          <w:color w:val="1A1A2E"/>
        </w:rPr>
        <w:t xml:space="preserve"> convierte a Rengo en potencial “ciudad dormitorio” de Rancagua y Santiago, un escenario que requiere gestión activa para que la conectividad genere empleo local y no solo migración laboral pendular.</w:t>
      </w:r>
    </w:p>
    <w:p w14:paraId="32498D39" w14:textId="77777777" w:rsidR="00096D74" w:rsidRDefault="00000000">
      <w:pPr>
        <w:spacing w:before="240" w:after="160" w:line="276" w:lineRule="auto"/>
      </w:pPr>
      <w:r>
        <w:rPr>
          <w:b/>
          <w:bCs/>
          <w:color w:val="065A82"/>
          <w:sz w:val="28"/>
          <w:szCs w:val="28"/>
        </w:rPr>
        <w:t>La respuesta estratégica: 17 acciones</w:t>
      </w:r>
    </w:p>
    <w:p w14:paraId="32498D3A" w14:textId="77777777" w:rsidR="00096D74" w:rsidRDefault="00000000">
      <w:pPr>
        <w:spacing w:after="120" w:line="276" w:lineRule="auto"/>
        <w:jc w:val="both"/>
      </w:pPr>
      <w:r>
        <w:rPr>
          <w:color w:val="1A1A2E"/>
        </w:rPr>
        <w:t xml:space="preserve">La creación de una Dirección de Desarrollo Económico Local —y no un simple Departamento— es una decisión deliberada: el peso institucional de una Dirección, con presupuesto propio, planta funcionaria y representación en el Comité de Gestión, es necesario para coordinar las políticas de fomento de 4.829 empresas y articular la relación con SERCOTEC, CORFO, ProChile e INDAP. Un Departamento, subordinado a otra Dirección, carecería de la autonomía operativa </w:t>
      </w:r>
      <w:r>
        <w:rPr>
          <w:color w:val="1A1A2E"/>
        </w:rPr>
        <w:lastRenderedPageBreak/>
        <w:t xml:space="preserve">que la escala del desafío exige. El Centro Emprende+ se concibe como un ecosistema de apoyo integral al emprendimiento, con </w:t>
      </w:r>
      <w:proofErr w:type="spellStart"/>
      <w:r>
        <w:rPr>
          <w:color w:val="1A1A2E"/>
        </w:rPr>
        <w:t>cowork</w:t>
      </w:r>
      <w:proofErr w:type="spellEnd"/>
      <w:r>
        <w:rPr>
          <w:color w:val="1A1A2E"/>
        </w:rPr>
        <w:t>, mentorías y vinculación con mercados, alineado con los lineamientos de la ERD O’Higgins sobre diversificación productiva.</w:t>
      </w:r>
    </w:p>
    <w:p w14:paraId="32498D3B" w14:textId="77777777" w:rsidR="00096D74" w:rsidRDefault="00000000">
      <w:pPr>
        <w:spacing w:after="120" w:line="276" w:lineRule="auto"/>
        <w:jc w:val="both"/>
      </w:pPr>
      <w:r>
        <w:rPr>
          <w:color w:val="1A1A2E"/>
        </w:rPr>
        <w:t>La Feria Permanente y la Ordenanza de Desarrollo Económico constituyen el marco normativo que orientará las políticas de fomento, regulación y tributación local. La Feria busca dotar a los productores de un espacio de comercialización estable que reduzca la dependencia de intermediarios. La Ordenanza establece las reglas del juego para la formalización económica, con especial atención a la reducción de la brecha urbano-rural. Sin estas acciones, el dinamismo empresarial de Rengo seguirá concentrado en 17 grandes patentes urbanas mientras el territorio rural se despuebla.</w:t>
      </w:r>
    </w:p>
    <w:p w14:paraId="32498D3C" w14:textId="77777777" w:rsidR="00096D74" w:rsidRDefault="00000000">
      <w:pPr>
        <w:spacing w:before="200" w:after="120" w:line="276" w:lineRule="auto"/>
      </w:pPr>
      <w:r>
        <w:rPr>
          <w:b/>
          <w:bCs/>
          <w:color w:val="333333"/>
          <w:sz w:val="24"/>
          <w:szCs w:val="24"/>
        </w:rPr>
        <w:t>Lógica de implementación e indicadores</w:t>
      </w:r>
    </w:p>
    <w:p w14:paraId="32498D3D" w14:textId="77777777" w:rsidR="00096D74" w:rsidRDefault="00000000">
      <w:pPr>
        <w:spacing w:after="120" w:line="276" w:lineRule="auto"/>
        <w:jc w:val="both"/>
      </w:pPr>
      <w:r>
        <w:rPr>
          <w:color w:val="1A1A2E"/>
        </w:rPr>
        <w:t>La secuencia prioriza: primero la institucionalidad (Dirección DEL, Ordenanza), luego la infraestructura (Centro Emprende+, Feria Permanente) y finalmente los programas de alcance (reconversión laboral, turismo agroecológico). Indicadores clave: (i) Empresas formalizadas: línea base 4.829 → meta 5.500 al 2030, responsabilidad de la Dirección DEL; (ii) Brecha de patentes urbano-rural: línea base 58:1 → meta inferior a 30:1, medida por ingresos de patentes municipales; (iii) Empleo permanente vs. estacional: línea base 43%/57% → meta 55%/45%, monitoreado por OMIL. La no implementación de estas acciones profundizará la dependencia estacional y la pérdida irreversible de suelos agrícolas.</w:t>
      </w:r>
    </w:p>
    <w:p w14:paraId="32498D3E"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40" w14:textId="77777777">
        <w:tblPrEx>
          <w:tblCellMar>
            <w:top w:w="0" w:type="dxa"/>
            <w:bottom w:w="0" w:type="dxa"/>
          </w:tblCellMar>
        </w:tblPrEx>
        <w:tc>
          <w:tcPr>
            <w:tcW w:w="5000" w:type="pct"/>
            <w:shd w:val="clear" w:color="auto" w:fill="E0A020"/>
            <w:tcMar>
              <w:top w:w="120" w:type="dxa"/>
              <w:left w:w="200" w:type="dxa"/>
              <w:bottom w:w="120" w:type="dxa"/>
              <w:right w:w="200" w:type="dxa"/>
            </w:tcMar>
            <w:vAlign w:val="center"/>
          </w:tcPr>
          <w:p w14:paraId="32498D3F" w14:textId="77777777" w:rsidR="00096D74" w:rsidRDefault="00000000">
            <w:pPr>
              <w:spacing w:before="40" w:after="40"/>
            </w:pPr>
            <w:r>
              <w:rPr>
                <w:b/>
                <w:bCs/>
                <w:color w:val="FFFFFF"/>
                <w:sz w:val="28"/>
                <w:szCs w:val="32"/>
              </w:rPr>
              <w:t xml:space="preserve">EJE 3  |  </w:t>
            </w:r>
            <w:r>
              <w:rPr>
                <w:b/>
                <w:bCs/>
                <w:color w:val="FFFFFF"/>
                <w:sz w:val="28"/>
                <w:szCs w:val="28"/>
              </w:rPr>
              <w:t>EDUCACIÓN, CONOCIMIENTO Y CAPITAL HUMANO</w:t>
            </w:r>
            <w:r>
              <w:rPr>
                <w:b/>
                <w:color w:val="FFFFFF"/>
                <w:sz w:val="28"/>
                <w:szCs w:val="24"/>
              </w:rPr>
              <w:t xml:space="preserve">   —   14 acciones</w:t>
            </w:r>
          </w:p>
        </w:tc>
      </w:tr>
    </w:tbl>
    <w:p w14:paraId="32498D41" w14:textId="77777777" w:rsidR="00096D74" w:rsidRDefault="00000000">
      <w:pPr>
        <w:spacing w:before="240" w:after="160" w:line="276" w:lineRule="auto"/>
      </w:pPr>
      <w:r>
        <w:rPr>
          <w:b/>
          <w:bCs/>
          <w:color w:val="065A82"/>
          <w:sz w:val="28"/>
          <w:szCs w:val="28"/>
        </w:rPr>
        <w:t>El diagnóstico: un sistema educativo en tensión</w:t>
      </w:r>
    </w:p>
    <w:p w14:paraId="32498D42" w14:textId="77777777" w:rsidR="00096D74" w:rsidRDefault="00000000">
      <w:pPr>
        <w:spacing w:after="120" w:line="276" w:lineRule="auto"/>
        <w:jc w:val="both"/>
      </w:pPr>
      <w:r>
        <w:rPr>
          <w:color w:val="1A1A2E"/>
        </w:rPr>
        <w:t>El sistema educativo municipal de Rengo absorbe el 76% de la matrícula comunal, una proporción que refleja tanto la fuerza de la educación pública como la ausencia de alternativas privadas significativas. Sin embargo, los resultados académicos revelan brechas preocupantes: si bien los puntajes SIMCE han mejorado entre +15 y +20 puntos en la última década, la comuna sigue 14 puntos por debajo del promedio nacional. El promedio PAES alcanza 89,4%, con una brecha de 12,2 puntos porcentuales entre los establecimientos de mejor y peor desempeño, evidenciando desigualdades internas que no se resuelven con políticas uniformes.</w:t>
      </w:r>
    </w:p>
    <w:p w14:paraId="32498D43" w14:textId="77777777" w:rsidR="00096D74" w:rsidRDefault="00000000">
      <w:pPr>
        <w:spacing w:after="120" w:line="276" w:lineRule="auto"/>
        <w:jc w:val="both"/>
      </w:pPr>
      <w:r>
        <w:rPr>
          <w:color w:val="1A1A2E"/>
        </w:rPr>
        <w:t>El DAEM enfrenta una crisis institucional grave: más de 170 sumarios administrativos acumulados han generado un clima de inestabilidad que impacta directamente en la calidad educativa. La rotación de directivos, la incertidumbre laboral y la judicialización de las relaciones laborales drenan energía institucional que debería dedicarse a la pedagogía. Esta crisis interna del DAEM no es un asunto exclusivamente administrativo: tiene consecuencias pedagógicas medibles, pues los establecimientos con mayor rotación de equipos directivos muestran los resultados académicos más débiles. La conexión con el Eje 6 (modernización institucional) es directa: sin estabilizar la gestión del DAEM, las inversiones pedagógicas pierden efectividad.</w:t>
      </w:r>
    </w:p>
    <w:p w14:paraId="32498D44" w14:textId="77777777" w:rsidR="00096D74" w:rsidRDefault="00000000">
      <w:pPr>
        <w:spacing w:after="120" w:line="276" w:lineRule="auto"/>
        <w:jc w:val="both"/>
      </w:pPr>
      <w:r>
        <w:rPr>
          <w:color w:val="1A1A2E"/>
        </w:rPr>
        <w:t>La cobertura preescolar se sitúa en 50,9%, dejando a casi la mitad de los niños menores de 6 años sin acceso a educación temprana. Los jardines infantiles VTF han experimentado una caída de matrícula del 27,9%, señal de una crisis de confianza en la educación inicial pública. La evidencia acumulada desde Heckman (2006) es contundente: cada dólar invertido en primera infancia genera un retorno social de 13 a 1 a lo largo del ciclo vital. Si Rengo mantiene su cobertura preescolar en 50,9%, estará perdiendo la mitad de ese retorno potencial: menos preparación escolar, mayor deserción futura, menor productividad laboral y mayores costos de intervención social en la vida adulta.</w:t>
      </w:r>
    </w:p>
    <w:p w14:paraId="32498D45" w14:textId="77777777" w:rsidR="00096D74" w:rsidRDefault="00000000">
      <w:pPr>
        <w:spacing w:after="120" w:line="276" w:lineRule="auto"/>
        <w:jc w:val="both"/>
      </w:pPr>
      <w:r>
        <w:rPr>
          <w:color w:val="1A1A2E"/>
        </w:rPr>
        <w:t>Un dato esperanzador: la matrícula en educación Técnico-Profesional (TP) ha crecido un 21,4%, reflejando una demanda genuina por formación laboral conectada al mundo productivo. La deserción escolar del 11,6% y la escolaridad promedio de 11,1 años de la población adulta completan un cuadro que exige intervenciones diferenciadas por nivel educativo y por territorialidad (urbano/rural).</w:t>
      </w:r>
    </w:p>
    <w:p w14:paraId="32498D46" w14:textId="77777777" w:rsidR="00096D74" w:rsidRDefault="00000000">
      <w:pPr>
        <w:spacing w:before="240" w:after="160" w:line="276" w:lineRule="auto"/>
      </w:pPr>
      <w:r>
        <w:rPr>
          <w:b/>
          <w:bCs/>
          <w:color w:val="065A82"/>
          <w:sz w:val="28"/>
          <w:szCs w:val="28"/>
        </w:rPr>
        <w:t>La respuesta estratégica: 14 acciones</w:t>
      </w:r>
    </w:p>
    <w:p w14:paraId="32498D47" w14:textId="77777777" w:rsidR="00096D74" w:rsidRDefault="00000000">
      <w:pPr>
        <w:spacing w:after="120" w:line="276" w:lineRule="auto"/>
        <w:jc w:val="both"/>
      </w:pPr>
      <w:r>
        <w:rPr>
          <w:color w:val="1A1A2E"/>
        </w:rPr>
        <w:t xml:space="preserve">El programa “Las Semillas de Rengo” aborda la primera infancia con un enfoque integral que combina estimulación temprana, nutrición y apoyo familiar. Su objetivo es elevar la cobertura preescolar del 50,9% al 75% en 5 años, reconociendo que la inversión en primera infancia genera los mayores retornos sociales. La selección de este programa se fundamenta en la evidencia de Heckman: el retorno de 13:1 justifica la priorización de recursos en la ventana de oportunidad de </w:t>
      </w:r>
      <w:r>
        <w:rPr>
          <w:color w:val="1A1A2E"/>
        </w:rPr>
        <w:lastRenderedPageBreak/>
        <w:t>los primeros 6 años de vida. El programa se alinea con los lineamientos de la ERD O’Higgins sobre desarrollo de capital humano temprano.</w:t>
      </w:r>
    </w:p>
    <w:p w14:paraId="32498D48" w14:textId="77777777" w:rsidR="00096D74" w:rsidRDefault="00000000">
      <w:pPr>
        <w:spacing w:after="120" w:line="276" w:lineRule="auto"/>
        <w:jc w:val="both"/>
      </w:pPr>
      <w:r>
        <w:rPr>
          <w:color w:val="1A1A2E"/>
        </w:rPr>
        <w:t>El programa “Educación del Futuro” moderniza la infraestructura tecnológica de los establecimientos y capacita a los docentes en metodologías innovadoras. Las alianzas universitarias buscan acercar la educación superior a una comuna donde la escolaridad promedio de 11,1 años refleja un techo de aspiraciones que debe ampliarse. El crecimiento del 21,4% en matrícula TP se capitaliza con el programa “Rengo te Capacita”, que conecta la formación laboral con las demandas del tejido productivo local, articulando con el Eje 2.</w:t>
      </w:r>
    </w:p>
    <w:p w14:paraId="32498D49" w14:textId="77777777" w:rsidR="00096D74" w:rsidRDefault="00000000">
      <w:pPr>
        <w:spacing w:before="200" w:after="120" w:line="276" w:lineRule="auto"/>
      </w:pPr>
      <w:r>
        <w:rPr>
          <w:b/>
          <w:bCs/>
          <w:color w:val="333333"/>
          <w:sz w:val="24"/>
          <w:szCs w:val="24"/>
        </w:rPr>
        <w:t>Lógica de implementación e indicadores</w:t>
      </w:r>
    </w:p>
    <w:p w14:paraId="32498D4A" w14:textId="77777777" w:rsidR="00096D74" w:rsidRDefault="00000000">
      <w:pPr>
        <w:spacing w:after="120" w:line="276" w:lineRule="auto"/>
        <w:jc w:val="both"/>
      </w:pPr>
      <w:r>
        <w:rPr>
          <w:color w:val="1A1A2E"/>
        </w:rPr>
        <w:t xml:space="preserve">La secuencia prioriza la estabilización institucional del DAEM (corto plazo), luego la expansión de cobertura preescolar y mejoramiento pedagógico (mediano plazo), y finalmente las alianzas universitarias y programas de formación continua (largo plazo). Indicadores clave: (i) Cobertura preescolar: 50,9% → 75% al 2030, responsabilidad del DAEM; (ii) Brecha SIMCE respecto al promedio nacional: 14 </w:t>
      </w:r>
      <w:proofErr w:type="spellStart"/>
      <w:r>
        <w:rPr>
          <w:color w:val="1A1A2E"/>
        </w:rPr>
        <w:t>pts</w:t>
      </w:r>
      <w:proofErr w:type="spellEnd"/>
      <w:r>
        <w:rPr>
          <w:color w:val="1A1A2E"/>
        </w:rPr>
        <w:t xml:space="preserve"> → menos de 8 </w:t>
      </w:r>
      <w:proofErr w:type="spellStart"/>
      <w:r>
        <w:rPr>
          <w:color w:val="1A1A2E"/>
        </w:rPr>
        <w:t>pts</w:t>
      </w:r>
      <w:proofErr w:type="spellEnd"/>
      <w:r>
        <w:rPr>
          <w:color w:val="1A1A2E"/>
        </w:rPr>
        <w:t xml:space="preserve"> al 2035; (iii) Deserción escolar: 11,6% → menos del 6%, monitoreo semestral por DAEM y SECPLAC. Sin estas acciones, la deserción seguirá expulsando jóvenes hacia el mercado informal, retroalimentando la pobreza intergeneracional y la inseguridad.</w:t>
      </w:r>
    </w:p>
    <w:p w14:paraId="32498D4B"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4D" w14:textId="77777777">
        <w:tblPrEx>
          <w:tblCellMar>
            <w:top w:w="0" w:type="dxa"/>
            <w:bottom w:w="0" w:type="dxa"/>
          </w:tblCellMar>
        </w:tblPrEx>
        <w:tc>
          <w:tcPr>
            <w:tcW w:w="5000" w:type="pct"/>
            <w:shd w:val="clear" w:color="auto" w:fill="B85042"/>
            <w:tcMar>
              <w:top w:w="120" w:type="dxa"/>
              <w:left w:w="200" w:type="dxa"/>
              <w:bottom w:w="120" w:type="dxa"/>
              <w:right w:w="200" w:type="dxa"/>
            </w:tcMar>
            <w:vAlign w:val="center"/>
          </w:tcPr>
          <w:p w14:paraId="32498D4C" w14:textId="77777777" w:rsidR="00096D74" w:rsidRDefault="00000000">
            <w:pPr>
              <w:spacing w:before="40" w:after="40"/>
            </w:pPr>
            <w:r>
              <w:rPr>
                <w:b/>
                <w:bCs/>
                <w:color w:val="FFFFFF"/>
                <w:sz w:val="28"/>
                <w:szCs w:val="32"/>
              </w:rPr>
              <w:t xml:space="preserve">EJE 4  |  </w:t>
            </w:r>
            <w:r>
              <w:rPr>
                <w:b/>
                <w:bCs/>
                <w:color w:val="FFFFFF"/>
                <w:sz w:val="28"/>
                <w:szCs w:val="28"/>
              </w:rPr>
              <w:t>TERRITORIO, INFRAESTRUCTURA Y MEDIO AMBIENTE</w:t>
            </w:r>
            <w:r>
              <w:rPr>
                <w:b/>
                <w:color w:val="FFFFFF"/>
                <w:sz w:val="28"/>
                <w:szCs w:val="24"/>
              </w:rPr>
              <w:t xml:space="preserve">   —   43 acciones</w:t>
            </w:r>
          </w:p>
        </w:tc>
      </w:tr>
    </w:tbl>
    <w:p w14:paraId="32498D4E" w14:textId="77777777" w:rsidR="00096D74" w:rsidRDefault="00000000">
      <w:pPr>
        <w:spacing w:before="240" w:after="160" w:line="276" w:lineRule="auto"/>
      </w:pPr>
      <w:r>
        <w:rPr>
          <w:b/>
          <w:bCs/>
          <w:color w:val="065A82"/>
          <w:sz w:val="28"/>
          <w:szCs w:val="28"/>
        </w:rPr>
        <w:t>El diagnóstico: un territorio en deuda con su planificación</w:t>
      </w:r>
    </w:p>
    <w:p w14:paraId="32498D4F" w14:textId="77777777" w:rsidR="00096D74" w:rsidRDefault="00000000">
      <w:pPr>
        <w:spacing w:after="120" w:line="276" w:lineRule="auto"/>
        <w:jc w:val="both"/>
      </w:pPr>
      <w:r>
        <w:rPr>
          <w:color w:val="1A1A2E"/>
        </w:rPr>
        <w:t xml:space="preserve">El Plan Regulador Comunal de Rengo data de 2006 —su Memoria Explicativa tiene 19 años— y no contempla ninguna de las transformaciones fundamentales del último periodo: ni el </w:t>
      </w:r>
      <w:proofErr w:type="spellStart"/>
      <w:r>
        <w:rPr>
          <w:color w:val="1A1A2E"/>
        </w:rPr>
        <w:t>Metrotren</w:t>
      </w:r>
      <w:proofErr w:type="spellEnd"/>
      <w:r>
        <w:rPr>
          <w:color w:val="1A1A2E"/>
        </w:rPr>
        <w:t>, ni el crecimiento poblacional de Rosario a 12.000 habitantes, ni la crisis climática, ni la pérdida de suelos agrícolas, ni las nuevas exigencias de accesibilidad universal. Es un instrumento que planifica el Rengo de 2006 cuando la comuna ya vive en 2025. La obsolescencia del PRC no es un problema técnico abstracto: determina dónde se puede construir, qué densidades se permiten, qué suelos se protegen y cuánta área verde se exige. Cada año sin actualización es un año de crecimiento desordenado e irreversible.</w:t>
      </w:r>
    </w:p>
    <w:p w14:paraId="32498D50" w14:textId="77777777" w:rsidR="00096D74" w:rsidRDefault="00000000">
      <w:pPr>
        <w:spacing w:after="120" w:line="276" w:lineRule="auto"/>
        <w:jc w:val="both"/>
      </w:pPr>
      <w:r>
        <w:rPr>
          <w:color w:val="1A1A2E"/>
        </w:rPr>
        <w:t>Las 678 hectáreas de suelos Clase I constituyen un patrimonio agrícola irreemplazable. Estos suelos, clasificados por el SAG como los de mayor capacidad productiva del país, están amenazados por la presión inmobiliaria y el cambio de uso de suelo. Su pérdida no solo afecta la economía agrícola (Eje 2) sino la seguridad alimentaria regional: Rengo es uno de los principales productores frutihortícolas de O’Higgins, y la destrucción de sus mejores suelos compromete la soberanía alimentaria para las próximas generaciones.</w:t>
      </w:r>
    </w:p>
    <w:p w14:paraId="32498D51" w14:textId="77777777" w:rsidR="00096D74" w:rsidRDefault="00000000">
      <w:pPr>
        <w:spacing w:after="120" w:line="276" w:lineRule="auto"/>
        <w:jc w:val="both"/>
      </w:pPr>
      <w:r>
        <w:rPr>
          <w:color w:val="1A1A2E"/>
        </w:rPr>
        <w:t>La cobertura de alcantarillado alcanza apenas el 75,1%, con las localidades rurales prácticamente excluidas del servicio. El déficit habitacional asciende a 1.401 viviendas, y la comuna no cuenta con un solo kilómetro de ciclovías. La existencia de una correlación negativa de r=-0,776 entre la accesibilidad y la dimensión ambiental del MBHT revela una tensión estructural: a medida que se mejora la infraestructura vial y la conectividad, se destruye vegetación y se impermeabilizan suelos. La urbanización no planificada genera una paradoja donde el “progreso” infraestructural deteriora las condiciones ambientales.</w:t>
      </w:r>
    </w:p>
    <w:p w14:paraId="32498D52" w14:textId="77777777" w:rsidR="00096D74" w:rsidRDefault="00000000">
      <w:pPr>
        <w:spacing w:after="120" w:line="276" w:lineRule="auto"/>
        <w:jc w:val="both"/>
      </w:pPr>
      <w:r>
        <w:rPr>
          <w:color w:val="1A1A2E"/>
        </w:rPr>
        <w:t>Los paraderos en la Ruta 5 representan un problema histórico de seguridad vial con consecuencias fatales documentadas en los accidentes de 1952, 1973 y 1999. Este patrón de siniestralidad no es aleatorio: responde a la ausencia de infraestructura de intersección segura en una ruta que divide el territorio comunal. La demanda ciudadana por paraderos seguros y cruces peatonales ha sido una constante en los últimos 70 años, y su inclusión en el PLADECO responde a una deuda histórica del Estado con la seguridad de los habitantes de Rengo.</w:t>
      </w:r>
    </w:p>
    <w:p w14:paraId="32498D53" w14:textId="77777777" w:rsidR="00096D74" w:rsidRDefault="00000000">
      <w:pPr>
        <w:spacing w:after="120" w:line="276" w:lineRule="auto"/>
        <w:jc w:val="both"/>
      </w:pPr>
      <w:r>
        <w:rPr>
          <w:color w:val="1A1A2E"/>
        </w:rPr>
        <w:t xml:space="preserve">Los datos del Plan de Acción Comunal de Cambio Climático (PACCC) cuantifican la urgencia ambiental: 67,46 </w:t>
      </w:r>
      <w:proofErr w:type="spellStart"/>
      <w:r>
        <w:rPr>
          <w:color w:val="1A1A2E"/>
        </w:rPr>
        <w:t>ktCO₂e</w:t>
      </w:r>
      <w:proofErr w:type="spellEnd"/>
      <w:r>
        <w:rPr>
          <w:color w:val="1A1A2E"/>
        </w:rPr>
        <w:t xml:space="preserve"> de emisiones en el sector energético, 6 decretos de escasez hídrica acumulados, 145 hectáreas de bosque nativo remanente (una cifra críticamente baja para un territorio de 592 km²), 110 episodios de incendios forestales registrados, y la crisis hídrica que ha reducido la disponibilidad de agua entre un 30% y un 35%. El Parque Solar de 17 GWh/año representa una oportunidad de transición energética que el plan capitaliza.</w:t>
      </w:r>
    </w:p>
    <w:p w14:paraId="32498D54" w14:textId="77777777" w:rsidR="00096D74" w:rsidRDefault="00000000">
      <w:pPr>
        <w:spacing w:before="240" w:after="160" w:line="276" w:lineRule="auto"/>
      </w:pPr>
      <w:r>
        <w:rPr>
          <w:b/>
          <w:bCs/>
          <w:color w:val="065A82"/>
          <w:sz w:val="28"/>
          <w:szCs w:val="28"/>
        </w:rPr>
        <w:t>La respuesta estratégica: 43 acciones</w:t>
      </w:r>
    </w:p>
    <w:p w14:paraId="32498D55" w14:textId="77777777" w:rsidR="00096D74" w:rsidRDefault="00000000">
      <w:pPr>
        <w:spacing w:after="120" w:line="276" w:lineRule="auto"/>
        <w:jc w:val="both"/>
      </w:pPr>
      <w:r>
        <w:rPr>
          <w:color w:val="1A1A2E"/>
        </w:rPr>
        <w:lastRenderedPageBreak/>
        <w:t xml:space="preserve">El nuevo Plan Regulador Comunal constituye la acción ancla de este eje: un instrumento que redefinirá los usos de suelo, las densidades, las áreas de protección ambiental y las zonas de riesgo para los próximos 20 años. Su formulación incorporará las variables de cambio climático, riesgo de incendios, protección de suelos Clase I y desarrollo orientado al transporte público (TOD) en torno a las estaciones del </w:t>
      </w:r>
      <w:proofErr w:type="spellStart"/>
      <w:r>
        <w:rPr>
          <w:color w:val="1A1A2E"/>
        </w:rPr>
        <w:t>Metrotren</w:t>
      </w:r>
      <w:proofErr w:type="spellEnd"/>
      <w:r>
        <w:rPr>
          <w:color w:val="1A1A2E"/>
        </w:rPr>
        <w:t>. Sin PRC actualizado, todas las demás inversiones en infraestructura operan en un vacío regulatorio.</w:t>
      </w:r>
    </w:p>
    <w:p w14:paraId="32498D56" w14:textId="77777777" w:rsidR="00096D74" w:rsidRDefault="00000000">
      <w:pPr>
        <w:spacing w:after="120" w:line="276" w:lineRule="auto"/>
        <w:jc w:val="both"/>
      </w:pPr>
      <w:r>
        <w:rPr>
          <w:color w:val="1A1A2E"/>
        </w:rPr>
        <w:t xml:space="preserve">El Parque </w:t>
      </w:r>
      <w:proofErr w:type="spellStart"/>
      <w:r>
        <w:rPr>
          <w:color w:val="1A1A2E"/>
        </w:rPr>
        <w:t>Huilquio</w:t>
      </w:r>
      <w:proofErr w:type="spellEnd"/>
      <w:r>
        <w:rPr>
          <w:color w:val="1A1A2E"/>
        </w:rPr>
        <w:t xml:space="preserve"> se proyecta como piloto de infraestructura ecológica rural: un espacio que combina recreación, restauración ecológica y educación ambiental en una localidad que ha sido históricamente postergada. Su diseño como piloto permite testear un modelo replicable en otras localidades rurales, articulando los objetivos ambientales del Eje 4 con la reducción de la brecha urbano-rural (Tensión 2). La creación de una Unidad de Medio Ambiente institucionaliza la gestión ambiental como función permanente.</w:t>
      </w:r>
    </w:p>
    <w:p w14:paraId="32498D57" w14:textId="77777777" w:rsidR="00096D74" w:rsidRDefault="00000000">
      <w:pPr>
        <w:spacing w:after="120" w:line="276" w:lineRule="auto"/>
        <w:jc w:val="both"/>
      </w:pPr>
      <w:r>
        <w:rPr>
          <w:color w:val="1A1A2E"/>
        </w:rPr>
        <w:t xml:space="preserve">Los proyectos de seguridad vial en cruces de la Ruta 5 y las rutas </w:t>
      </w:r>
      <w:proofErr w:type="spellStart"/>
      <w:r>
        <w:rPr>
          <w:color w:val="1A1A2E"/>
        </w:rPr>
        <w:t>inter-urbanas</w:t>
      </w:r>
      <w:proofErr w:type="spellEnd"/>
      <w:r>
        <w:rPr>
          <w:color w:val="1A1A2E"/>
        </w:rPr>
        <w:t xml:space="preserve"> abordan la conectividad territorial. Los paraderos responden a la demanda histórica documentada. La creación de ciclovías y corredores de movilidad sustentable apunta a un cambio modal que reduce emisiones y mejora la calidad de vida urbana.</w:t>
      </w:r>
    </w:p>
    <w:p w14:paraId="32498D58" w14:textId="77777777" w:rsidR="00096D74" w:rsidRDefault="00000000">
      <w:pPr>
        <w:spacing w:before="200" w:after="120" w:line="276" w:lineRule="auto"/>
      </w:pPr>
      <w:r>
        <w:rPr>
          <w:b/>
          <w:bCs/>
          <w:color w:val="333333"/>
          <w:sz w:val="24"/>
          <w:szCs w:val="24"/>
        </w:rPr>
        <w:t>Lógica de implementación e indicadores</w:t>
      </w:r>
    </w:p>
    <w:p w14:paraId="32498D59" w14:textId="77777777" w:rsidR="00096D74" w:rsidRDefault="00000000">
      <w:pPr>
        <w:spacing w:after="120" w:line="276" w:lineRule="auto"/>
        <w:jc w:val="both"/>
      </w:pPr>
      <w:r>
        <w:rPr>
          <w:color w:val="1A1A2E"/>
        </w:rPr>
        <w:t>La secuencia comienza con el PRC (condición habilitante para toda la planificación territorial), continúa con la creación de la Unidad de Medio Ambiente y la formulación de proyectos de infraestructura (mediano plazo), y cierra con la ejecución de los grandes proyectos (Parque Huilquio, paraderos Ruta 5, redes de ciclovías). Indicadores: (i) PRC actualizado y aprobado antes de 2028; (ii) Áreas verdes per cápita: 1,96 → 4,5 m²/</w:t>
      </w:r>
      <w:proofErr w:type="spellStart"/>
      <w:r>
        <w:rPr>
          <w:color w:val="1A1A2E"/>
        </w:rPr>
        <w:t>hab</w:t>
      </w:r>
      <w:proofErr w:type="spellEnd"/>
      <w:r>
        <w:rPr>
          <w:color w:val="1A1A2E"/>
        </w:rPr>
        <w:t xml:space="preserve">; (iii) Cobertura de alcantarillado: 75,1% → 90%, responsabilidad de la DOM; (iv) Emisiones: 67,46 </w:t>
      </w:r>
      <w:proofErr w:type="spellStart"/>
      <w:r>
        <w:rPr>
          <w:color w:val="1A1A2E"/>
        </w:rPr>
        <w:t>ktCO₂e</w:t>
      </w:r>
      <w:proofErr w:type="spellEnd"/>
      <w:r>
        <w:rPr>
          <w:color w:val="1A1A2E"/>
        </w:rPr>
        <w:t xml:space="preserve"> → reducción del 20% al 2035, monitoreado por la Unidad de Medio Ambiente.</w:t>
      </w:r>
    </w:p>
    <w:p w14:paraId="32498D5A"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5C" w14:textId="77777777">
        <w:tblPrEx>
          <w:tblCellMar>
            <w:top w:w="0" w:type="dxa"/>
            <w:bottom w:w="0" w:type="dxa"/>
          </w:tblCellMar>
        </w:tblPrEx>
        <w:tc>
          <w:tcPr>
            <w:tcW w:w="5000" w:type="pct"/>
            <w:shd w:val="clear" w:color="auto" w:fill="C0392B"/>
            <w:tcMar>
              <w:top w:w="120" w:type="dxa"/>
              <w:left w:w="200" w:type="dxa"/>
              <w:bottom w:w="120" w:type="dxa"/>
              <w:right w:w="200" w:type="dxa"/>
            </w:tcMar>
            <w:vAlign w:val="center"/>
          </w:tcPr>
          <w:p w14:paraId="32498D5B" w14:textId="77777777" w:rsidR="00096D74" w:rsidRDefault="00000000">
            <w:pPr>
              <w:spacing w:before="40" w:after="40"/>
            </w:pPr>
            <w:r>
              <w:rPr>
                <w:b/>
                <w:bCs/>
                <w:color w:val="FFFFFF"/>
                <w:sz w:val="28"/>
                <w:szCs w:val="32"/>
              </w:rPr>
              <w:t xml:space="preserve">EJE 5  |  </w:t>
            </w:r>
            <w:r>
              <w:rPr>
                <w:b/>
                <w:bCs/>
                <w:color w:val="FFFFFF"/>
                <w:sz w:val="28"/>
                <w:szCs w:val="28"/>
              </w:rPr>
              <w:t>SEGURIDAD, PROTECCIÓN Y CONVIVENCIA</w:t>
            </w:r>
            <w:r>
              <w:rPr>
                <w:b/>
                <w:color w:val="FFFFFF"/>
                <w:sz w:val="28"/>
                <w:szCs w:val="24"/>
              </w:rPr>
              <w:t xml:space="preserve">   —   28 acciones</w:t>
            </w:r>
          </w:p>
        </w:tc>
      </w:tr>
    </w:tbl>
    <w:p w14:paraId="32498D5D" w14:textId="77777777" w:rsidR="00096D74" w:rsidRDefault="00000000">
      <w:pPr>
        <w:spacing w:before="240" w:after="160" w:line="276" w:lineRule="auto"/>
      </w:pPr>
      <w:r>
        <w:rPr>
          <w:b/>
          <w:bCs/>
          <w:color w:val="065A82"/>
          <w:sz w:val="28"/>
          <w:szCs w:val="28"/>
        </w:rPr>
        <w:t>El diagnóstico: la inseguridad como experiencia cotidiana</w:t>
      </w:r>
    </w:p>
    <w:p w14:paraId="32498D5E" w14:textId="77777777" w:rsidR="00096D74" w:rsidRDefault="00000000">
      <w:pPr>
        <w:spacing w:after="120" w:line="276" w:lineRule="auto"/>
        <w:jc w:val="both"/>
      </w:pPr>
      <w:r>
        <w:rPr>
          <w:color w:val="1A1A2E"/>
        </w:rPr>
        <w:t>La seguridad es la demanda más urgente de Rengo. Con 5.620 casos atendidos anualmente, los delitos contra la vida han aumentado un 126% y los delitos vinculados a drogas un 440% en el periodo analizado. La violencia intrafamiliar registra 608 casos anuales, de los cuales el 78% tiene como víctima a mujeres. El dato más inquietante: el 54,41% de los niños, niñas y adolescentes se siente inseguro en su entorno cotidiano.</w:t>
      </w:r>
    </w:p>
    <w:p w14:paraId="32498D5F" w14:textId="77777777" w:rsidR="00096D74" w:rsidRDefault="00000000">
      <w:pPr>
        <w:spacing w:after="120" w:line="276" w:lineRule="auto"/>
        <w:jc w:val="both"/>
      </w:pPr>
      <w:r>
        <w:rPr>
          <w:color w:val="1A1A2E"/>
        </w:rPr>
        <w:t>La crisis juvenil es particularmente alarmante: 79 infractores juveniles representan un incremento del 464% respecto al periodo anterior. Este dato no debe leerse aisladamente: se conecta con la brecha educativa (Eje 3), donde el 11,6% de deserción escolar y la baja cobertura preescolar (50,9%) configuran un pipeline de exclusión que alimenta la delincuencia juvenil. La encuesta NNA es elocuente: 0% de evaluación positiva de la comuna, 24% reporta violencia escolar y 38% declara consumo de sustancias. Los adolescentes de Rengo están enviando un mensaje claro: no se sienten parte de su comuna, están expuestos a violencia en sus escuelas y recurren a sustancias en proporciones que exigen intervención inmediata.</w:t>
      </w:r>
    </w:p>
    <w:p w14:paraId="32498D60" w14:textId="77777777" w:rsidR="00096D74" w:rsidRDefault="00000000">
      <w:pPr>
        <w:spacing w:after="120" w:line="276" w:lineRule="auto"/>
        <w:jc w:val="both"/>
      </w:pPr>
      <w:r>
        <w:rPr>
          <w:color w:val="1A1A2E"/>
        </w:rPr>
        <w:t>Las víctimas adultas mayores han aumentado un 554%, una cifra que revela una violencia invisible dirigida contra el segmento más vulnerable de la población. Esta violencia incluye maltrato físico, abuso patrimonial y negligencia, y su detección es difícil porque ocurre predominantemente en el ámbito intrafamiliar. La conexión con el Eje 1 (desarrollo humano) es directa: la Red de Cuidados “Rengo Cuida” no es solo un programa asistencial sino un mecanismo de protección contra la violencia hacia los adultos mayores.</w:t>
      </w:r>
    </w:p>
    <w:p w14:paraId="32498D61" w14:textId="77777777" w:rsidR="00096D74" w:rsidRDefault="00000000">
      <w:pPr>
        <w:spacing w:after="120" w:line="276" w:lineRule="auto"/>
        <w:jc w:val="both"/>
      </w:pPr>
      <w:r>
        <w:rPr>
          <w:color w:val="1A1A2E"/>
        </w:rPr>
        <w:t>La Dirección de Seguridad Pública (DSP) fue creada recién en 2022, lo que significa que la institucionalidad de seguridad comunal tiene apenas 3 años de desarrollo. Esta juventud institucional explica en parte la insuficiencia de la respuesta: la DSP necesita consolidar su estructura, sus protocolos de coordinación con Carabineros y PDI, su sistema de televigilancia (80 cámaras para 592 km² es manifiestamente insuficiente) y su capacidad de análisis delictual. El PLADECO le otorga 28 acciones precisamente para esa consolidación.</w:t>
      </w:r>
    </w:p>
    <w:p w14:paraId="32498D62" w14:textId="77777777" w:rsidR="00096D74" w:rsidRDefault="00000000">
      <w:pPr>
        <w:spacing w:before="240" w:after="160" w:line="276" w:lineRule="auto"/>
      </w:pPr>
      <w:r>
        <w:rPr>
          <w:b/>
          <w:bCs/>
          <w:color w:val="065A82"/>
          <w:sz w:val="28"/>
          <w:szCs w:val="28"/>
        </w:rPr>
        <w:t>La respuesta estratégica: 28 acciones</w:t>
      </w:r>
    </w:p>
    <w:p w14:paraId="32498D63" w14:textId="77777777" w:rsidR="00096D74" w:rsidRDefault="00000000">
      <w:pPr>
        <w:spacing w:after="120" w:line="276" w:lineRule="auto"/>
        <w:jc w:val="both"/>
      </w:pPr>
      <w:r>
        <w:rPr>
          <w:color w:val="1A1A2E"/>
        </w:rPr>
        <w:t>El eje establece metas cuantificables y ambiciosas: reducir el porcentaje de NNA que se siente inseguro del 54,41% a menos del 25%, disminuir los casos de violencia intrafamiliar de 608 a menos de 200 anuales, y bajar los robos con violencia a menos de 80 casos. Estas metas representan una reducción de más del 50% respecto a la línea base. La vinculación con el Eje 1 es explícita: la prevención de la violencia requiere programas comunitarios (Eje 1) y escolares (Eje 3) que aborden las causas, no solo los síntomas.</w:t>
      </w:r>
    </w:p>
    <w:p w14:paraId="32498D64" w14:textId="77777777" w:rsidR="00096D74" w:rsidRDefault="00000000">
      <w:pPr>
        <w:spacing w:after="120" w:line="276" w:lineRule="auto"/>
        <w:jc w:val="both"/>
      </w:pPr>
      <w:r>
        <w:rPr>
          <w:color w:val="1A1A2E"/>
        </w:rPr>
        <w:t xml:space="preserve">La Ordenanza de Convivencia Comunitaria se justifica normativamente: el análisis del corpus normativo municipal reveló que apenas 2 decretos (3,6% del total) abordan la convivencia. Esta desproporción entre la magnitud del problema (70% de la ciudadanía lo prioriza) y el marco </w:t>
      </w:r>
      <w:r>
        <w:rPr>
          <w:color w:val="1A1A2E"/>
        </w:rPr>
        <w:lastRenderedPageBreak/>
        <w:t>regulatorio disponible (3,6% del corpus) evidencia un vacío que la Ordenanza está diseñada para llenar. El programa de convivencia escolar aspira a cobertura del 100% de los establecimientos, y el Plan de Emergencia moderniza la capacidad de respuesta ante eventos catastróficos conforme a la Ley 21.364.</w:t>
      </w:r>
    </w:p>
    <w:p w14:paraId="32498D65" w14:textId="77777777" w:rsidR="00096D74" w:rsidRDefault="00000000">
      <w:pPr>
        <w:spacing w:before="200" w:after="120" w:line="276" w:lineRule="auto"/>
      </w:pPr>
      <w:r>
        <w:rPr>
          <w:b/>
          <w:bCs/>
          <w:color w:val="333333"/>
          <w:sz w:val="24"/>
          <w:szCs w:val="24"/>
        </w:rPr>
        <w:t>Lógica de implementación e indicadores</w:t>
      </w:r>
    </w:p>
    <w:p w14:paraId="32498D66" w14:textId="77777777" w:rsidR="00096D74" w:rsidRDefault="00000000">
      <w:pPr>
        <w:spacing w:after="120" w:line="276" w:lineRule="auto"/>
        <w:jc w:val="both"/>
      </w:pPr>
      <w:r>
        <w:rPr>
          <w:color w:val="1A1A2E"/>
        </w:rPr>
        <w:t>La secuencia prioriza la consolidación institucional de la DSP (corto plazo), la ampliación del sistema de televigilancia y el despliegue de programas preventivos en escuelas (mediano plazo), y la Ordenanza de Convivencia y el Plan de Emergencia (largo plazo). Indicadores: (i) NNA inseguros: 54,41% → menos del 25%, medición por encuesta bianual; (ii) VIF: 608 → menos de 200, registro DSP; (iii) Cámaras de vigilancia: 80 → 200+, con cobertura georreferenciada; (iv) Infractores juveniles: reducción del 50%, articulado con programas de Eje 1 y 3. La DSP rinde cuentas semestralmente al Concejo Municipal con tablero de indicadores público.</w:t>
      </w:r>
    </w:p>
    <w:p w14:paraId="32498D67" w14:textId="77777777" w:rsidR="00096D74" w:rsidRDefault="00096D74">
      <w:pPr>
        <w:pageBreakBefore/>
        <w:rPr>
          <w:sz w:val="2"/>
        </w:rPr>
      </w:pPr>
    </w:p>
    <w:tbl>
      <w:tblPr>
        <w:tblW w:w="5000" w:type="pct"/>
        <w:tblLayout w:type="fixed"/>
        <w:tblCellMar>
          <w:left w:w="10" w:type="dxa"/>
          <w:right w:w="10" w:type="dxa"/>
        </w:tblCellMar>
        <w:tblLook w:val="04A0" w:firstRow="1" w:lastRow="0" w:firstColumn="1" w:lastColumn="0" w:noHBand="0" w:noVBand="1"/>
      </w:tblPr>
      <w:tblGrid>
        <w:gridCol w:w="9360"/>
      </w:tblGrid>
      <w:tr w:rsidR="00096D74" w14:paraId="32498D69" w14:textId="77777777">
        <w:tblPrEx>
          <w:tblCellMar>
            <w:top w:w="0" w:type="dxa"/>
            <w:bottom w:w="0" w:type="dxa"/>
          </w:tblCellMar>
        </w:tblPrEx>
        <w:tc>
          <w:tcPr>
            <w:tcW w:w="5000" w:type="pct"/>
            <w:shd w:val="clear" w:color="auto" w:fill="0D9488"/>
            <w:tcMar>
              <w:top w:w="120" w:type="dxa"/>
              <w:left w:w="200" w:type="dxa"/>
              <w:bottom w:w="120" w:type="dxa"/>
              <w:right w:w="200" w:type="dxa"/>
            </w:tcMar>
            <w:vAlign w:val="center"/>
          </w:tcPr>
          <w:p w14:paraId="32498D68" w14:textId="77777777" w:rsidR="00096D74" w:rsidRDefault="00000000">
            <w:pPr>
              <w:spacing w:before="40" w:after="40"/>
            </w:pPr>
            <w:r>
              <w:rPr>
                <w:b/>
                <w:bCs/>
                <w:color w:val="FFFFFF"/>
                <w:sz w:val="28"/>
                <w:szCs w:val="32"/>
              </w:rPr>
              <w:t xml:space="preserve">EJE 6  |  </w:t>
            </w:r>
            <w:r>
              <w:rPr>
                <w:b/>
                <w:bCs/>
                <w:color w:val="FFFFFF"/>
                <w:sz w:val="28"/>
                <w:szCs w:val="28"/>
              </w:rPr>
              <w:t>GESTIÓN MUNICIPAL, MODERNIZACIÓN Y GOBERNANZA</w:t>
            </w:r>
            <w:r>
              <w:rPr>
                <w:b/>
                <w:color w:val="FFFFFF"/>
                <w:sz w:val="28"/>
                <w:szCs w:val="24"/>
              </w:rPr>
              <w:t xml:space="preserve">   —   44 acciones</w:t>
            </w:r>
          </w:p>
        </w:tc>
      </w:tr>
    </w:tbl>
    <w:p w14:paraId="32498D6A" w14:textId="77777777" w:rsidR="00096D74" w:rsidRDefault="00000000">
      <w:pPr>
        <w:spacing w:before="240" w:after="160" w:line="276" w:lineRule="auto"/>
      </w:pPr>
      <w:r>
        <w:rPr>
          <w:b/>
          <w:bCs/>
          <w:color w:val="065A82"/>
          <w:sz w:val="28"/>
          <w:szCs w:val="28"/>
        </w:rPr>
        <w:t>El diagnóstico: una institucionalidad que necesita reinventarse</w:t>
      </w:r>
    </w:p>
    <w:p w14:paraId="32498D6B" w14:textId="77777777" w:rsidR="00096D74" w:rsidRDefault="00000000">
      <w:pPr>
        <w:spacing w:after="120" w:line="276" w:lineRule="auto"/>
        <w:jc w:val="both"/>
      </w:pPr>
      <w:r>
        <w:rPr>
          <w:color w:val="1A1A2E"/>
        </w:rPr>
        <w:t>El Eje 6 es, en términos conceptuales, la condición habilitante de todo el Plan. Un PLADECO con 200 políticas es solo papel si el municipio que debe ejecutarlas no tiene la capacidad institucional para hacerlo. Y el diagnóstico es contundente: el PLADECO anterior alcanzó apenas un 40% de cumplimiento. La Contraloría General de la República revisó 24 instrumentos municipales con 3 derivaciones a investigación, evidenciando debilidades en el control interno. Esta sección explica por qué el Eje 6 concentra 44 acciones —el 22% del total del Plan—: porque sin esta infraestructura institucional, los otros 5 ejes son inútiles.</w:t>
      </w:r>
    </w:p>
    <w:p w14:paraId="32498D6C" w14:textId="77777777" w:rsidR="00096D74" w:rsidRDefault="00000000">
      <w:pPr>
        <w:pBdr>
          <w:left w:val="single" w:sz="24" w:space="8" w:color="0D9488"/>
        </w:pBdr>
        <w:spacing w:before="120" w:after="120" w:line="276" w:lineRule="auto"/>
        <w:ind w:left="720" w:right="720"/>
        <w:jc w:val="both"/>
      </w:pPr>
      <w:r>
        <w:rPr>
          <w:i/>
          <w:iCs/>
          <w:color w:val="4B5563"/>
          <w:sz w:val="20"/>
        </w:rPr>
        <w:t xml:space="preserve">“Nula la coordinación interna en las estructuras de trabajo — </w:t>
      </w:r>
      <w:proofErr w:type="gramStart"/>
      <w:r>
        <w:rPr>
          <w:i/>
          <w:iCs/>
          <w:color w:val="4B5563"/>
          <w:sz w:val="20"/>
        </w:rPr>
        <w:t>Secretaria</w:t>
      </w:r>
      <w:proofErr w:type="gramEnd"/>
      <w:r>
        <w:rPr>
          <w:i/>
          <w:iCs/>
          <w:color w:val="4B5563"/>
          <w:sz w:val="20"/>
        </w:rPr>
        <w:t xml:space="preserve"> Municipal”</w:t>
      </w:r>
    </w:p>
    <w:p w14:paraId="32498D6D" w14:textId="77777777" w:rsidR="00096D74" w:rsidRDefault="00000000">
      <w:pPr>
        <w:pBdr>
          <w:left w:val="single" w:sz="24" w:space="8" w:color="0D9488"/>
        </w:pBdr>
        <w:spacing w:before="120" w:after="120" w:line="276" w:lineRule="auto"/>
        <w:ind w:left="720" w:right="720"/>
        <w:jc w:val="both"/>
      </w:pPr>
      <w:r>
        <w:rPr>
          <w:i/>
          <w:iCs/>
          <w:color w:val="4B5563"/>
          <w:sz w:val="20"/>
        </w:rPr>
        <w:t>“Si todas las herramientas se alinean como los planetas, los resultados son milagrosos — Dirección de Obras Municipales”</w:t>
      </w:r>
    </w:p>
    <w:p w14:paraId="32498D6E" w14:textId="77777777" w:rsidR="00096D74" w:rsidRDefault="00000000">
      <w:pPr>
        <w:spacing w:after="120" w:line="276" w:lineRule="auto"/>
        <w:jc w:val="both"/>
      </w:pPr>
      <w:r>
        <w:rPr>
          <w:color w:val="1A1A2E"/>
        </w:rPr>
        <w:t>Estas dos citas, recogidas de la etnografía institucional, capturan la paradoja organizacional del municipio. La primera diagnostica el problema: la coordinación entre direcciones es inexistente, cada unidad opera como silo, y los procesos transversales (como la ejecución de un proyecto BIP) se atascan en las interfaces entre departamentos. La segunda revela que los propios funcionarios saben cuál es la solución: cuando hay alineamiento, los resultados son excepcionales. El problema no es de competencias individuales sino de arquitectura organizacional.</w:t>
      </w:r>
    </w:p>
    <w:p w14:paraId="32498D6F" w14:textId="77777777" w:rsidR="00096D74" w:rsidRDefault="00000000">
      <w:pPr>
        <w:spacing w:after="120" w:line="276" w:lineRule="auto"/>
        <w:jc w:val="both"/>
      </w:pPr>
      <w:r>
        <w:rPr>
          <w:color w:val="1A1A2E"/>
        </w:rPr>
        <w:t>Los hallazgos de Contraloría son particularmente reveladores: fraccionamiento de contratos detectado en 3 auditorías, honorarios encubiertos durante el periodo 2010-2021, rendiciones de cuenta deficientes durante 8 años consecutivos, y el Edificio Consistorial con 5 instrumentos normativos superpuestos. Estos no son hallazgos menores: el fraccionamiento de contratos es la práctica de dividir una compra grande en múltiples compras pequeñas para evadir los umbrales de licitación pública, y su detección reiterada indica un problema sistémico de control de adquisiciones.</w:t>
      </w:r>
    </w:p>
    <w:p w14:paraId="32498D70" w14:textId="77777777" w:rsidR="00096D74" w:rsidRDefault="00000000">
      <w:pPr>
        <w:spacing w:after="120" w:line="276" w:lineRule="auto"/>
        <w:jc w:val="both"/>
      </w:pPr>
      <w:r>
        <w:rPr>
          <w:color w:val="1A1A2E"/>
        </w:rPr>
        <w:t>El gasto en personal absorbe el 74,0% del presupuesto municipal, mientras la ejecución presupuestaria de inversión apenas alcanza el 32,2%. Esta desproporción significa que de cada $100 que ingresa al municipio, $74 se destinan a sueldos y apenas $8 llegan efectivamente a inversión en terreno ($26 asignados, pero solo el 32,2% se ejecuta). La gestión de recursos humanos arrastra un rezago de 7 años sin actualización de perfiles de cargo, el 43% del personal desconoce la Ley Karin sobre acoso laboral, se acumulan más de 170 sumarios administrativos, y la profesionalización de las jefaturas alcanza apenas el 34,5%.</w:t>
      </w:r>
    </w:p>
    <w:p w14:paraId="32498D71" w14:textId="77777777" w:rsidR="00096D74" w:rsidRDefault="00000000">
      <w:pPr>
        <w:spacing w:after="120" w:line="276" w:lineRule="auto"/>
        <w:jc w:val="both"/>
      </w:pPr>
      <w:r>
        <w:rPr>
          <w:color w:val="1A1A2E"/>
        </w:rPr>
        <w:t xml:space="preserve">El Índice de Gestión Municipal (IIGAM) desagregado revela fortalezas y debilidades con precisión: Probidad obtiene 75%, una fortaleza relativa que demuestra que el marco ético institucional tiene bases; Acceso a la Información obtiene 58%, una debilidad que compromete la transparencia activa; y Participación Ciudadana obtiene apenas 39%, un valor críticamente bajo que confirma lo que las entrevistas etnográficas revelaron: la relación entre el municipio y la </w:t>
      </w:r>
      <w:r>
        <w:rPr>
          <w:color w:val="1A1A2E"/>
        </w:rPr>
        <w:lastRenderedPageBreak/>
        <w:t>ciudadanía está mediada por redes informales, no por canales institucionales. La evaluación SUBDERE descendió de 80% a 58,4%, confirmando el deterioro institucional.</w:t>
      </w:r>
    </w:p>
    <w:p w14:paraId="32498D72" w14:textId="77777777" w:rsidR="00096D74" w:rsidRDefault="00000000">
      <w:pPr>
        <w:spacing w:after="120" w:line="276" w:lineRule="auto"/>
        <w:jc w:val="both"/>
      </w:pPr>
      <w:r>
        <w:rPr>
          <w:color w:val="1A1A2E"/>
        </w:rPr>
        <w:t>Sin embargo, no todo es déficit: el Índice Web Municipal alcanza 0,846, ubicando a Rengo en el primer lugar entre las 33 comunas de la región en presencia digital. Esta fortaleza es un activo estratégico sobre el cual construir la transformación digital. El municipio no parte de cero en digitalización: tiene una plataforma web robusta que puede evolucionar hacia un portal de servicios ciudadanos integrado conforme a la Ley 21.180 de Transformación Digital del Estado, cuyo plazo de cumplimiento vence en diciembre de 2027.</w:t>
      </w:r>
    </w:p>
    <w:p w14:paraId="32498D73" w14:textId="77777777" w:rsidR="00096D74" w:rsidRDefault="00000000">
      <w:pPr>
        <w:spacing w:before="240" w:after="160" w:line="276" w:lineRule="auto"/>
      </w:pPr>
      <w:r>
        <w:rPr>
          <w:b/>
          <w:bCs/>
          <w:color w:val="065A82"/>
          <w:sz w:val="28"/>
          <w:szCs w:val="28"/>
        </w:rPr>
        <w:t>La respuesta estratégica: 44 acciones</w:t>
      </w:r>
    </w:p>
    <w:p w14:paraId="32498D74" w14:textId="77777777" w:rsidR="00096D74" w:rsidRDefault="00000000">
      <w:pPr>
        <w:spacing w:after="120" w:line="276" w:lineRule="auto"/>
        <w:jc w:val="both"/>
      </w:pPr>
      <w:r>
        <w:rPr>
          <w:color w:val="1A1A2E"/>
        </w:rPr>
        <w:t>La Unidad de Monitoreo y Evaluación (M&amp;E) es, deliberadamente, la acción número 1 del Eje 6. La razón es simple pero fundamental: sin M&amp;E, el Plan repite el patrón del 40% de cumplimiento. La unidad tendrá la responsabilidad de rastrear las 200 políticas con indicadores cuantitativos, semaforización trimestral y reportes al Concejo Municipal. Su creación es la diferencia estructural entre un plan que se ejecuta y un plan que se archiva. El costo de la unidad (2-3 profesionales) es marginal comparado con el costo de incumplimiento: $46.000 millones de inversión sin seguimiento es una receta para el desperdicio.</w:t>
      </w:r>
    </w:p>
    <w:p w14:paraId="32498D75" w14:textId="77777777" w:rsidR="00096D74" w:rsidRDefault="00000000">
      <w:pPr>
        <w:spacing w:after="120" w:line="276" w:lineRule="auto"/>
        <w:jc w:val="both"/>
      </w:pPr>
      <w:r>
        <w:rPr>
          <w:color w:val="1A1A2E"/>
        </w:rPr>
        <w:t>La actualización de recursos humanos aborda el rezago de 7 años con nuevos perfiles de cargo, evaluaciones de desempeño y un plan de capacitación continua. La Matriz de Probidad y el Protocolo Anticorrupción fortalecen la transparencia institucional, construyendo sobre la fortaleza relativa del 75% en Probidad del IIGAM. La implementación de un sistema ERP integrará finanzas, adquisiciones, RRHH y planificación en una plataforma única, superando la fragmentación de información que hoy impide la toma de decisiones basada en evidencia.</w:t>
      </w:r>
    </w:p>
    <w:p w14:paraId="32498D76" w14:textId="77777777" w:rsidR="00096D74" w:rsidRDefault="00000000">
      <w:pPr>
        <w:spacing w:after="120" w:line="276" w:lineRule="auto"/>
        <w:jc w:val="both"/>
      </w:pPr>
      <w:r>
        <w:rPr>
          <w:color w:val="1A1A2E"/>
        </w:rPr>
        <w:t>El gobierno digital, conforme a la Ley 21.180, digitalizará los procedimientos administrativos antes del plazo legal de diciembre 2027. La urgencia no es solo normativa: la transformación digital es la vía más eficiente para mejorar el acceso a la información (58% en IIGAM) y la participación ciudadana (39% en IIGAM). El nuevo Reglamento Orgánico y el Control Interno actualizan el marco normativo municipal, y la capacitación en Ley Karin aborda el desconocimiento del 43% del personal.</w:t>
      </w:r>
    </w:p>
    <w:p w14:paraId="32498D77" w14:textId="77777777" w:rsidR="00096D74" w:rsidRDefault="00000000">
      <w:pPr>
        <w:spacing w:before="200" w:after="120" w:line="276" w:lineRule="auto"/>
      </w:pPr>
      <w:r>
        <w:rPr>
          <w:b/>
          <w:bCs/>
          <w:color w:val="333333"/>
          <w:sz w:val="24"/>
          <w:szCs w:val="24"/>
        </w:rPr>
        <w:t>Por qué 44 acciones: la lógica del eje habilitante</w:t>
      </w:r>
    </w:p>
    <w:p w14:paraId="32498D78" w14:textId="77777777" w:rsidR="00096D74" w:rsidRDefault="00000000">
      <w:pPr>
        <w:spacing w:after="120" w:line="276" w:lineRule="auto"/>
        <w:jc w:val="both"/>
      </w:pPr>
      <w:r>
        <w:rPr>
          <w:color w:val="1A1A2E"/>
        </w:rPr>
        <w:t>El Eje 6 concentra 44 acciones (22% del total) porque es la infraestructura institucional sobre la cual se construyen todos los demás ejes. Sin M&amp;E, no hay rendición de cuentas. Sin ERP, no hay información para decidir. Sin actualización de RRHH, no hay personal capacitado para ejecutar. Sin gobierno digital, no hay acceso ciudadano eficiente. Sin protocolo anticorrupción, no hay confianza institucional. Cada acción del Eje 6 es una condición necesaria para el éxito de acciones en los otros 5 ejes: el Teatro Municipal (Eje 1) requiere gestión BIP eficiente; la Dirección DEL (Eje 2) requiere estructura orgánica actualizada; la estabilización del DAEM (Eje 3) requiere gestión de RRHH modernizada; el PRC (Eje 4) requiere coordinación interdepartamental; y la consolidación de la DSP (Eje 5) requiere protocolos de seguimiento.</w:t>
      </w:r>
    </w:p>
    <w:p w14:paraId="32498D79" w14:textId="77777777" w:rsidR="00096D74" w:rsidRDefault="00000000">
      <w:pPr>
        <w:spacing w:before="200" w:after="120" w:line="276" w:lineRule="auto"/>
      </w:pPr>
      <w:r>
        <w:rPr>
          <w:b/>
          <w:bCs/>
          <w:color w:val="333333"/>
          <w:sz w:val="24"/>
          <w:szCs w:val="24"/>
        </w:rPr>
        <w:t>Indicadores clave</w:t>
      </w:r>
    </w:p>
    <w:p w14:paraId="32498D7A" w14:textId="77777777" w:rsidR="00096D74" w:rsidRDefault="00000000">
      <w:pPr>
        <w:spacing w:after="120" w:line="276" w:lineRule="auto"/>
        <w:jc w:val="both"/>
      </w:pPr>
      <w:r>
        <w:rPr>
          <w:color w:val="1A1A2E"/>
        </w:rPr>
        <w:lastRenderedPageBreak/>
        <w:t>Los indicadores del Eje 6 son: (i) IIGAM global: 57% → 75% al 2030, responsabilidad de Administración Municipal; (ii) Ejecución presupuestaria de inversión: 32,2% → 70% al 2028, monitoreado por SECPLAC y Finanzas; (iii) Cumplimiento PLADECO: 40% anterior → 80%+ al 2035, medido por la Unidad M&amp;E con reporte semestral al Concejo; (iv) Ley 21.180: cumplimiento total antes de diciembre 2027; (v) Participación Ciudadana IIGAM: 39% → 65%, medido por el IIGAM anual de SUBDERE.</w:t>
      </w:r>
    </w:p>
    <w:p w14:paraId="32498D7B" w14:textId="77777777" w:rsidR="00096D74" w:rsidRDefault="00000000">
      <w:pPr>
        <w:spacing w:before="240" w:after="160" w:line="276" w:lineRule="auto"/>
      </w:pPr>
      <w:r>
        <w:rPr>
          <w:b/>
          <w:color w:val="065A82"/>
          <w:sz w:val="28"/>
          <w:szCs w:val="28"/>
        </w:rPr>
        <w:t>La Articulación Institucional: Quién Hace Qué y Con Quién</w:t>
      </w:r>
    </w:p>
    <w:p w14:paraId="32498D7C" w14:textId="77777777" w:rsidR="00096D74" w:rsidRDefault="00000000">
      <w:pPr>
        <w:spacing w:after="120" w:line="276" w:lineRule="auto"/>
        <w:jc w:val="both"/>
      </w:pPr>
      <w:r>
        <w:rPr>
          <w:color w:val="1A1A2E"/>
        </w:rPr>
        <w:t>Una vez descritos los seis ejes y sus 200 políticas, surge la pregunta operativa fundamental: ¿quién es responsable de qué, y cómo se coordinan las 18 unidades municipales para ejecutar un plan de esta envergadura? El Análisis de Redes Sociales (SNA), basado en la metodología de Wasserman y Faust (1994) y la teoría de huecos estructurales de Burt (1992), permite responder con precisión cartográfica.</w:t>
      </w:r>
    </w:p>
    <w:p w14:paraId="32498D7D" w14:textId="77777777" w:rsidR="00096D74" w:rsidRDefault="00000000">
      <w:pPr>
        <w:spacing w:after="120" w:line="276" w:lineRule="auto"/>
        <w:jc w:val="both"/>
      </w:pPr>
      <w:r>
        <w:rPr>
          <w:color w:val="1A1A2E"/>
        </w:rPr>
        <w:t>El grafo muestra tres capas concéntricas. En el centro, las 13 unidades formales del Reglamento de Organización Interna (Decreto 1778/2018, modificado por Decreto 1287/2022) más 5 unidades operacionales — representadas como cuadrados coloreados. En el anillo intermedio, los 32 objetivos estratégicos como círculos cuyo tamaño es proporcional al número de acciones que contienen, coloreados según su eje. En el anillo exterior, los 10 actores institucionales externos — GORE, SERNATUR, SENCE, MINVU, MOP/DOH, MINSAL, SENAPRED, CORFO, COSOC y CGR — que configuran la arquitectura de gobernanza multinivel.</w:t>
      </w:r>
    </w:p>
    <w:p w14:paraId="32498D7E" w14:textId="77777777" w:rsidR="00096D74" w:rsidRDefault="00000000">
      <w:pPr>
        <w:spacing w:after="120" w:line="276" w:lineRule="auto"/>
        <w:jc w:val="both"/>
      </w:pPr>
      <w:r>
        <w:rPr>
          <w:color w:val="1A1A2E"/>
        </w:rPr>
        <w:t xml:space="preserve">Los vínculos del grafo son de tres tipos, cada uno con significado distinto. Las líneas grises continuas representan responsabilidad directa: qué unidad municipal ejecuta qué objetivo. Las líneas azules punteadas representan articulación sectorial: qué actor externo cofinancia o apoya técnicamente qué objetivo. Y las líneas amarillas discontinuas — las más importantes analíticamente — representan las 12 dependencias </w:t>
      </w:r>
      <w:proofErr w:type="spellStart"/>
      <w:r>
        <w:rPr>
          <w:color w:val="1A1A2E"/>
        </w:rPr>
        <w:t>inter-eje</w:t>
      </w:r>
      <w:proofErr w:type="spellEnd"/>
      <w:r>
        <w:rPr>
          <w:color w:val="1A1A2E"/>
        </w:rPr>
        <w:t>: conexiones entre objetivos de distintos ejes que deben coordinarse para funcionar.</w:t>
      </w:r>
    </w:p>
    <w:p w14:paraId="32498D7F" w14:textId="77777777" w:rsidR="00096D74" w:rsidRDefault="00000000">
      <w:pPr>
        <w:spacing w:after="120" w:line="276" w:lineRule="auto"/>
        <w:jc w:val="both"/>
      </w:pPr>
      <w:r>
        <w:rPr>
          <w:color w:val="1A1A2E"/>
        </w:rPr>
        <w:t>Las métricas de centralidad revelan la arquitectura de poder real del plan. El OE 6.6 (Cuentas Públicas) tiene la mayor centralidad de intermediación (</w:t>
      </w:r>
      <w:proofErr w:type="spellStart"/>
      <w:r>
        <w:rPr>
          <w:color w:val="1A1A2E"/>
        </w:rPr>
        <w:t>betweenness</w:t>
      </w:r>
      <w:proofErr w:type="spellEnd"/>
      <w:r>
        <w:rPr>
          <w:color w:val="1A1A2E"/>
        </w:rPr>
        <w:t xml:space="preserve"> 0,335) y de grado (</w:t>
      </w:r>
      <w:proofErr w:type="spellStart"/>
      <w:r>
        <w:rPr>
          <w:color w:val="1A1A2E"/>
        </w:rPr>
        <w:t>degree</w:t>
      </w:r>
      <w:proofErr w:type="spellEnd"/>
      <w:r>
        <w:rPr>
          <w:color w:val="1A1A2E"/>
        </w:rPr>
        <w:t xml:space="preserve"> 0,148, con 8 conexiones directas), lo que significa que es simultáneamente el nodo más conectado y el más intermediador. Esto tiene una implicancia práctica directa: si la rendición de cuentas falla, toda la cadena de gobernanza se fractura. SECPLAN ocupa el segundo lugar en intermediación (0,320), confirmando su rol como puente entre planificación y ejecución — pero también revelando su vulnerabilidad cuando su tasa de éxito en licitaciones es de solo 50,8%. DIDECO, con 6 conexiones y </w:t>
      </w:r>
      <w:proofErr w:type="spellStart"/>
      <w:r>
        <w:rPr>
          <w:color w:val="1A1A2E"/>
        </w:rPr>
        <w:t>betweenness</w:t>
      </w:r>
      <w:proofErr w:type="spellEnd"/>
      <w:r>
        <w:rPr>
          <w:color w:val="1A1A2E"/>
        </w:rPr>
        <w:t xml:space="preserve"> de 0,272, es la unidad más demandada operativamente, lo que confirma lo que la Etnografía documentó: concentra más del 70% de las citas textuales pero carece de vehículos y equipamiento básico.</w:t>
      </w:r>
    </w:p>
    <w:p w14:paraId="32498D80" w14:textId="77777777" w:rsidR="00096D74" w:rsidRDefault="00000000">
      <w:pPr>
        <w:spacing w:after="120" w:line="276" w:lineRule="auto"/>
        <w:jc w:val="both"/>
      </w:pPr>
      <w:r>
        <w:rPr>
          <w:color w:val="1A1A2E"/>
        </w:rPr>
        <w:t xml:space="preserve">La densidad de la red — 0,049 — es reveladora. Solo el 4,9% de todas las conexiones posibles existen, lo que confirma los huecos estructurales (Burt, 1992) detectados en la etnografía: la red institucional de Rengo es fragmentada, con comportamiento de silos entre ejes. Las 12 dependencias </w:t>
      </w:r>
      <w:proofErr w:type="spellStart"/>
      <w:r>
        <w:rPr>
          <w:color w:val="1A1A2E"/>
        </w:rPr>
        <w:t>inter-eje</w:t>
      </w:r>
      <w:proofErr w:type="spellEnd"/>
      <w:r>
        <w:rPr>
          <w:color w:val="1A1A2E"/>
        </w:rPr>
        <w:t xml:space="preserve"> (líneas amarillas) son precisamente el diseño del PLADECO para puentear esos huecos: OE 1.5 (prevención drogas) ↔ OE 5.1 (seguridad NNA), OE 3.2 (deserción escolar) ↔ OE 5.4 (convivencia escolar), OE 4.6 (medio ambiente) ↔ OE 6.4 (Unidad </w:t>
      </w:r>
      <w:r>
        <w:rPr>
          <w:color w:val="1A1A2E"/>
        </w:rPr>
        <w:lastRenderedPageBreak/>
        <w:t>MA), OE 2.1 (Dirección Económica) ↔ OE 6.5 (reforma institucional). Cada una de estas conexiones requiere un coordinador específico y un protocolo de articulación — sin ellos, los huecos estructurales persistirán.</w:t>
      </w:r>
    </w:p>
    <w:p w14:paraId="32498D81" w14:textId="77777777" w:rsidR="00096D74" w:rsidRDefault="00096D74"/>
    <w:p w14:paraId="32498D82" w14:textId="77777777" w:rsidR="00096D74" w:rsidRDefault="00000000">
      <w:pPr>
        <w:spacing w:before="120" w:after="60"/>
        <w:jc w:val="center"/>
      </w:pPr>
      <w:r>
        <w:rPr>
          <w:noProof/>
        </w:rPr>
        <w:drawing>
          <wp:inline distT="0" distB="0" distL="0" distR="0" wp14:anchorId="32498D98" wp14:editId="32498D99">
            <wp:extent cx="5334000" cy="3810000"/>
            <wp:effectExtent l="0" t="0" r="0" b="0"/>
            <wp:docPr id="510205431" name="Imagen 51020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32498D83" w14:textId="77777777" w:rsidR="00096D74" w:rsidRDefault="00000000">
      <w:pPr>
        <w:spacing w:before="120" w:after="60"/>
        <w:jc w:val="center"/>
      </w:pPr>
      <w:r>
        <w:rPr>
          <w:i/>
          <w:iCs/>
          <w:color w:val="64748B"/>
          <w:sz w:val="18"/>
          <w:szCs w:val="18"/>
        </w:rPr>
        <w:t>Figura 3. Análisis de Red Social (SNA) — Articulación Institucional entre Ejes</w:t>
      </w:r>
    </w:p>
    <w:p w14:paraId="32498D84" w14:textId="77777777" w:rsidR="00096D74" w:rsidRDefault="00000000">
      <w:pPr>
        <w:spacing w:after="120" w:line="276" w:lineRule="auto"/>
        <w:jc w:val="both"/>
      </w:pPr>
      <w:r>
        <w:rPr>
          <w:color w:val="1A1A2E"/>
        </w:rPr>
        <w:t xml:space="preserve">La lectura política del grafo es directa: el PLADECO no puede ejecutarse desde una sola dirección municipal. Requiere coordinación activa entre al menos 13 unidades internas y 10 actores externos, con 12 puntos críticos de articulación </w:t>
      </w:r>
      <w:proofErr w:type="spellStart"/>
      <w:r>
        <w:rPr>
          <w:color w:val="1A1A2E"/>
        </w:rPr>
        <w:t>inter-eje</w:t>
      </w:r>
      <w:proofErr w:type="spellEnd"/>
      <w:r>
        <w:rPr>
          <w:color w:val="1A1A2E"/>
        </w:rPr>
        <w:t>. La Unidad de Monitoreo y Evaluación (OE 6.1) es el mecanismo diseñado para gestionar esta complejidad relacional — su creación no es una acción más del plan: es la condición de posibilidad de todo lo demás.</w:t>
      </w:r>
    </w:p>
    <w:p w14:paraId="32498D85" w14:textId="77777777" w:rsidR="00096D74" w:rsidRDefault="00000000">
      <w:pPr>
        <w:pageBreakBefore/>
        <w:spacing w:before="360" w:after="200" w:line="276" w:lineRule="auto"/>
      </w:pPr>
      <w:r>
        <w:rPr>
          <w:b/>
          <w:bCs/>
          <w:color w:val="1C3557"/>
          <w:sz w:val="36"/>
          <w:szCs w:val="36"/>
        </w:rPr>
        <w:lastRenderedPageBreak/>
        <w:t>El PLADECO como Proyecto de Transformación Territorial</w:t>
      </w:r>
    </w:p>
    <w:p w14:paraId="32498D86" w14:textId="77777777" w:rsidR="00096D74" w:rsidRDefault="00096D74">
      <w:pPr>
        <w:spacing w:line="40" w:lineRule="exact"/>
        <w:rPr>
          <w:sz w:val="4"/>
          <w:szCs w:val="4"/>
        </w:rPr>
      </w:pPr>
    </w:p>
    <w:p w14:paraId="32498D87" w14:textId="77777777" w:rsidR="00096D74" w:rsidRDefault="00000000">
      <w:pPr>
        <w:spacing w:after="120" w:line="276" w:lineRule="auto"/>
        <w:jc w:val="both"/>
      </w:pPr>
      <w:r>
        <w:rPr>
          <w:color w:val="1A1A2E"/>
        </w:rPr>
        <w:t>Las 200 políticas que componen este Plan de Desarrollo Comunal no son un listado de buenas intenciones: son el resultado de un proceso de triangulación riguroso que cruza datos cuantitativos, percepciones ciudadanas, análisis institucional y marcos normativos. La convergencia de fuentes alcanza un 97,9%, lo que significa que prácticamente la totalidad de las acciones propuestas está respaldada por múltiples evidencias independientes. La inversión estimada para la implementación asciende a $46.000 millones, un monto que refleja la magnitud de la brecha acumulada pero también la ambición transformadora del instrumento.</w:t>
      </w:r>
    </w:p>
    <w:p w14:paraId="32498D88" w14:textId="77777777" w:rsidR="00096D74" w:rsidRDefault="00000000">
      <w:pPr>
        <w:spacing w:before="240" w:after="160" w:line="276" w:lineRule="auto"/>
      </w:pPr>
      <w:r>
        <w:rPr>
          <w:b/>
          <w:bCs/>
          <w:color w:val="065A82"/>
          <w:sz w:val="28"/>
          <w:szCs w:val="28"/>
        </w:rPr>
        <w:t>Qué hace diferente a este PLADECO</w:t>
      </w:r>
    </w:p>
    <w:p w14:paraId="32498D89" w14:textId="77777777" w:rsidR="00096D74" w:rsidRDefault="00000000">
      <w:pPr>
        <w:spacing w:after="120" w:line="276" w:lineRule="auto"/>
        <w:jc w:val="both"/>
      </w:pPr>
      <w:r>
        <w:rPr>
          <w:color w:val="1A1A2E"/>
        </w:rPr>
        <w:t xml:space="preserve">El PLADECO anterior (2019-2031), evaluado comparativamente con los planes de Curicó y Cerro Navia, obtuvo una puntuación de 7 sobre 20 en términos de estructura, coherencia y </w:t>
      </w:r>
      <w:proofErr w:type="spellStart"/>
      <w:r>
        <w:rPr>
          <w:color w:val="1A1A2E"/>
        </w:rPr>
        <w:t>medibilidad</w:t>
      </w:r>
      <w:proofErr w:type="spellEnd"/>
      <w:r>
        <w:rPr>
          <w:color w:val="1A1A2E"/>
        </w:rPr>
        <w:t>. Este Plan busca superar esa línea base con cuatro diferencias estructurales: (i) un diagnóstico basado en evidencia triangulada y no en percepciones anecdóticas; (ii) indicadores medibles con línea base, meta y responsable asignado para cada acción; (iii) una Unidad de M&amp;E que asegura el seguimiento continuo; y (iv) una arquitectura sistémica que reconoce las interdependencias entre ejes, evitando el tratamiento de los problemas como silos independientes.</w:t>
      </w:r>
    </w:p>
    <w:p w14:paraId="32498D8A" w14:textId="77777777" w:rsidR="00096D74" w:rsidRDefault="00000000">
      <w:pPr>
        <w:spacing w:after="120" w:line="276" w:lineRule="auto"/>
        <w:jc w:val="both"/>
      </w:pPr>
      <w:r>
        <w:rPr>
          <w:color w:val="1A1A2E"/>
        </w:rPr>
        <w:t xml:space="preserve">El Análisis de Red Social (SNA) identificó 12 dependencias </w:t>
      </w:r>
      <w:proofErr w:type="spellStart"/>
      <w:r>
        <w:rPr>
          <w:color w:val="1A1A2E"/>
        </w:rPr>
        <w:t>inter-eje</w:t>
      </w:r>
      <w:proofErr w:type="spellEnd"/>
      <w:r>
        <w:rPr>
          <w:color w:val="1A1A2E"/>
        </w:rPr>
        <w:t xml:space="preserve"> que demuestran el diseño sistémico del plan. Estas dependencias no son retoricas: significan que la ejecución de acciones en un eje depende del avance en otros. Por ejemplo, la consolidación de la DSP (Eje 5) depende de la actualización de RRHH (Eje 6); la reducción de infracción juvenil (Eje 5) depende de la cobertura educativa (Eje 3) y los programas comunitarios (Eje 1); la diversificación económica (Eje 2) depende del PRC actualizado (Eje 4). Esta red de dependencias obliga a una ejecución coordinada que el Eje 6 asegura con su arquitectura de gobernanza.</w:t>
      </w:r>
    </w:p>
    <w:p w14:paraId="32498D8B" w14:textId="77777777" w:rsidR="00096D74" w:rsidRDefault="00000000">
      <w:pPr>
        <w:spacing w:before="240" w:after="160" w:line="276" w:lineRule="auto"/>
      </w:pPr>
      <w:r>
        <w:rPr>
          <w:b/>
          <w:bCs/>
          <w:color w:val="065A82"/>
          <w:sz w:val="28"/>
          <w:szCs w:val="28"/>
        </w:rPr>
        <w:t>Supervisión ciudadana y rendición de cuentas</w:t>
      </w:r>
    </w:p>
    <w:p w14:paraId="32498D8C" w14:textId="77777777" w:rsidR="00096D74" w:rsidRDefault="00000000">
      <w:pPr>
        <w:spacing w:after="120" w:line="276" w:lineRule="auto"/>
        <w:jc w:val="both"/>
      </w:pPr>
      <w:r>
        <w:rPr>
          <w:color w:val="1A1A2E"/>
        </w:rPr>
        <w:t>El PLADECO establece mecanismos explícitos de supervisión ciudadana: el COSOC (Consejo de Organizaciones de la Sociedad Civil) funcionará con sesiones trimestrales de seguimiento; el Índice de Transparencia Comunal alcanza 97,89%, una fortaleza que debe mantenerse; y la rendición de cuentas semestral al Concejo Municipal incluirá tablero de indicadores público con semaforización. Estos mecanismos buscan que el Plan no sea patrimonio del equipo municipal sino de la comunidad entera: que cualquier ciudadano pueda verificar qué se prometió, qué se ejecutó y qué quedó pendiente.</w:t>
      </w:r>
    </w:p>
    <w:p w14:paraId="32498D8D" w14:textId="77777777" w:rsidR="00096D74" w:rsidRDefault="00000000">
      <w:pPr>
        <w:spacing w:before="240" w:after="160" w:line="276" w:lineRule="auto"/>
      </w:pPr>
      <w:r>
        <w:rPr>
          <w:b/>
          <w:bCs/>
          <w:color w:val="065A82"/>
          <w:sz w:val="28"/>
          <w:szCs w:val="28"/>
        </w:rPr>
        <w:t>Reflexión final: el PLADECO como proyecto político-institucional</w:t>
      </w:r>
    </w:p>
    <w:p w14:paraId="32498D8E" w14:textId="77777777" w:rsidR="00096D74" w:rsidRDefault="00000000">
      <w:pPr>
        <w:spacing w:after="120" w:line="276" w:lineRule="auto"/>
        <w:jc w:val="both"/>
      </w:pPr>
      <w:r>
        <w:rPr>
          <w:color w:val="1A1A2E"/>
        </w:rPr>
        <w:t xml:space="preserve">En la perspectiva de Kooiman (2003) sobre gobernanza interactiva, un plan de desarrollo comunal no es exclusivamente un documento técnico: es un proyecto político-institucional que reconfigura las relaciones entre el Estado local, la ciudadanía y los actores económicos. El PLADECO de Rengo asume esta dimensión: sus 200 políticas no solo prescriben acciones sino </w:t>
      </w:r>
      <w:r>
        <w:rPr>
          <w:color w:val="1A1A2E"/>
        </w:rPr>
        <w:lastRenderedPageBreak/>
        <w:t>que redefinen cómo el municipio se relaciona con su territorio. La creación de una Dirección de Desarrollo Económico, una Unidad de Medio Ambiente y una Unidad de M&amp;E no son ajustes organizacionales: son declaraciones de prioridades institucionales que modifican la estructura del poder local.</w:t>
      </w:r>
    </w:p>
    <w:p w14:paraId="32498D8F" w14:textId="77777777" w:rsidR="00096D74" w:rsidRDefault="00000000">
      <w:pPr>
        <w:spacing w:after="120" w:line="276" w:lineRule="auto"/>
        <w:jc w:val="both"/>
      </w:pPr>
      <w:r>
        <w:rPr>
          <w:color w:val="1A1A2E"/>
        </w:rPr>
        <w:t>La Imagen Objetivo 2035 dibuja una Rengo con mayor cohesión social, diversificación económica, excelencia educativa, sostenibilidad ambiental, seguridad ciudadana y una institucionalidad moderna y transparente. No se trata de una utopía: cada meta está calibrada sobre la base del diagnóstico, los recursos disponibles y la capacidad institucional proyectada.</w:t>
      </w:r>
    </w:p>
    <w:p w14:paraId="32498D90" w14:textId="77777777" w:rsidR="00096D74" w:rsidRDefault="00000000">
      <w:pPr>
        <w:spacing w:after="120" w:line="276" w:lineRule="auto"/>
        <w:jc w:val="both"/>
      </w:pPr>
      <w:r>
        <w:rPr>
          <w:color w:val="1A1A2E"/>
        </w:rPr>
        <w:t xml:space="preserve">Este PLADECO es, ante todo, un compromiso con los 65.786 habitantes de Rengo: con las familias del centro urbano y las localidades rurales, con los adultos mayores y los niños, con los emprendedores y los funcionarios públicos, con quienes llegaron ayer gracias al </w:t>
      </w:r>
      <w:proofErr w:type="spellStart"/>
      <w:r>
        <w:rPr>
          <w:color w:val="1A1A2E"/>
        </w:rPr>
        <w:t>Metrotren</w:t>
      </w:r>
      <w:proofErr w:type="spellEnd"/>
      <w:r>
        <w:rPr>
          <w:color w:val="1A1A2E"/>
        </w:rPr>
        <w:t xml:space="preserve"> y quienes han cultivado esta tierra durante generaciones. Es la hoja de ruta que une diagnóstico con acción, evidencia con voluntad política, y presente con un futuro que Rengo merece construir. La distancia entre el “ser” y el “deber ser” que identificó Matus no se salva con planes: se salva con ejecución, seguimiento y rendición de cuentas. Este Plan está diseñado para eso.</w:t>
      </w:r>
    </w:p>
    <w:p w14:paraId="32498D93" w14:textId="772BBBD5" w:rsidR="00096D74" w:rsidRDefault="00096D74" w:rsidP="00867C97">
      <w:pPr>
        <w:pageBreakBefore/>
        <w:spacing w:before="360" w:after="200" w:line="276" w:lineRule="auto"/>
      </w:pPr>
    </w:p>
    <w:sectPr w:rsidR="00096D7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8BE9" w14:textId="77777777" w:rsidR="00C64432" w:rsidRDefault="00C64432">
      <w:r>
        <w:separator/>
      </w:r>
    </w:p>
  </w:endnote>
  <w:endnote w:type="continuationSeparator" w:id="0">
    <w:p w14:paraId="022148CB" w14:textId="77777777" w:rsidR="00C64432" w:rsidRDefault="00C64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8D9B" w14:textId="7384B7E7" w:rsidR="00096D74" w:rsidRDefault="00000000">
    <w:pPr>
      <w:jc w:val="center"/>
    </w:pPr>
    <w:r>
      <w:rPr>
        <w:color w:val="666666"/>
        <w:sz w:val="16"/>
        <w:szCs w:val="16"/>
      </w:rPr>
      <w:t xml:space="preserve">Municipalidad de Rengo — 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867C9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0E86" w14:textId="77777777" w:rsidR="00C64432" w:rsidRDefault="00C64432">
      <w:r>
        <w:separator/>
      </w:r>
    </w:p>
  </w:footnote>
  <w:footnote w:type="continuationSeparator" w:id="0">
    <w:p w14:paraId="30FA9020" w14:textId="77777777" w:rsidR="00C64432" w:rsidRDefault="00C64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8D9A" w14:textId="77777777" w:rsidR="00096D74" w:rsidRDefault="00000000">
    <w:pPr>
      <w:jc w:val="right"/>
    </w:pPr>
    <w:r>
      <w:rPr>
        <w:i/>
        <w:iCs/>
        <w:color w:val="666666"/>
        <w:sz w:val="16"/>
        <w:szCs w:val="16"/>
      </w:rPr>
      <w:t>PLADECO Rengo 2025-2035 | Relato Estratégico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F52AB"/>
    <w:multiLevelType w:val="hybridMultilevel"/>
    <w:tmpl w:val="D0E47496"/>
    <w:lvl w:ilvl="0" w:tplc="054A5154">
      <w:start w:val="1"/>
      <w:numFmt w:val="bullet"/>
      <w:lvlText w:val="●"/>
      <w:lvlJc w:val="left"/>
      <w:pPr>
        <w:ind w:left="720" w:hanging="360"/>
      </w:pPr>
    </w:lvl>
    <w:lvl w:ilvl="1" w:tplc="8C64524A">
      <w:start w:val="1"/>
      <w:numFmt w:val="bullet"/>
      <w:lvlText w:val="○"/>
      <w:lvlJc w:val="left"/>
      <w:pPr>
        <w:ind w:left="1440" w:hanging="360"/>
      </w:pPr>
    </w:lvl>
    <w:lvl w:ilvl="2" w:tplc="50F6750A">
      <w:start w:val="1"/>
      <w:numFmt w:val="bullet"/>
      <w:lvlText w:val="■"/>
      <w:lvlJc w:val="left"/>
      <w:pPr>
        <w:ind w:left="2160" w:hanging="360"/>
      </w:pPr>
    </w:lvl>
    <w:lvl w:ilvl="3" w:tplc="604831A8">
      <w:start w:val="1"/>
      <w:numFmt w:val="bullet"/>
      <w:lvlText w:val="●"/>
      <w:lvlJc w:val="left"/>
      <w:pPr>
        <w:ind w:left="2880" w:hanging="360"/>
      </w:pPr>
    </w:lvl>
    <w:lvl w:ilvl="4" w:tplc="81BA3658">
      <w:start w:val="1"/>
      <w:numFmt w:val="bullet"/>
      <w:lvlText w:val="○"/>
      <w:lvlJc w:val="left"/>
      <w:pPr>
        <w:ind w:left="3600" w:hanging="360"/>
      </w:pPr>
    </w:lvl>
    <w:lvl w:ilvl="5" w:tplc="3780A372">
      <w:start w:val="1"/>
      <w:numFmt w:val="bullet"/>
      <w:lvlText w:val="■"/>
      <w:lvlJc w:val="left"/>
      <w:pPr>
        <w:ind w:left="4320" w:hanging="360"/>
      </w:pPr>
    </w:lvl>
    <w:lvl w:ilvl="6" w:tplc="F46436EC">
      <w:start w:val="1"/>
      <w:numFmt w:val="bullet"/>
      <w:lvlText w:val="●"/>
      <w:lvlJc w:val="left"/>
      <w:pPr>
        <w:ind w:left="5040" w:hanging="360"/>
      </w:pPr>
    </w:lvl>
    <w:lvl w:ilvl="7" w:tplc="6842380E">
      <w:start w:val="1"/>
      <w:numFmt w:val="bullet"/>
      <w:lvlText w:val="●"/>
      <w:lvlJc w:val="left"/>
      <w:pPr>
        <w:ind w:left="5760" w:hanging="360"/>
      </w:pPr>
    </w:lvl>
    <w:lvl w:ilvl="8" w:tplc="C584DA02">
      <w:start w:val="1"/>
      <w:numFmt w:val="bullet"/>
      <w:lvlText w:val="●"/>
      <w:lvlJc w:val="left"/>
      <w:pPr>
        <w:ind w:left="6480" w:hanging="360"/>
      </w:pPr>
    </w:lvl>
  </w:abstractNum>
  <w:num w:numId="1" w16cid:durableId="1557277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D74"/>
    <w:rsid w:val="00096D74"/>
    <w:rsid w:val="00325EA7"/>
    <w:rsid w:val="00867C97"/>
    <w:rsid w:val="00C644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8CEA"/>
  <w15:docId w15:val="{B65F8F81-F4DC-4E67-8E38-B23821FD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26</Pages>
  <Words>8959</Words>
  <Characters>49278</Characters>
  <Application>Microsoft Office Word</Application>
  <DocSecurity>0</DocSecurity>
  <Lines>410</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 Estrategico PLADECO Rengo 2025-2035</dc:title>
  <dc:creator>Municipalidad de Rengo</dc:creator>
  <dc:description>De la Situacion Actual a la Imagen Objetivo</dc:description>
  <cp:lastModifiedBy>Osvaldo Mañan</cp:lastModifiedBy>
  <cp:revision>2</cp:revision>
  <dcterms:created xsi:type="dcterms:W3CDTF">2026-04-09T23:48:00Z</dcterms:created>
  <dcterms:modified xsi:type="dcterms:W3CDTF">2026-04-10T02:34:00Z</dcterms:modified>
</cp:coreProperties>
</file>