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C3A5E"/>
          <w:sz w:val="22"/>
          <w:szCs w:val="22"/>
        </w:rPr>
        <w:t xml:space="preserve">ILUSTRE MUNICIPALIDAD DE RENGO</w:t>
      </w:r>
    </w:p>
    <w:p>
      <w:pPr>
        <w:spacing w:after="60" w:before="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Plan de Desarrollo Comunal 2025-2035 · Diagnóstico Institucional Integrado</w:t>
      </w:r>
    </w:p>
    <w:p>
      <w:pPr>
        <w:pBdr>
          <w:bottom w:val="single" w:color="1C3A5E" w:sz="8" w:space="2"/>
        </w:pBdr>
        <w:spacing w:after="120" w:before="0"/>
      </w:pPr>
      <w:r>
        <w:rPr>
          <w:rFonts w:ascii="Calibri" w:cs="Calibri" w:eastAsia="Calibri" w:hAnsi="Calibri"/>
          <w:b/>
          <w:bCs/>
          <w:color w:val="1C3A5E"/>
          <w:sz w:val="24"/>
          <w:szCs w:val="24"/>
        </w:rPr>
        <w:t xml:space="preserve">Tabla N° 2: Insumos Técnicos — Análisis de Documentos Internos Municipales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El presente cuadro sintetiza el análisis realizado a los 17 instrumentos de información que conforman el diagnóstico institucional del PLADECO 2025-2035. Cada instrumento fue revisado, procesado y analizado de forma independiente, generando recomendaciones estratégicas que se integran a los 6 ejes del Plan. La tabla constituye el respaldo documental del </w:t>
      </w:r>
      <w:r>
        <w:rPr>
          <w:rFonts w:ascii="Calibri" w:cs="Calibri" w:eastAsia="Calibri" w:hAnsi="Calibri"/>
          <w:b/>
          <w:bCs/>
          <w:color w:val="1C3A5E"/>
          <w:sz w:val="18"/>
          <w:szCs w:val="18"/>
        </w:rPr>
        <w:t xml:space="preserve">Capítulo 4. Documentos Internos Municipales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 del documento principal.</w:t>
      </w:r>
    </w:p>
    <w:p>
      <w:pPr>
        <w:spacing w:after="120" w:before="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1092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Instrumento de Información</w:t>
            </w:r>
          </w:p>
        </w:tc>
        <w:tc>
          <w:tcPr>
            <w:tcW w:type="dxa" w:w="10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Resumen del Análisis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Ordenanzas Municipales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analizaron 65 instrumentos normativos vigentes, incluyendo 55 decretos municipales (31 DTOs y 24 Decretos Alcaldicios) con un período de cobertura de 39 años (1984-2023).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análisis reveló que el 63,6% de los decretos vigentes tienen más de 20 años de antigüedad, evidenciando una significativa desactualización del marco normativo comunal. Se identificaron 8 vacíos normativos críticos, siendo los más graves las brechas absolutas de cobertura en Desarrollo Social (0% cobertura vs 90% necesidad), Salud (0% vs 85%) y Educación/Cultura (0% vs 80%).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composición normativa muestra concentración en Urbanismo y Territorio (41,8%), seguida de Derechos y Rentas (25,5%), mientras que Participación Ciudadana (3,6%) y Seguridad (3,6%) están subrepresentadas. El 50,9% de los decretos corresponde a modificaciones ("parcheo normativo"), revelando la ausencia de una política de actualización sistemática.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formularon 14 recomendaciones estratégicas, incluyendo la meta de alcanzar 70% de normativa con menos de 10 años al 2035 y la creación de un portal digital normativo al 100%.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Cuentas Públicas 2010-2025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recopiló y analizó 12 Cuentas Públicas de la Ilustre Municipalidad de Rengo (período 2013-2025), evidenciando una transformación institucional significativa.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superávit municipal evolucionó de -$304M (2012) a +$1.500M (2023), representando una mejora de $1.804M (+593%). El patrimonio neto pasó de -$1.460M (2012) a +$9.400M (2023), un incremento de +$10.860M (+744%), constituyendo el indicador de mayor transformación. La deuda exigible se redujo de $541M a $196M (-64%), mientras la transparencia activa CPLT mejoró de 16,41% a 97,89% (+81,5 pp). Las prestaciones de salud crecieron de 188.486 a 520.000 (+176%), y la inversión SECPLAC pasó de $2.000M a $20.000M (+900%).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Las cámaras de televisión aumentaron de 8 a 80 (+900%). El Índice de Desarrollo Humano Comunal (IDHC) mejoró de 0,51 a 0,74 (+45%), y el Índice Compuesto de Desempeño (ICD) de 0,10 a 0,88.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benchmarking regional 2023 posiciona a Rengo 1°-2° en transparencia (97,89%), patrimonio normalizado y prestaciones de salud por cada 1.000 hab. (8,30). Las brechas de género muestran avances: mujeres en cargos directivos pasaron de 22% (2013) a 42% (2023), y la brecha de empleo se redujo de 0,15 a 0,09. Resultados SIMCE mejoraron +15 a +20 pts entre 2013 y 2019 en todos los niveles, reduciendo la brecha con el promedio nacional de 21 a 14 pts en Comprensión Lectora.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Estados Financieros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Contraloría General de la República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analizaron los estados financieros del período 2018-2024, revelando un crecimiento patrimonial de +115% (CAGR 12,1% anual), 2,7 veces la inflación acumulada. Los activos totales pasaron de $18.315M (2018) a $36.463M (2024), con patrimonio neto de $15.742M a $33.827M.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razón corriente se mantiene sólida (6,42x vs referencia ≥2,0x), pero la dependencia de transferencias es 75,2% (umbral deseable ≤60%). El gasto en personal alcanza 74,0% del total ($46.235M), superando el umbral CGR de 70%; cada punto porcentual sobre el umbral equivale a $624M menos para inversión.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ejecución de inversiones cayó de 76% (2018) a 32,2% (2024), una reducción de 43,8 pp, con recursos no ejecutados estimados en $3.526M anuales. Las disponibilidades alcanzan $14.261M (2,6 meses de gasto), con un excedente sobre nivel óptimo de $4.000-5.000M y un costo de oportunidad de $150-200M anuales.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superávit muestra tendencia decreciente: de $3.683M (2021) a $2.765M (2024), -24,9%. Se proyecta un primer déficit operacional para el ejercicio 2027-2028 si no se implementan reformas de eficiencia. Estructura de personal: Planta 49,5%, Contrata 20,9%, Honorarios 29,6%; el personal a contrata creció +15,8% en 2023-2024. Los ingresos propios representan solo ~9% del total, el FCM ~16%, y las transferencias del Estado central ~75%, configurando una alta vulnerabilidad fiscal.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Auditorías de la Contraloría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General de la República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analizaron exhaustivamente 24 instrumentos de control emitidos por la CGR en 15 años (diciembre 2009 - julio 2024), incluyendo 9 Informes Finales de Auditoría, 3 Investigaciones Especiales, 1 Inspección de Obra Pública y 11 Informes/Oficios de Seguimiento.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detectaron 3 derivaciones al Ministerio Público por indicios de responsabilidad penal, constituyendo el hallazgo de mayor gravedad. El Edificio Consistorial concentró 5 instrumentos de control en 4 años, evidenciando irregularidades recurrentes en una sola obra. Se documentó fraccionamiento reiterado de contratos en 3 auditorías distintas (2012, 2015, 2017), contratos a honorarios encubiertos desde 2010 hasta 2021, y rendiciones deficientes durante 8 años consecutivos (2009-2017).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cuadro sinóptico de hallazgos identifica 10 áreas críticas: obras públicas con irregularidades graves (6 documentos, gravedad MUY ALTO), fraccionamiento de contratos (3 documentos, MUY ALTO), conflictos de interés no declarados (2 documentos, MUY ALTO), e indicios de responsabilidad penal (3 documentos, CRÍTICO).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semáforo CGR 2025 muestra incumplimientos en: reporte de dotación a DIPRES, DIPs no presentadas, percepción de ingresos de años anteriores (&lt;50%), y reporte de gastos Royalty a SUBDERE.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Instrumentos de Planificación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(PADEM, PLADECO, Plan Seguridad,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Política RRHH, PRC, PLASAM,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Presupuesto 2026)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revisaron integralmente los instrumentos de planificación vigentes al año 2026: PADEM 2026, PLADECO 2019-2031, Plan Comunal de Seguridad Pública 2025, Política de RRHH y Reglamento de Organización Interna, Memoria Explicativa PRC 2006 (con reformas), Plan de Salud Comunal 2026-2028 y Presupuesto Municipal 2026.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revisión permitió comprender el estado actual de la población (65.786 hab.), las instituciones, los diagnósticos sectoriales y las políticas de inversión de las 15 direcciones y departamentos municipales.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identificó que la Política de RRHH tiene 7 años sin actualizar (D.1248/2018), el PRC lleva 16 años sin revisión integral (2009), y la ordenanza de participación ciudadana tiene 14+ años sin modificación sustantiva.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diagnóstico SUBDERE 2023 ubica a Rengo en la posición N°11 de 33 municipalidades regionales, con una caída del indicador de logro de 80% (2018) a 58,4% (2023). El gasto corriente alcanza 84,57% del presupuesto total, cultura y recreación representan apenas 0,52%, y la dotación municipal es de 939 funcionarios con 34,5% de profesionalización y paridad de género 50/50.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Plan de Desarrollo Comunal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2019-2031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PLADECO 2019-2031 presenta un cumplimiento estimado del 40% a 6 años de su aprobación (Decreto N°1445/2019, 228 páginas), constituyendo el antecedente directo para la actualización 2025-2035. El análisis por eje estratégico revela cumplimientos heterogéneos, con brechas significativas en infraestructura rural, empleo juvenil, salud preventiva y gestión ambiental.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documento original carece de: análisis SNA de redes institucionales, dashboard ejecutivo con KPIs, coherencia interna verificable, análisis de género desagregado, matriz de riesgos, mapa de calor territorial, datos censales 2024, y protocolo de M&amp;E con fases definidas. La comparación con PLADECOs similares (Curicó 322 pp, Cerro Navia 174 pp) muestra que el PLADECO anterior alcanza 7/20 componentes técnicos evaluados.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actualización 2025-2035 incorpora las 93 acciones estratégicas en 6 ejes con 32 objetivos, 12 indicadores con línea base verificada, y la articulación con 159 acciones del Programa de Gobierno 2024-2028.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IIGAM comunal de 57% (15° regional, 7° provincial) evidencia debilidades en acceso a información (58%, cuartil inferior) que el nuevo PLADECO debe abordar como prioridad.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Banco Integrado de Proyectos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(BIP/SNI)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la cartera completa del BIP con 1.182 registros (420-426 códigos BIP únicos) correspondientes al período 1997-2025 (29 años), con una inversión total acumulada de $1.101 MM CLP. El costo promedio por registro es $931M, mientras la mediana es $105M (asimetría 8,9x), indicando concentración en pocos megaproyectos.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Las etapas muestran: Perfil 51,7% ($681M, 61,9% inversión), Ejecución 42,3% ($332M), Diseño 4,3%, con una brecha de materialización de $349 MM entre formulado y ejecutado. La tasa de materialización cayó de 49,4% (2006-2013) a 30,7% (2014-2025), señal de alerta sobre la capacidad de ejecución.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Los sectores líderes son: Recursos Hídricos (186 reg., 27,0% inversión, $297M), Multisectorial (141 reg., 28,7%, $316M), Transporte (245 reg., 15,6%, $172M) y Educación (243 reg., 12,5%, $137M). La evaluación RATE muestra que un proyecto RS tiene 8 veces más probabilidad de ejecutarse que uno OT (68,9% vs 11,2%).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HHI de formuladores es 0,4145 (alta concentración): la Municipalidad formula el 63,5% (750 registros). El HHI de fuentes financieras es 0,4112: FNDR concentra 54,4% ($542M). La brecha urbano-rural es significativa: zona urbana 74,7% de registros y $987M vs rural 25,3% y $113M, aunque la tasa de ejecución rural (54,2%) supera a la urbana (38,3%).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Compras Públicas y Licitaciones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analizaron 1.000 procesos de licitación de la Municipalidad de Rengo con un monto total de $7.011 millones CLP, revelando patrones de gestión y áreas de mejora. La tasa de adjudicación promedio es 78,0%, con 17,1% de licitaciones sin ofertas (171 casos) y 58,9% de licitaciones sin presupuesto publicado.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Por unidad municipal: DAEM/Educación lidera con 501 licitaciones (50,1%, éxito 87,0%); Salud con 185 (18,5%, éxito 84,9%); DAF con 184 (18,4%, éxito 75,5%); y SECPLAC con 130 (13,0%, éxito 50,8%).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comparación de períodos muestra deterioro: las licitaciones totales cayeron de 620 (2010-2017) a 380 (2018-2025), reducción de -39%; la tasa de adjudicación bajó de 84,8% a 71,6% (-13,3 pp); y las licitaciones sin ofertas aumentaron de 13,1% a 23,7% (+10,6 pp). El monto promedio por licitación creció de $11,8M a $42,2M (+258%), indicando concentración en procesos de mayor envergadura.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Por tipo: Bienes logra 89% éxito, Servicios 73%, y Obras solo 63%. SECPLAC presenta la tasa de éxito más baja (50,8%) pese a gestionar los montos más altos ($4.238M), evidenciando la necesidad de fortalecimiento en formulación técnica de proyectos de inversión.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Política de Recursos Humanos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la Política de Recursos Humanos vigente (Decreto N°1248/2018), que lleva 7 años sin actualización formal, período en que ocurrieron cambios normativos significativos (Ley 20.922 de modernización de carrera funcionaria), la pandemia COVID-19, la digitalización acelerada del Estado y la incorporación de perspectiva de género como estándar de gestión pública.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identificaron 7 brechas críticas: (1) Perspectiva de género no incorporada; (2) Bienestar laboral post-pandemia no contemplado; (3) Gestión por competencias digitales ausente; (4) Teletrabajo/trabajo híbrido sin regulación; (5) Actualización normativa Ley 20.922 parcialmente incorporada; (6) Sin sistema de indicadores de RRHH (rotación, capacitación, satisfacción); (7) Sin plan de sucesión documentado ante retiros masivos previstos 2025-2035. Todas en gravedad Alta.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encuesta a funcionarios municipales (n=116) reveló: solo 48% percibe relevancia de su trabajo, 22% reporta disputas laborales, 3% denuncia acoso sexual, y el DAEM acumula más de 170 sumarios activos por problemas de convivencia laboral.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dotación municipal es de 939 funcionarios (3° de 33 comunas regionales): Planta 120 (12,8%), Contrata 53 (5,6%), Honorarios 205 (21,8%), Honorarios a Programas 44 (4,7%). El nivel de profesionalización es 34,5% (puesto 26° de 33 comunas). El gasto en personal alcanza 74,0% del presupuesto total ($46.235M), superando el umbral CGR del 70%.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Orgánica Interna Municipal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el Reglamento de Organización Interna (Decreto N°1778/2018, modificado por Decreto N°1287/2022), que establece la estructura organizacional con 13 unidades diferenciadas. La Dirección de Seguridad Pública (creada en 2022) constituye el principal hito de modernización institucional del período.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análisis de alineamiento con los 6 ejes del PLADECO 2025-2035 identificó brechas estructurales críticas: el Eje 1 (Cultura/Turismo/Deportes) carece de unidad explícita de Turismo o Cultura; el Eje 2 (Desarrollo Económico) opera como Departamento sin rango de Dirección, con capacidad limitada; y el Eje 4 (Desarrollo Urbano y Medio Ambiente) no cuenta con Unidad de Medio Ambiente explícita en el organigrama.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análisis SNA de la red institucional interna identifica 21 nodos y 21 aristas: la Municipalidad es el nodo hub con 8 conexiones directas, SECPLAN tiene 6 conexiones y el mayor betweenness (intermediario fondos-proyectos), DIDECO 5 y Salud Municipal 4. Las 5 unidades más mencionadas en la etnografía institucional (DIDECO, SECPLAN, DOM, Depto. Salud, DSP) concentran más del 70% de las citas textuales relevantes, evidenciando concentración operativa.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hipótesis H1 de la etnografía se confirmó: existe una descoordinación sistémica entre planificación formal y operación real. El PLADECO propone: crear Unidad de Medio Ambiente (OE 6.4), elevar Departamento de Desarrollo Económico a rango de Dirección (OE 6.5), crear Unidad de M&amp;E del PLADECO en SECPLAN (OE 6.1) y actualizar integralmente la Política de RRHH (OE 6.2).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Política de Integridad Municipal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Convenio de Colaboración CGR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Nómina de Funcionarios Designados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la Política de Integridad Municipal (Decreto N°1416/2023) y el Convenio de Colaboración con la Contraloría General de la República (Decreto N°1064/2022, suscrito el 30/06/2022). La Política establece un Sistema de Integridad con 3 niveles: Comité Superior de Integridad (CSI, 5 directivos), Comités de Integridad (CI, 1 representante por unidad) y Oficial de Integridad (OI, 1 funcionario designado).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Nómina de Funcionarios Designados (Decreto N°0645/2023) identifica a 12 funcionarios que integran el sistema. El Convenio CGR en materia de Honorarios/RRHH cumplió 8 etapas satisfactoriamente; sin embargo, carece de acta de cierre formal, constituyendo una brecha administrativa pendiente.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identificó que Rengo se ubica sobre el promedio municipal nacional en formalización de integridad, pero con debilidades críticas: el Código de Ética referenciado en la Política no ha sido aprobado formalmente (solo el 40% de los municipios chilenos lo tiene), y no existe un mecanismo formal de monitoreo del cumplimiento de la Política de Integridad (solo el 15% de los municipios lo implementa).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articulación entre los instrumentos de integridad opera de forma aislada, sin sistema integrado de seguimiento.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Plan de Acción Comunal de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Cambio Climático (PACCC)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el PACCC vigente (Memo N°89), elaborado por la consultora IDOM Consulting. El plan se estructura en 3 ejes y 7 lineamientos: Eje 1 Adaptación (reducción de riesgos con SAT, eficiencia hídrica y protección de 439 ha de humedales); Eje 2 Mitigación (movilidad sustentable, gestión de residuos y eficiencia energética con techos solares); Eje 3 Transversalidad (gobernanza climática con Unidad de Cambio Climático y mesas técnicas).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Los datos críticos del diagnóstico climático revelan: 6 decretos de escasez hídrica desde 2006, 36,41% de la superficie con erosión moderada a severa, pérdida de 145 ha de bosque nativo (2001-2021, 7,2 ha/año), emisiones de energía estacionaria de 67,46 ktCO2e (primer emisor, Alcance 1), residuos 25,04 ktCO2e (tercer emisor), y 10 inundaciones en O'Higgins en 4 años.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Parque Solar Rengo (9.000 paneles, 17 GWh/año) evita 4.890 tCO2/año. El 21,9% de la población rural está más expuesta a eventos climáticos extremos.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hallazgo central es que el PACCC tiene coherencia técnica y vinculación vertical sólida, pero depende de dos condiciones no resueltas: (a) la creación de una Unidad de Cambio Climático con financiamiento basal, y (b) la incorporación explícita en el PLADECO 2025-2035. Sin ambas, el PACCC será un documento declarativo sin tracción institucional.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Plan Anual de Compras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Públicas 2026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el Plan Anual de Compras Públicas 2026 (Folio N°891, 30/01/2026) en el marco del análisis de 1.000 procesos de licitación históricos con un monto total de $7.011 millones CLP.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principal brecha identificada es la ausencia de informes de cumplimiento de ejercicios anteriores, lo que impide evaluar la eficiencia comparada del Plan 2026. Los datos históricos revelan deterioro: las licitaciones totales cayeron de 620 (2010-2017) a 380 (2018-2025), reducción de -39%; la tasa de adjudicación bajó de 84,8% a 71,6% (-13,3 pp); y las licitaciones sin ofertas aumentaron de 13,1% a 23,7%.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Por unidad, SECPLAC presenta la tasa de éxito más baja (50,8%) pese a gestionar los montos más altos ($4.238M), mientras DAEM/Educación lidera con 87,0% de éxito.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58,9% de las licitaciones no publica presupuesto estimado, dificultando la participación de proveedores. Se recomienda incorporar indicadores de ejecución y evaluación comparada con el Plan de años anteriores como estándar de gestión.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Presupuesto Municipal 2026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el Presupuesto Municipal 2026 (Decreto N°2117, 15/12/2025) en el contexto de la evolución financiera 2018-2024. Los estados financieros revelan un crecimiento patrimonial de +115% (CAGR 12,1%), con activos totales que pasaron de $18.315M a $36.463M.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Sin embargo, el gasto corriente alcanza el 84,57% del presupuesto total, el gasto en personal representa el 74,0% ($46.235M) superando el umbral CGR del 70%, y la ejecución de inversiones cayó de 76% (2018) a 32,2% (2024), con recursos no ejecutados estimados en $3.526M anuales.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Los Ingresos Propios Permanentes (IPP) representan solo el 34,6% de los ingresos totales, mientras la dependencia de transferencias del Estado central alcanza el 75,2% (umbral deseable ≤60%). El superávit muestra tendencia decreciente: de $3.683M (2021) a $2.765M (2024), -24,9%, proyectándose un primer déficit operacional para el ejercicio 2027-2028 si no se implementan reformas.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Cultura y recreación representan apenas el 0,52% del gasto municipal y el gasto social (DIDECO) solo el 4,91%. El PLADECO propone como metas incrementar el IPP a 44% al 2035 y reducir el gasto en personal al 65%.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Plan Anual de Capacitación 2026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el Plan Anual de Capacitación 2026 (Decreto N°229, 31/12/2025), que identifica 4 áreas prioritarias de formación para los funcionarios municipales. El plan se financia principalmente a través del Fondo SUBDERE (Ley 20.742).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análisis reveló brechas significativas respecto a las necesidades identificadas en el diagnóstico institucional: el plan no incluye capacitación en integridad ni en Ley Karin (21.643), pese a que el 43% de los funcionarios desconoce esta normativa vigente desde agosto de 2024.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DAEM acumula más de 170 sumarios activos por convivencia laboral, y la encuesta a funcionarios (n=116) muestra que el 22% reporta disputas laborales, el 20% reporta bromas desagradables en los últimos 12 meses, y se registraron 4 casos de acoso sexual (3%). El Reglamento de Capacitación data de 2011 (14 años sin actualización).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La profesionalización municipal es de 34,5% (puesto 26° de 33 comunas regionales). El 52% de los funcionarios desconoce los flujogramas de su propia unidad y el 62% demanda modernización institucional. El PLADECO propone elevar la profesionalización de 34,5% a 55% al 2035 mediante un plan de capacitación multi-fuente que articule SUBDERE, SENCE, convenios universitarios y programas sectoriales.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Protocolo de Prevención del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Acoso Laboral y Sexual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analizó el Protocolo de Prevención del Acoso Laboral y Sexual (Decreto N°1807/2023), aprobado en noviembre de 2023, es decir, 9 meses antes de la entrada en vigencia de la Ley 21.643 (Ley Karin) en agosto de 2024.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análisis normativo-institucional identificó 5 brechas críticas respecto a la Ley Karin: (1) no incorpora la violencia en el trabajo como categoría autónoma conforme a la nueva ley; (2) no establece la obligación de capacitación semestral obligatoria que la Ley Karin exige; (3) carece de registro formal de denuncias y seguimiento de casos; (4) no extiende la protección explícitamente a terceros (usuarios, proveedores, contratistas); (5) no contempla mecanismos de difusión activa y permanente del protocolo.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Estas brechas son de prioridad ALTA dado que la encuesta a funcionarios (n=116) reveló que el 43% desconoce la Ley Karin, el 22% reporta disputas laborales, el 20% reporta bromas desagradables en los últimos 12 meses, y se registraron 4 casos de acoso sexual (3%).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DAEM acumula más de 170 sumarios activos por problemas de convivencia laboral. La actualización del Protocolo a la Ley Karin constituye la primera brecha crítica identificada en el diagnóstico institucional (prioridad CRÍTICA) y se traduce en la acción OE 6.2 del PLADECO 2025-2035.</w:t>
            </w:r>
          </w:p>
        </w:tc>
      </w:tr>
      <w:tr>
        <w:trPr>
          <w:cantSplit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C3A5E"/>
                <w:sz w:val="18"/>
                <w:szCs w:val="18"/>
              </w:rPr>
              <w:t xml:space="preserve">Diagnóstico Institucional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Oficina Local de la Niñez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(OLN) — Rengo 2025</w:t>
            </w:r>
          </w:p>
        </w:tc>
        <w:tc>
          <w:tcPr>
            <w:tcW w:type="dxa" w:w="10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40" w:before="8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elaboró el Diagnóstico Comunal de Infancia en el marco de la Oficina Local de la Niñez, respondiendo al mandato de la Ley 21.430 (Sistema de Garantías y Protección Integral de los Derechos de la Niñez, 2022).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instrumento central fue la encuesta aplicada a 4.036 niñas, niños y adolescentes (49,61% de cobertura escolar comunal), constituyendo el mayor diagnóstico de infancia de la historia de Rengo. Se complementó con un focus group intersectorial (Dimensiones: Disponibilidad, Accesibilidad, Aceptabilidad y Adaptabilidad) y encuesta a 21 educadoras de jardines infantiles.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El diagnóstico se estructuró en 4 ejes de derechos: (1) Supervivencia, (2) Desarrollo, (3) Protección y (4) Participación. En cada eje se identificaron factores protectores y factores de riesgo. El hallazgo transversal más relevante: el 100% de los NNA evalúa negativamente el entorno que Rengo les ofrece en todas las dimensiones evaluadas.</w:t>
            </w:r>
          </w:p>
          <w:p>
            <w:pPr>
              <w:spacing w:after="40" w:before="50" w:line="252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7"/>
                <w:szCs w:val="17"/>
              </w:rPr>
              <w:t xml:space="preserve">Se formularon 7 recomendaciones estratégicas: (1) Estrategia Comunal de Salud Mental Infanto-Juvenil; (2) Plan de Ampliación de Cobertura Preescolar; (3) Programa de Fortalecimiento de Competencias Parentales; (4) Sistema de Información y Seguimiento de Derechos de la Infancia; (5) Plan de Recuperación del Espacio Público para la Infancia; (6) Política Local de Infancia y Adolescencia; (7) Fortalecimiento de Canales de Participación Protagónica de los NNA. El documento se integra como sección autónoma del PLADECO 2025-2035 y como insumo para la acreditación formal de la OLN.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9026"/>
      </w:tabs>
      <w:spacing w:after="0" w:before="60"/>
    </w:pPr>
    <w:r>
      <w:rPr>
        <w:rFonts w:ascii="Calibri" w:cs="Calibri" w:eastAsia="Calibri" w:hAnsi="Calibri"/>
        <w:color w:val="888888"/>
        <w:sz w:val="15"/>
        <w:szCs w:val="15"/>
      </w:rPr>
      <w:t xml:space="preserve">Uso interno · Abril 2026 · Elaborado por: Osvaldo Mañán Arce y Paula Ramírez Marambio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1C3A5E"/>
        <w:sz w:val="15"/>
        <w:szCs w:val="15"/>
      </w:rPr>
      <w:t xml:space="preserve">Página </w:t>
    </w:r>
    <w:r>
      <w:rPr>
        <w:rFonts w:ascii="Calibri" w:cs="Calibri" w:eastAsia="Calibri" w:hAnsi="Calibri"/>
        <w:color w:val="1C3A5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C3A5E"/>
        <w:sz w:val="15"/>
        <w:szCs w:val="15"/>
      </w:rPr>
      <w:t xml:space="preserve"> de </w:t>
    </w:r>
    <w:r>
      <w:rPr>
        <w:rFonts w:ascii="Calibri" w:cs="Calibri" w:eastAsia="Calibri" w:hAnsi="Calibri"/>
        <w:color w:val="1C3A5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1"/>
      </w:pBdr>
      <w:tabs>
        <w:tab w:val="right" w:pos="9026"/>
      </w:tabs>
      <w:spacing w:after="60" w:before="0"/>
    </w:pPr>
    <w:r>
      <w:rPr>
        <w:rFonts w:ascii="Calibri" w:cs="Calibri" w:eastAsia="Calibri" w:hAnsi="Calibri"/>
        <w:color w:val="888888"/>
        <w:sz w:val="15"/>
        <w:szCs w:val="15"/>
      </w:rPr>
      <w:t xml:space="preserve">Municipalidad de Rengo · PLADECO 2025-2035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b/>
        <w:bCs/>
        <w:color w:val="1C3A5E"/>
        <w:sz w:val="15"/>
        <w:szCs w:val="15"/>
      </w:rPr>
      <w:t xml:space="preserve">Tabla N°2 · Insumos Técnicos — Análisis de Documentos Internos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2026-04-22T18:09:56.900Z</dcterms:created>
  <dcterms:modified xsi:type="dcterms:W3CDTF">2026-04-22T18:09:56.902Z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