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PROJECT AUDIT REPORT</w:t>
      </w:r>
    </w:p>
    <w:p>
      <w:pPr>
        <w:spacing w:after="100"/>
        <w:jc w:val="center"/>
      </w:pPr>
      <w:r>
        <w:rPr>
          <w:rFonts w:ascii="Arial" w:cs="Arial" w:eastAsia="Arial" w:hAnsi="Arial"/>
          <w:color w:val="5DADE2"/>
          <w:sz w:val="36"/>
          <w:szCs w:val="36"/>
        </w:rPr>
        <w:t xml:space="preserve">abr-react-ts-grid</w:t>
      </w:r>
    </w:p>
    <w:p>
      <w:pPr>
        <w:spacing w:after="600"/>
        <w:jc w:val="center"/>
      </w:pPr>
      <w:r>
        <w:rPr>
          <w:rFonts w:ascii="Arial" w:cs="Arial" w:eastAsia="Arial" w:hAnsi="Arial"/>
          <w:color w:val="7F8C8D"/>
          <w:sz w:val="28"/>
          <w:szCs w:val="28"/>
        </w:rPr>
        <w:t xml:space="preserve">MultiTest / Capi Platform</w:t>
      </w:r>
    </w:p>
    <w:p>
      <w:pPr>
        <w:pBdr>
          <w:top w:val="single" w:color="1B4F72" w:sz="6" w:space="8"/>
        </w:pBdr>
        <w:spacing w:after="100"/>
        <w:jc w:val="center"/>
      </w:pPr>
      <w:r>
        <w:rPr>
          <w:rFonts w:ascii="Arial" w:cs="Arial" w:eastAsia="Arial" w:hAnsi="Arial"/>
          <w:sz w:val="24"/>
          <w:szCs w:val="24"/>
        </w:rPr>
        <w:t xml:space="preserve">Full Technical Audit</w:t>
      </w:r>
    </w:p>
    <w:p>
      <w:pPr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SCSS Rename | Broken References | Bug Report | Architecture | Roadmap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Date: 2026-04-03</w:t>
      </w:r>
    </w:p>
    <w:p>
      <w:pPr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Prepared by: Claude (Anthropic)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presents a full technical audit of the abr-react-ts-grid project, a React/TypeScript application that serves multiple Java-backend-integrated views via sessionId-based routing. The actively developed module is MultiTest/Capi, located under src/components/MultiTest/.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audit covers: SCSS rename impact analysis, broken reference detection, bug identification, architecture documentation, SCSS dependency mapping, unused file detection, legacy migration strategy, test organisation, and a phased roadmap for remediation.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Findings: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CRITICAL: Renaming to .module.scss breaks 26+ global className references in ReadyForTestTab.tsx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ReadyForTestTab.module.scss is the ONLY file missing @import 'mt-tokens' (design token drift)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12 source components have zero external references (dead code)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22+ root-level experiment files can be safely moved to _legacy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 orphan CSS files in src/assets never imported by any component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Entire src/pages/ directory is unreachable from the app entry point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Project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application is a Create React App (react-scripts 5.0.1) project with a custom webpack.config.js for production builds with obfuscation. The entry point is src/index.tsx, which renders different components based on the sessionId value injected by the Java backend via window.receiveDataFromJava().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2.1 Entry Point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Java desktop client calls window.receiveDataFromJava(jsonData, socketPort, sessionId, homeBanking, homeBankName, botJobId, botJobName). Based on the sessionId string, index.tsx renders one of six possible views: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sessionId Contains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 Rendered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botJobTasks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GridItem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 job task grid (desktop)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componentTasks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GridItemComp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 tasks grid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scannerGrid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GridItemScann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Element scanner (desktop)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mobileScannerGrid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GridItemScannMobile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Element scanner (mobile)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apiTestToolAI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ApiTestToolAI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Legacy API test tool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capiApiTestToolAI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ApiTestToolAINew (AppShell)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MultiTest/Capi platform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CRITICAL: The sessionId routing and receiveDataFromJava() contract must NOT be changed. These are the Java backend integration points.</w:t>
      </w:r>
    </w:p>
    <w:p>
      <w:pPr>
        <w:pStyle w:val="Heading2"/>
      </w:pPr>
      <w:r>
        <w:rPr>
          <w:b/>
          <w:bCs/>
        </w:rPr>
        <w:t xml:space="preserve">2.2 Architecture Diagram (Text)</w:t>
      </w:r>
    </w:p>
    <w:p>
      <w:pPr>
        <w:spacing w:after="60"/>
      </w:pPr>
      <w:r>
        <w:rPr>
          <w:rFonts w:ascii="JetBrains Mono" w:cs="JetBrains Mono" w:eastAsia="JetBrains Mono" w:hAnsi="JetBrains Mono"/>
          <w:b/>
          <w:bCs/>
          <w:sz w:val="20"/>
          <w:szCs w:val="20"/>
        </w:rPr>
        <w:t xml:space="preserve">Java Desktop Client (JavaFX WebView)</w:t>
      </w:r>
    </w:p>
    <w:p>
      <w:r>
        <w:rPr>
          <w:rFonts w:ascii="JetBrains Mono" w:cs="JetBrains Mono" w:eastAsia="JetBrains Mono" w:hAnsi="JetBrains Mono"/>
          <w:sz w:val="20"/>
          <w:szCs w:val="20"/>
        </w:rPr>
        <w:t xml:space="preserve">        |</w:t>
      </w:r>
    </w:p>
    <w:p>
      <w:r>
        <w:rPr>
          <w:rFonts w:ascii="JetBrains Mono" w:cs="JetBrains Mono" w:eastAsia="JetBrains Mono" w:hAnsi="JetBrains Mono"/>
          <w:sz w:val="20"/>
          <w:szCs w:val="20"/>
        </w:rPr>
        <w:t xml:space="preserve">        | window.receiveDataFromJava()</w:t>
      </w:r>
    </w:p>
    <w:p>
      <w:r>
        <w:rPr>
          <w:rFonts w:ascii="JetBrains Mono" w:cs="JetBrains Mono" w:eastAsia="JetBrains Mono" w:hAnsi="JetBrains Mono"/>
          <w:sz w:val="20"/>
          <w:szCs w:val="20"/>
        </w:rPr>
        <w:t xml:space="preserve">        v</w:t>
      </w:r>
    </w:p>
    <w:p>
      <w:r>
        <w:rPr>
          <w:rFonts w:ascii="JetBrains Mono" w:cs="JetBrains Mono" w:eastAsia="JetBrains Mono" w:hAnsi="JetBrains Mono"/>
          <w:b/>
          <w:bCs/>
          <w:sz w:val="20"/>
          <w:szCs w:val="20"/>
        </w:rPr>
        <w:t xml:space="preserve">  src/index.tsx  (React entry point)</w:t>
      </w:r>
    </w:p>
    <w:p>
      <w:r>
        <w:rPr>
          <w:rFonts w:ascii="JetBrains Mono" w:cs="JetBrains Mono" w:eastAsia="JetBrains Mono" w:hAnsi="JetBrains Mono"/>
          <w:sz w:val="20"/>
          <w:szCs w:val="20"/>
        </w:rPr>
        <w:t xml:space="preserve">        |</w:t>
      </w:r>
    </w:p>
    <w:p>
      <w:r>
        <w:rPr>
          <w:rFonts w:ascii="JetBrains Mono" w:cs="JetBrains Mono" w:eastAsia="JetBrains Mono" w:hAnsi="JetBrains Mono"/>
          <w:sz w:val="20"/>
          <w:szCs w:val="20"/>
        </w:rPr>
        <w:t xml:space="preserve">        |--- sessionId routing (string.includes())</w:t>
      </w:r>
    </w:p>
    <w:p>
      <w:r>
        <w:rPr>
          <w:rFonts w:ascii="JetBrains Mono" w:cs="JetBrains Mono" w:eastAsia="JetBrains Mono" w:hAnsi="JetBrains Mono"/>
          <w:sz w:val="20"/>
          <w:szCs w:val="20"/>
        </w:rPr>
        <w:t xml:space="preserve">        |</w:t>
      </w:r>
    </w:p>
    <w:p>
      <w:r>
        <w:rPr>
          <w:rFonts w:ascii="JetBrains Mono" w:cs="JetBrains Mono" w:eastAsia="JetBrains Mono" w:hAnsi="JetBrains Mono"/>
          <w:sz w:val="20"/>
          <w:szCs w:val="20"/>
        </w:rPr>
        <w:t xml:space="preserve">  +-----+------+-------+--------+---------+----------+</w:t>
      </w:r>
    </w:p>
    <w:p>
      <w:r>
        <w:rPr>
          <w:rFonts w:ascii="JetBrains Mono" w:cs="JetBrains Mono" w:eastAsia="JetBrains Mono" w:hAnsi="JetBrains Mono"/>
          <w:sz w:val="20"/>
          <w:szCs w:val="20"/>
        </w:rPr>
        <w:t xml:space="preserve">  |            |           |            |         |              |</w:t>
      </w:r>
    </w:p>
    <w:p>
      <w:r>
        <w:rPr>
          <w:rFonts w:ascii="JetBrains Mono" w:cs="JetBrains Mono" w:eastAsia="JetBrains Mono" w:hAnsi="JetBrains Mono"/>
          <w:sz w:val="18"/>
          <w:szCs w:val="18"/>
        </w:rPr>
        <w:t xml:space="preserve"> GridItem  GridItemComp GridItemScann Mobile  ApiTestAI  ApiTestAINew</w:t>
      </w:r>
    </w:p>
    <w:p>
      <w:r>
        <w:rPr>
          <w:rFonts w:ascii="JetBrains Mono" w:cs="JetBrains Mono" w:eastAsia="JetBrains Mono" w:hAnsi="JetBrains Mono"/>
          <w:sz w:val="20"/>
          <w:szCs w:val="20"/>
        </w:rPr>
        <w:t xml:space="preserve">                                                            |</w:t>
      </w:r>
    </w:p>
    <w:p>
      <w:r>
        <w:rPr>
          <w:rFonts w:ascii="JetBrains Mono" w:cs="JetBrains Mono" w:eastAsia="JetBrains Mono" w:hAnsi="JetBrains Mono"/>
          <w:b/>
          <w:bCs/>
          <w:sz w:val="20"/>
          <w:szCs w:val="20"/>
        </w:rPr>
        <w:t xml:space="preserve">                                                      AppShell</w:t>
      </w:r>
    </w:p>
    <w:p>
      <w:r>
        <w:rPr>
          <w:rFonts w:ascii="JetBrains Mono" w:cs="JetBrains Mono" w:eastAsia="JetBrains Mono" w:hAnsi="JetBrains Mono"/>
          <w:sz w:val="18"/>
          <w:szCs w:val="18"/>
        </w:rPr>
        <w:t xml:space="preserve">                                                   (ThemeProvider + i18n)</w:t>
      </w:r>
    </w:p>
    <w:p>
      <w:r>
        <w:rPr>
          <w:rFonts w:ascii="JetBrains Mono" w:cs="JetBrains Mono" w:eastAsia="JetBrains Mono" w:hAnsi="JetBrains Mono"/>
          <w:sz w:val="20"/>
          <w:szCs w:val="20"/>
        </w:rPr>
        <w:t xml:space="preserve">                                                            |</w:t>
      </w:r>
    </w:p>
    <w:p>
      <w:r>
        <w:rPr>
          <w:rFonts w:ascii="JetBrains Mono" w:cs="JetBrains Mono" w:eastAsia="JetBrains Mono" w:hAnsi="JetBrains Mono"/>
          <w:b/>
          <w:bCs/>
          <w:sz w:val="20"/>
          <w:szCs w:val="20"/>
        </w:rPr>
        <w:t xml:space="preserve">                                                     MultiTest/App</w:t>
      </w:r>
    </w:p>
    <w:p>
      <w:r>
        <w:rPr>
          <w:rFonts w:ascii="JetBrains Mono" w:cs="JetBrains Mono" w:eastAsia="JetBrains Mono" w:hAnsi="JetBrains Mono"/>
          <w:sz w:val="20"/>
          <w:szCs w:val="20"/>
        </w:rPr>
        <w:t xml:space="preserve">                                                            |</w:t>
      </w:r>
    </w:p>
    <w:p>
      <w:r>
        <w:rPr>
          <w:rFonts w:ascii="JetBrains Mono" w:cs="JetBrains Mono" w:eastAsia="JetBrains Mono" w:hAnsi="JetBrains Mono"/>
          <w:sz w:val="18"/>
          <w:szCs w:val="18"/>
        </w:rPr>
        <w:t xml:space="preserve">                            8 tabs: APIs | Workflow | DataGen | Ready | Running | Report | Library | AI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SCSS / Style Architecture</w:t>
      </w:r>
    </w:p>
    <w:p>
      <w:pPr>
        <w:pStyle w:val="Heading2"/>
      </w:pPr>
      <w:r>
        <w:rPr>
          <w:b/>
          <w:bCs/>
        </w:rPr>
        <w:t xml:space="preserve">3.1 Design Token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MultiTest module uses a centralised design token file (mt-tokens.scss) that defines SCSS variables and CSS custom properties. All other MultiTest SCSS files import mt-tokens and use its variables for consistency.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SCSS 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Imports mt-tokens?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mt-tokens.scss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 (source)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Design system definitions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mt-app.scss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 root, header, tabs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mt-shell.scss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AppShell bar, theme toggle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mt-atoms.scss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MethodBadge, StatusBadge, JsonBlock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mt-upload.scss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FileUploadPanel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mt-wizard.scss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BizWizard modal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mt-ai.scss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AIAssistantTab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mt-library.scss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TestLibraryTab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mt-store.scss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StoreTab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mt-debug.scss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DebugTab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mt-readytest.scss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ReadyForTestTab (re-declares own tokens)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bCs/>
        </w:rPr>
        <w:t xml:space="preserve">3.2 Token Drift in ReadyForTestTab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ReadyForTestTab SCSS file defines its own local variables instead of importing from mt-tokens: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 Variable (mt-readytest)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Token Equivalent (mt-tokens)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Match?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$mono: 'JetBrains Mono'...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$font-mono: 'JetBrains Mono'...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Similar but different name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$teal: #95d7d1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(no direct equivalent)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 color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$amber: #f59e0b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(no direct equivalent)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 color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$green: #34d399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(no direct equivalent)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 color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$blue: #60a5fa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(no direct equivalent)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 color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$red: #f87171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(no direct equivalent)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 color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$purple: #a78bfa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(no direct equivalent)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 color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file DOES correctly use CSS custom properties (var(--cs-bg), var(--cs-surface-2), etc.) which come from mt-tokens at runtime. The SCSS variable duplication is the issue.</w:t>
      </w:r>
    </w:p>
    <w:p>
      <w:pPr>
        <w:pStyle w:val="Heading2"/>
      </w:pPr>
      <w:r>
        <w:rPr>
          <w:b/>
          <w:bCs/>
        </w:rPr>
        <w:t xml:space="preserve">3.3 CSS Module Risk 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react-scripts (CRA) automatically enables CSS Modules for any file ending in .module.scss or .module.css. When a file is treated as a CSS Module: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All class names are locally scoped with hash suffixes (e.g., rft-exec-wrapper becomes ReadyForTestTab_rft-exec-wrapper__a1b2c)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The import must change from side-effect (import './file.scss') to named (import styles from './file.module.scss')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All className="rft-*" usages must change to className={styles["rft-exec-wrapper"]} (bracket notation for hyphenated names)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Currently, ReadyForTestTab.tsx has 26+ places using global string class names. Renaming to .module.scss without refactoring these will silently break all styling.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Bug Report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BUG-01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.module.scss breaks 26+ global classNames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ReadyForTestTab.tsx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.scss or :global wrapper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BUG-02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Missing @import mt-tokens (design token drift)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mt-readytest.scss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@import 'mt-tokens'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BUG-03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Duplicate testStore import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MultiTest/App.tsx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Remove line 11 duplicate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BUG-04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Misleading JSDoc comment on sessionId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ApiTestToolAINew.tsx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 comment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BUG-05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Self-referencing file: dependencies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Remove both entries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BUG-06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orphan CSS files in assets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src/assets/*.css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Move to _legacy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BUG-07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card.scss has 0 imports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src/components/card.scss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Move to _legacy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BUG-08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 test values in index.tsx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src/index.tsx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Zero before deploy (user aware)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5. Dependency Observations</w:t>
      </w:r>
    </w:p>
    <w:p>
      <w:pPr>
        <w:pStyle w:val="Heading2"/>
      </w:pPr>
      <w:r>
        <w:rPr>
          <w:b/>
          <w:bCs/>
        </w:rPr>
        <w:t xml:space="preserve">5.1 Package Dependencies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project includes several dependency categories: core React (react, react-dom), Material UI (@mui/material, @mui/icons-material), WebSocket/STOMP (@stomp/stompjs, react-stomp-hooks), i18n (i18next, react-i18next, i18next-http-backend, i18next-browser-languagedetector), DnD (react-beautiful-dnd), routing (react-router-dom), and styling (sass).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Notable observations: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@atlaskit/theme is included but appears unused in active code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react-beautiful-dnd is used only by legacy components (BlockInstructionsDnd, GridDrag2)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react-router-dom is listed as a dependency but no &lt;BrowserRouter&gt; or &lt;Routes&gt; exist in active code paths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css-box-model is a transitive dependency of react-beautiful-dnd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5.2 MultiTest Internal Dependencies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MultiTest module has a clean internal dependency structure centered on utils.ts (stores, types, REST helpers) and useMtT.ts (i18n bridge). The banking/ subdirectory provides plugin architecture for schema matching.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Depends 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utils.ts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(standalone)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App, ReadyForTestTab, ApiWorkflowTab, RunningTab, StoreTab, TestLibraryTab, etc.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useMtT.ts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../../i18n.ts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App, AppShell, all tabs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ThemeContext.tsx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(standalone)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AppShell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AtomComponents.tsx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mt-atoms.scss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ReadyForTestTab, ApiWorkflowTab, RunningTab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banking/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utils.ts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App.tsx (auto-registers plugins on import)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AIPrefsStore.ts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(standalone)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AIAssistantTab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reportGenerator.ts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utils.ts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RunningTab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6. Cleanup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conservative, phased approach is recommended. Files are categorised into three tiers based on risk: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1 - Safe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Move to _legacy immediately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 dead components, 4 orphan CSS, 22 root experiments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2 - Recommended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Move after team confirmation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src/pages/ (entire dir), scripts/ folder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 (verify backend)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3 - Risky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 review 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WebSocket components, Navigable, instructionsMockData chain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 (may have runtime deps)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move_to_legacy.bat script handles Tier 1 only. Tier 2 and 3 require manual verification with the backend/automation teams.</w:t>
      </w:r>
    </w:p>
    <w:p>
      <w:pPr>
        <w:pStyle w:val="Heading1"/>
      </w:pPr>
      <w:r>
        <w:rPr>
          <w:b/>
          <w:bCs/>
        </w:rPr>
        <w:t xml:space="preserve">7. Risk Assessment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Probability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.module.scss breaks styling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 (if deployed as-is)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:global wrapper or rename to .scss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Removing pages/ breaks backend route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 with Java team before removing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scripts/ needed by bot runtime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 not move until confirmed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Design token drift causes visual bugs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@import mt-tokens to ReadyForTestTab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 test values deployed to prod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 (user aware)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Zero values before build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8. Remediation Roadmap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Validate SCSS rename (resolve .module.scss risk)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Repair broken references (mt-tokens import, duplicate imports)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1-2 hrs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SCSS/global style audit (token alignment, collision check)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2-3 hrs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Unused file detection (verify 0-ref components)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hr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Legacy migration (run .bat script, verify build)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1-2 hrs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organisation (create tests_run/, move test data)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hr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Final regression (test all 6 sessionId views + 8 tabs)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2-3 hrs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 compatibility verification (coordinate with Java team)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1-2 hrs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estimated effort: 10-15 hours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Phases 1-2 are blocking and should be completed before any deployment. Phases 3-6 can be parallelised. Phases 7-8 must be done last.</w:t>
      </w:r>
    </w:p>
    <w:p>
      <w:pPr>
        <w:pStyle w:val="Heading1"/>
      </w:pPr>
      <w:r>
        <w:rPr>
          <w:b/>
          <w:bCs/>
        </w:rPr>
        <w:t xml:space="preserve">9. Local Test vs Production Values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state values in src/index.tsx must be toggled between local testing and production deployment: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 Test 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Production 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socketPort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49370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botJobId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botJobName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"Capi"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homeBanking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homeBankName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"Banca Statro"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"capiApiTestToolAI"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""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Recommendation: Consider using environment variables or a .env file to manage this toggle, avoiding manual edits before each build.</w:t>
      </w:r>
    </w:p>
    <w:p>
      <w:pPr>
        <w:spacing w:after="80"/>
      </w:pPr>
    </w:p>
    <w:p>
      <w:pPr>
        <w:spacing w:after="80"/>
      </w:pPr>
    </w:p>
    <w:p>
      <w:pPr>
        <w:pBdr>
          <w:top w:val="single" w:color="1B4F72" w:sz="4" w:space="8"/>
        </w:pBdr>
        <w:spacing w:before="40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End of Report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abr-react-ts-grid — Audit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2026-04-03T06:54:44.455Z</dcterms:created>
  <dcterms:modified xsi:type="dcterms:W3CDTF">2026-04-03T06:54:44.455Z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