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spacing w:after="200"/>
        <w:jc w:val="center"/>
      </w:pPr>
      <w:r>
        <w:rPr>
          <w:rFonts w:ascii="Arial" w:cs="Arial" w:eastAsia="Arial" w:hAnsi="Arial"/>
          <w:b/>
          <w:bCs/>
          <w:color w:val="1A3C6E"/>
          <w:sz w:val="56"/>
          <w:szCs w:val="56"/>
        </w:rPr>
        <w:t xml:space="preserve">CAPI Platform</w:t>
      </w:r>
    </w:p>
    <w:p>
      <w:pPr>
        <w:spacing w:after="200"/>
        <w:jc w:val="center"/>
      </w:pPr>
      <w:r>
        <w:rPr>
          <w:rFonts w:ascii="Arial" w:cs="Arial" w:eastAsia="Arial" w:hAnsi="Arial"/>
          <w:color w:val="2E75B6"/>
          <w:sz w:val="36"/>
          <w:szCs w:val="36"/>
        </w:rPr>
        <w:t xml:space="preserve">Architecture &amp; Implementation Manual</w:t>
      </w:r>
    </w:p>
    <w:p>
      <w:pPr>
        <w:pBdr>
          <w:bottom w:val="single" w:color="2E75B6" w:sz="6" w:space="1"/>
        </w:pBdr>
        <w:spacing w:after="100"/>
        <w:jc w:val="center"/>
      </w:pPr>
      <w:r>
        <w:rPr>
          <w:rFonts w:ascii="Arial" w:cs="Arial" w:eastAsia="Arial" w:hAnsi="Arial"/>
          <w:color w:val="666666"/>
          <w:sz w:val="24"/>
          <w:szCs w:val="24"/>
        </w:rPr>
        <w:t xml:space="preserve">Avaloq API Test Simulator</w:t>
      </w:r>
    </w:p>
    <w:p>
      <w:pPr>
        <w:spacing w:before="600"/>
      </w:pPr>
    </w:p>
    <w:p>
      <w:pPr>
        <w:jc w:val="center"/>
      </w:pPr>
      <w:r>
        <w:rPr>
          <w:rFonts w:ascii="Arial" w:cs="Arial" w:eastAsia="Arial" w:hAnsi="Arial"/>
          <w:color w:val="666666"/>
          <w:sz w:val="22"/>
          <w:szCs w:val="22"/>
        </w:rPr>
        <w:t xml:space="preserve">Version 2.0 — March 2026</w:t>
      </w:r>
    </w:p>
    <w:p>
      <w:pPr>
        <w:jc w:val="center"/>
      </w:pPr>
      <w:r>
        <w:rPr>
          <w:rFonts w:ascii="Arial" w:cs="Arial" w:eastAsia="Arial" w:hAnsi="Arial"/>
          <w:color w:val="666666"/>
          <w:sz w:val="22"/>
          <w:szCs w:val="22"/>
        </w:rPr>
        <w:t xml:space="preserve">Banking Context Layer • Plugin System • AI Integration • Test Library</w:t>
      </w:r>
    </w:p>
    <w:p>
      <w:pPr>
        <w:spacing w:before="200"/>
        <w:jc w:val="center"/>
      </w:pPr>
      <w:r>
        <w:rPr>
          <w:rFonts w:ascii="Arial" w:cs="Arial" w:eastAsia="Arial" w:hAnsi="Arial"/>
          <w:color w:val="999999"/>
          <w:sz w:val="20"/>
          <w:szCs w:val="20"/>
        </w:rPr>
        <w:t xml:space="preserve">Confidential — AllinWeb AG</w:t>
      </w:r>
    </w:p>
    <w:p>
      <w:pPr>
        <w:sectPr>
          <w:pgSz w:w="12240" w:h="15840" w:orient="portrait"/>
          <w:pgMar w:top="1440" w:right="1440" w:bottom="1440" w:left="1440" w:header="708" w:footer="708" w:gutter="0"/>
          <w:pgNumType/>
          <w:docGrid w:linePitch="360"/>
        </w:sectPr>
      </w:pPr>
    </w:p>
    <w:p>
      <w:pPr>
        <w:pStyle w:val="Heading1"/>
      </w:pPr>
      <w:r>
        <w:t xml:space="preserve">1. Executive Summary</w:t>
      </w:r>
    </w:p>
    <w:p>
      <w:pPr>
        <w:spacing w:after="120"/>
      </w:pPr>
      <w:r>
        <w:rPr>
          <w:rFonts w:ascii="Arial" w:cs="Arial" w:eastAsia="Arial" w:hAnsi="Arial"/>
          <w:sz w:val="22"/>
          <w:szCs w:val="22"/>
        </w:rPr>
        <w:t xml:space="preserve">The CAPI Platform (Avaloq API Test Simulator) is a React/TypeScript application for automated testing of Avaloq CAPI banking APIs. This document describes the complete architecture including the Banking Context Layer, Plugin System, AI Assistant integration, Schema Matching Engine, and Test Library.</w:t>
      </w:r>
    </w:p>
    <w:p>
      <w:pPr>
        <w:spacing w:after="120"/>
      </w:pPr>
      <w:r>
        <w:rPr>
          <w:rFonts w:ascii="Arial" w:cs="Arial" w:eastAsia="Arial" w:hAnsi="Arial"/>
          <w:sz w:val="22"/>
          <w:szCs w:val="22"/>
        </w:rPr>
        <w:t xml:space="preserve">The platform is designed to be extensible: while the current implementation targets Avaloq banking, the architecture supports additional industry contexts (insurance, telecom, healthcare) through the IndustryContext interface and plugin-based business rules.</w:t>
      </w:r>
    </w:p>
    <w:p>
      <w:pPr>
        <w:pStyle w:val="Heading1"/>
      </w:pPr>
      <w:r>
        <w:t xml:space="preserve">2. System Architecture</w:t>
      </w:r>
    </w:p>
    <w:p>
      <w:pPr>
        <w:pStyle w:val="Heading2"/>
      </w:pPr>
      <w:r>
        <w:t xml:space="preserve">2.1 Architecture Layers</w:t>
      </w:r>
    </w:p>
    <w:p>
      <w:pPr>
        <w:spacing w:after="120"/>
      </w:pPr>
      <w:r>
        <w:rPr>
          <w:rFonts w:ascii="Arial" w:cs="Arial" w:eastAsia="Arial" w:hAnsi="Arial"/>
          <w:sz w:val="22"/>
          <w:szCs w:val="22"/>
        </w:rPr>
        <w:t xml:space="preserve">The platform is organized into four layers: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160"/>
      </w:tblGrid>
      <w:tr>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3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Components</w:t>
            </w:r>
          </w:p>
        </w:tc>
        <w:tc>
          <w:tcPr>
            <w:tcW w:type="dxa" w:w="41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Responsibility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UI Layer</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 tabs: API Files, Workflow, Data Gen, Ready, Running, Report, Library, AI</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User interaction, navigation, file upload, test execution control</w:t>
            </w:r>
          </w:p>
        </w:tc>
      </w:tr>
      <w:tr>
        <w:tc>
          <w:tcPr>
            <w:tcW w:type="dxa" w:w="2200"/>
            <w:tcBorders>
              <w:top w:val="single" w:color="CCCCCC" w:sz="1"/>
              <w:left w:val="single" w:color="CCCCCC" w:sz="1"/>
              <w:bottom w:val="single" w:color="CCCCCC" w:sz="1"/>
              <w:right w:val="single" w:color="CCCCCC" w:sz="1"/>
            </w:tcBorders>
            <w:shd w:fill="EAF3DE" w:val="clear"/>
            <w:tcMar>
              <w:top w:type="dxa" w:w="80"/>
              <w:left w:type="dxa" w:w="120"/>
              <w:bottom w:type="dxa" w:w="80"/>
              <w:right w:type="dxa" w:w="120"/>
            </w:tcMar>
          </w:tcPr>
          <w:p>
            <w:r>
              <w:rPr>
                <w:rFonts w:ascii="Arial" w:cs="Arial" w:eastAsia="Arial" w:hAnsi="Arial"/>
                <w:sz w:val="20"/>
                <w:szCs w:val="20"/>
              </w:rPr>
              <w:t xml:space="preserve">Context Layer</w:t>
            </w:r>
          </w:p>
        </w:tc>
        <w:tc>
          <w:tcPr>
            <w:tcW w:type="dxa" w:w="3000"/>
            <w:tcBorders>
              <w:top w:val="single" w:color="CCCCCC" w:sz="1"/>
              <w:left w:val="single" w:color="CCCCCC" w:sz="1"/>
              <w:bottom w:val="single" w:color="CCCCCC" w:sz="1"/>
              <w:right w:val="single" w:color="CCCCCC" w:sz="1"/>
            </w:tcBorders>
            <w:shd w:fill="EAF3DE" w:val="clear"/>
            <w:tcMar>
              <w:top w:type="dxa" w:w="80"/>
              <w:left w:type="dxa" w:w="120"/>
              <w:bottom w:type="dxa" w:w="80"/>
              <w:right w:type="dxa" w:w="120"/>
            </w:tcMar>
          </w:tcPr>
          <w:p>
            <w:r>
              <w:rPr>
                <w:rFonts w:ascii="Arial" w:cs="Arial" w:eastAsia="Arial" w:hAnsi="Arial"/>
                <w:sz w:val="20"/>
                <w:szCs w:val="20"/>
              </w:rPr>
              <w:t xml:space="preserve">BankingContext.ts, IndustryContext interface</w:t>
            </w:r>
          </w:p>
        </w:tc>
        <w:tc>
          <w:tcPr>
            <w:tcW w:type="dxa" w:w="4160"/>
            <w:tcBorders>
              <w:top w:val="single" w:color="CCCCCC" w:sz="1"/>
              <w:left w:val="single" w:color="CCCCCC" w:sz="1"/>
              <w:bottom w:val="single" w:color="CCCCCC" w:sz="1"/>
              <w:right w:val="single" w:color="CCCCCC" w:sz="1"/>
            </w:tcBorders>
            <w:shd w:fill="EAF3DE" w:val="clear"/>
            <w:tcMar>
              <w:top w:type="dxa" w:w="80"/>
              <w:left w:type="dxa" w:w="120"/>
              <w:bottom w:type="dxa" w:w="80"/>
              <w:right w:type="dxa" w:w="120"/>
            </w:tcMar>
          </w:tcPr>
          <w:p>
            <w:r>
              <w:rPr>
                <w:rFonts w:ascii="Arial" w:cs="Arial" w:eastAsia="Arial" w:hAnsi="Arial"/>
                <w:sz w:val="20"/>
                <w:szCs w:val="20"/>
              </w:rPr>
              <w:t xml:space="preserve">10 categories, 50 subcategories, validators, data generators, business rulesets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Plugin Engine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PluginRegistry, built-in + external plugins</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Dynamic loading, enable/disable, rule evaluation, test case contribution</w:t>
            </w:r>
          </w:p>
        </w:tc>
      </w:tr>
      <w:tr>
        <w:tc>
          <w:tcPr>
            <w:tcW w:type="dxa" w:w="2200"/>
            <w:tcBorders>
              <w:top w:val="single" w:color="CCCCCC" w:sz="1"/>
              <w:left w:val="single" w:color="CCCCCC" w:sz="1"/>
              <w:bottom w:val="single" w:color="CCCCCC" w:sz="1"/>
              <w:right w:val="single" w:color="CCCCCC" w:sz="1"/>
            </w:tcBorders>
            <w:shd w:fill="EAF3DE" w:val="clear"/>
            <w:tcMar>
              <w:top w:type="dxa" w:w="80"/>
              <w:left w:type="dxa" w:w="120"/>
              <w:bottom w:type="dxa" w:w="80"/>
              <w:right w:type="dxa" w:w="120"/>
            </w:tcMar>
          </w:tcPr>
          <w:p>
            <w:r>
              <w:rPr>
                <w:rFonts w:ascii="Arial" w:cs="Arial" w:eastAsia="Arial" w:hAnsi="Arial"/>
                <w:sz w:val="20"/>
                <w:szCs w:val="20"/>
              </w:rPr>
              <w:t xml:space="preserve">AI Hub</w:t>
            </w:r>
          </w:p>
        </w:tc>
        <w:tc>
          <w:tcPr>
            <w:tcW w:type="dxa" w:w="3000"/>
            <w:tcBorders>
              <w:top w:val="single" w:color="CCCCCC" w:sz="1"/>
              <w:left w:val="single" w:color="CCCCCC" w:sz="1"/>
              <w:bottom w:val="single" w:color="CCCCCC" w:sz="1"/>
              <w:right w:val="single" w:color="CCCCCC" w:sz="1"/>
            </w:tcBorders>
            <w:shd w:fill="EAF3DE" w:val="clear"/>
            <w:tcMar>
              <w:top w:type="dxa" w:w="80"/>
              <w:left w:type="dxa" w:w="120"/>
              <w:bottom w:type="dxa" w:w="80"/>
              <w:right w:type="dxa" w:w="120"/>
            </w:tcMar>
          </w:tcPr>
          <w:p>
            <w:r>
              <w:rPr>
                <w:rFonts w:ascii="Arial" w:cs="Arial" w:eastAsia="Arial" w:hAnsi="Arial"/>
                <w:sz w:val="20"/>
                <w:szCs w:val="20"/>
              </w:rPr>
              <w:t xml:space="preserve">AIAssistantTab, 5 providers</w:t>
            </w:r>
          </w:p>
        </w:tc>
        <w:tc>
          <w:tcPr>
            <w:tcW w:type="dxa" w:w="4160"/>
            <w:tcBorders>
              <w:top w:val="single" w:color="CCCCCC" w:sz="1"/>
              <w:left w:val="single" w:color="CCCCCC" w:sz="1"/>
              <w:bottom w:val="single" w:color="CCCCCC" w:sz="1"/>
              <w:right w:val="single" w:color="CCCCCC" w:sz="1"/>
            </w:tcBorders>
            <w:shd w:fill="EAF3DE" w:val="clear"/>
            <w:tcMar>
              <w:top w:type="dxa" w:w="80"/>
              <w:left w:type="dxa" w:w="120"/>
              <w:bottom w:type="dxa" w:w="80"/>
              <w:right w:type="dxa" w:w="120"/>
            </w:tcMar>
          </w:tcPr>
          <w:p>
            <w:r>
              <w:rPr>
                <w:rFonts w:ascii="Arial" w:cs="Arial" w:eastAsia="Arial" w:hAnsi="Arial"/>
                <w:sz w:val="20"/>
                <w:szCs w:val="20"/>
              </w:rPr>
              <w:t xml:space="preserve">Multi-provider selection, context injection, response parsing, test generation</w:t>
            </w:r>
          </w:p>
        </w:tc>
      </w:tr>
    </w:tbl>
    <w:p>
      <w:pPr>
        <w:pStyle w:val="Heading2"/>
      </w:pPr>
      <w:r>
        <w:t xml:space="preserve">2.2 Core Data Flow</w:t>
      </w:r>
    </w:p>
    <w:p>
      <w:pPr>
        <w:pStyle w:val="ListParagraph"/>
        <w:numPr>
          <w:ilvl w:val="0"/>
          <w:numId w:val="2"/>
        </w:numPr>
      </w:pPr>
      <w:r>
        <w:rPr>
          <w:rFonts w:ascii="Arial" w:cs="Arial" w:eastAsia="Arial" w:hAnsi="Arial"/>
          <w:sz w:val="22"/>
          <w:szCs w:val="22"/>
        </w:rPr>
        <w:t xml:space="preserve">API schemas are loaded from the API Files tab (JSON, YAML, OpenAPI)</w:t>
      </w:r>
    </w:p>
    <w:p>
      <w:pPr>
        <w:pStyle w:val="ListParagraph"/>
        <w:numPr>
          <w:ilvl w:val="0"/>
          <w:numId w:val="2"/>
        </w:numPr>
      </w:pPr>
      <w:r>
        <w:rPr>
          <w:rFonts w:ascii="Arial" w:cs="Arial" w:eastAsia="Arial" w:hAnsi="Arial"/>
          <w:sz w:val="22"/>
          <w:szCs w:val="22"/>
        </w:rPr>
        <w:t xml:space="preserve">The Schema Matching Engine cross-references endpoints against banking categories using heuristic keyword scoring</w:t>
      </w:r>
    </w:p>
    <w:p>
      <w:pPr>
        <w:pStyle w:val="ListParagraph"/>
        <w:numPr>
          <w:ilvl w:val="0"/>
          <w:numId w:val="2"/>
        </w:numPr>
      </w:pPr>
      <w:r>
        <w:rPr>
          <w:rFonts w:ascii="Arial" w:cs="Arial" w:eastAsia="Arial" w:hAnsi="Arial"/>
          <w:sz w:val="22"/>
          <w:szCs w:val="22"/>
        </w:rPr>
        <w:t xml:space="preserve">Active plugins contribute business rules and additional matching context</w:t>
      </w:r>
    </w:p>
    <w:p>
      <w:pPr>
        <w:pStyle w:val="ListParagraph"/>
        <w:numPr>
          <w:ilvl w:val="0"/>
          <w:numId w:val="2"/>
        </w:numPr>
      </w:pPr>
      <w:r>
        <w:rPr>
          <w:rFonts w:ascii="Arial" w:cs="Arial" w:eastAsia="Arial" w:hAnsi="Arial"/>
          <w:sz w:val="22"/>
          <w:szCs w:val="22"/>
        </w:rPr>
        <w:t xml:space="preserve">Matched schemas generate parameterized test cases automatically</w:t>
      </w:r>
    </w:p>
    <w:p>
      <w:pPr>
        <w:pStyle w:val="ListParagraph"/>
        <w:numPr>
          <w:ilvl w:val="0"/>
          <w:numId w:val="2"/>
        </w:numPr>
      </w:pPr>
      <w:r>
        <w:rPr>
          <w:rFonts w:ascii="Arial" w:cs="Arial" w:eastAsia="Arial" w:hAnsi="Arial"/>
          <w:sz w:val="22"/>
          <w:szCs w:val="22"/>
        </w:rPr>
        <w:t xml:space="preserve">Generated test cards appear in the Test Library with green background for visual distinction</w:t>
      </w:r>
    </w:p>
    <w:p>
      <w:pPr>
        <w:pStyle w:val="ListParagraph"/>
        <w:numPr>
          <w:ilvl w:val="0"/>
          <w:numId w:val="2"/>
        </w:numPr>
      </w:pPr>
      <w:r>
        <w:rPr>
          <w:rFonts w:ascii="Arial" w:cs="Arial" w:eastAsia="Arial" w:hAnsi="Arial"/>
          <w:sz w:val="22"/>
          <w:szCs w:val="22"/>
        </w:rPr>
        <w:t xml:space="preserve">AI assistants can optionally enrich generated tests with additional business logic</w:t>
      </w:r>
    </w:p>
    <w:p>
      <w:pPr>
        <w:pStyle w:val="Heading1"/>
      </w:pPr>
      <w:r>
        <w:t xml:space="preserve">3. Banking Context Layer</w:t>
      </w:r>
    </w:p>
    <w:p>
      <w:pPr>
        <w:pStyle w:val="Heading2"/>
      </w:pPr>
      <w:r>
        <w:t xml:space="preserve">3.1 IndustryContext Interface</w:t>
      </w:r>
    </w:p>
    <w:p>
      <w:pPr>
        <w:spacing w:after="120"/>
      </w:pPr>
      <w:r>
        <w:rPr>
          <w:rFonts w:ascii="Arial" w:cs="Arial" w:eastAsia="Arial" w:hAnsi="Arial"/>
          <w:sz w:val="22"/>
          <w:szCs w:val="22"/>
        </w:rPr>
        <w:t xml:space="preserve">The IndustryContext interface is the abstraction point for supporting multiple business domains. Any future context (InsuranceContext, TelecomContext) must implement this interface:</w:t>
      </w:r>
    </w:p>
    <w:p>
      <w:pPr>
        <w:pStyle w:val="ListParagraph"/>
        <w:numPr>
          <w:ilvl w:val="0"/>
          <w:numId w:val="3"/>
        </w:numPr>
      </w:pPr>
      <w:r>
        <w:rPr>
          <w:rFonts w:ascii="Arial" w:cs="Arial" w:eastAsia="Arial" w:hAnsi="Arial"/>
          <w:b/>
          <w:bCs/>
          <w:sz w:val="22"/>
          <w:szCs w:val="22"/>
        </w:rPr>
        <w:t xml:space="preserve">id</w:t>
      </w:r>
      <w:r>
        <w:rPr>
          <w:rFonts w:ascii="Arial" w:cs="Arial" w:eastAsia="Arial" w:hAnsi="Arial"/>
          <w:sz w:val="22"/>
          <w:szCs w:val="22"/>
        </w:rPr>
        <w:t xml:space="preserve"> — Unique identifier (e.g., 'avaloq-banking')</w:t>
      </w:r>
    </w:p>
    <w:p>
      <w:pPr>
        <w:pStyle w:val="ListParagraph"/>
        <w:numPr>
          <w:ilvl w:val="0"/>
          <w:numId w:val="3"/>
        </w:numPr>
      </w:pPr>
      <w:r>
        <w:rPr>
          <w:rFonts w:ascii="Arial" w:cs="Arial" w:eastAsia="Arial" w:hAnsi="Arial"/>
          <w:b/>
          <w:bCs/>
          <w:sz w:val="22"/>
          <w:szCs w:val="22"/>
        </w:rPr>
        <w:t xml:space="preserve">categories</w:t>
      </w:r>
      <w:r>
        <w:rPr>
          <w:rFonts w:ascii="Arial" w:cs="Arial" w:eastAsia="Arial" w:hAnsi="Arial"/>
          <w:sz w:val="22"/>
          <w:szCs w:val="22"/>
        </w:rPr>
        <w:t xml:space="preserve"> — Array of BusinessCategory with subcategories</w:t>
      </w:r>
    </w:p>
    <w:p>
      <w:pPr>
        <w:pStyle w:val="ListParagraph"/>
        <w:numPr>
          <w:ilvl w:val="0"/>
          <w:numId w:val="3"/>
        </w:numPr>
      </w:pPr>
      <w:r>
        <w:rPr>
          <w:rFonts w:ascii="Arial" w:cs="Arial" w:eastAsia="Arial" w:hAnsi="Arial"/>
          <w:b/>
          <w:bCs/>
          <w:sz w:val="22"/>
          <w:szCs w:val="22"/>
        </w:rPr>
        <w:t xml:space="preserve">rulesets</w:t>
      </w:r>
      <w:r>
        <w:rPr>
          <w:rFonts w:ascii="Arial" w:cs="Arial" w:eastAsia="Arial" w:hAnsi="Arial"/>
          <w:sz w:val="22"/>
          <w:szCs w:val="22"/>
        </w:rPr>
        <w:t xml:space="preserve"> — Business rules with evaluate() functions</w:t>
      </w:r>
    </w:p>
    <w:p>
      <w:pPr>
        <w:pStyle w:val="ListParagraph"/>
        <w:numPr>
          <w:ilvl w:val="0"/>
          <w:numId w:val="3"/>
        </w:numPr>
      </w:pPr>
      <w:r>
        <w:rPr>
          <w:rFonts w:ascii="Arial" w:cs="Arial" w:eastAsia="Arial" w:hAnsi="Arial"/>
          <w:b/>
          <w:bCs/>
          <w:sz w:val="22"/>
          <w:szCs w:val="22"/>
        </w:rPr>
        <w:t xml:space="preserve">validators</w:t>
      </w:r>
      <w:r>
        <w:rPr>
          <w:rFonts w:ascii="Arial" w:cs="Arial" w:eastAsia="Arial" w:hAnsi="Arial"/>
          <w:sz w:val="22"/>
          <w:szCs w:val="22"/>
        </w:rPr>
        <w:t xml:space="preserve"> — IBAN, BIC, ISIN, amount, currency, date validators</w:t>
      </w:r>
    </w:p>
    <w:p>
      <w:pPr>
        <w:pStyle w:val="ListParagraph"/>
        <w:numPr>
          <w:ilvl w:val="0"/>
          <w:numId w:val="3"/>
        </w:numPr>
      </w:pPr>
      <w:r>
        <w:rPr>
          <w:rFonts w:ascii="Arial" w:cs="Arial" w:eastAsia="Arial" w:hAnsi="Arial"/>
          <w:b/>
          <w:bCs/>
          <w:sz w:val="22"/>
          <w:szCs w:val="22"/>
        </w:rPr>
        <w:t xml:space="preserve">dataGenerators</w:t>
      </w:r>
      <w:r>
        <w:rPr>
          <w:rFonts w:ascii="Arial" w:cs="Arial" w:eastAsia="Arial" w:hAnsi="Arial"/>
          <w:sz w:val="22"/>
          <w:szCs w:val="22"/>
        </w:rPr>
        <w:t xml:space="preserve"> — Synthetic data generators for banking entities</w:t>
      </w:r>
    </w:p>
    <w:p>
      <w:pPr>
        <w:pStyle w:val="Heading2"/>
      </w:pPr>
      <w:r>
        <w:t xml:space="preserve">3.2 Banking Categories (10 Categories, 50 Subcategories)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5960"/>
      </w:tblGrid>
      <w:tr>
        <w:tc>
          <w:tcPr>
            <w:tcW w:type="dxa" w:w="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59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Subcategories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Client Management</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Onboarding, Profile Update, Address Mgmt, Closure, Segmentation</w:t>
            </w:r>
          </w:p>
        </w:tc>
      </w:tr>
      <w:tr>
        <w:tc>
          <w:tcPr>
            <w:tcW w:type="dxa" w:w="6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2</w:t>
            </w:r>
          </w:p>
        </w:tc>
        <w:tc>
          <w:tcPr>
            <w:tcW w:type="dxa" w:w="28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Account Lifecycle</w:t>
            </w:r>
          </w:p>
        </w:tc>
        <w:tc>
          <w:tcPr>
            <w:tcW w:type="dxa" w:w="596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Opening, Funding, Balance Ops, Limits, Closure</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Payments &amp; Transfers</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Internal Transfers, External Payments, Scheduled, Validation, Reconciliation</w:t>
            </w:r>
          </w:p>
        </w:tc>
      </w:tr>
      <w:tr>
        <w:tc>
          <w:tcPr>
            <w:tcW w:type="dxa" w:w="6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4</w:t>
            </w:r>
          </w:p>
        </w:tc>
        <w:tc>
          <w:tcPr>
            <w:tcW w:type="dxa" w:w="28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Investment Portfolio</w:t>
            </w:r>
          </w:p>
        </w:tc>
        <w:tc>
          <w:tcPr>
            <w:tcW w:type="dxa" w:w="596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Creation, Asset Allocation, Rebalancing, Valuation, Reporting</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Trading Operations</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Equity Orders, Bond Orders, Order Lifecycle, Settlement, Cancellation</w:t>
            </w:r>
          </w:p>
        </w:tc>
      </w:tr>
      <w:tr>
        <w:tc>
          <w:tcPr>
            <w:tcW w:type="dxa" w:w="6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6</w:t>
            </w:r>
          </w:p>
        </w:tc>
        <w:tc>
          <w:tcPr>
            <w:tcW w:type="dxa" w:w="28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Compliance &amp; KYC</w:t>
            </w:r>
          </w:p>
        </w:tc>
        <w:tc>
          <w:tcPr>
            <w:tcW w:type="dxa" w:w="596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KYC Updates, AML Checks, Document Verification, Risk Classification, Regulatory</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7</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Corporate Actions</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Dividend Distribution, Stock Split, Maturity, Coupon Payments, Adjustments</w:t>
            </w:r>
          </w:p>
        </w:tc>
      </w:tr>
      <w:tr>
        <w:tc>
          <w:tcPr>
            <w:tcW w:type="dxa" w:w="6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8</w:t>
            </w:r>
          </w:p>
        </w:tc>
        <w:tc>
          <w:tcPr>
            <w:tcW w:type="dxa" w:w="28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Lending &amp; Credit</w:t>
            </w:r>
          </w:p>
        </w:tc>
        <w:tc>
          <w:tcPr>
            <w:tcW w:type="dxa" w:w="596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Loan Creation, Credit Checks, Collateral, Repayment, Closure</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9</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Reporting &amp; Monitoring</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Client Statements, Portfolio Reports, Activity, Audit Logs, Metrics</w:t>
            </w:r>
          </w:p>
        </w:tc>
      </w:tr>
      <w:tr>
        <w:tc>
          <w:tcPr>
            <w:tcW w:type="dxa" w:w="6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10</w:t>
            </w:r>
          </w:p>
        </w:tc>
        <w:tc>
          <w:tcPr>
            <w:tcW w:type="dxa" w:w="28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Operational Maintenance</w:t>
            </w:r>
          </w:p>
        </w:tc>
        <w:tc>
          <w:tcPr>
            <w:tcW w:type="dxa" w:w="596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Data Maintenance, Batch Processing, System Monitoring, Error Recovery, Controls</w:t>
            </w:r>
          </w:p>
        </w:tc>
      </w:tr>
    </w:tbl>
    <w:p>
      <w:pPr>
        <w:pStyle w:val="Heading2"/>
      </w:pPr>
      <w:r>
        <w:t xml:space="preserve">3.3 Banking Validators</w:t>
      </w:r>
    </w:p>
    <w:p>
      <w:pPr>
        <w:spacing w:after="120"/>
      </w:pPr>
      <w:r>
        <w:rPr>
          <w:rFonts w:ascii="Arial" w:cs="Arial" w:eastAsia="Arial" w:hAnsi="Arial"/>
          <w:sz w:val="22"/>
          <w:szCs w:val="22"/>
        </w:rPr>
        <w:t xml:space="preserve">Eight built-in validators ensure data integrity: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860"/>
      </w:tblGrid>
      <w:tr>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Validator</w:t>
            </w:r>
          </w:p>
        </w:tc>
        <w:tc>
          <w:tcPr>
            <w:tcW w:type="dxa" w:w="3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Validates</w:t>
            </w:r>
          </w:p>
        </w:tc>
        <w:tc>
          <w:tcPr>
            <w:tcW w:type="dxa" w:w="38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Example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IBAN</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15-34 chars, 2 letters + 2 digits + alphanumeric</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CH93 0076 2011 6238 5295 7</w:t>
            </w:r>
          </w:p>
        </w:tc>
      </w:tr>
      <w:tr>
        <w:tc>
          <w:tcPr>
            <w:tcW w:type="dxa" w:w="20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BIC/SWIFT</w:t>
            </w:r>
          </w:p>
        </w:tc>
        <w:tc>
          <w:tcPr>
            <w:tcW w:type="dxa" w:w="35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8 or 11 alphanumeric chars</w:t>
            </w:r>
          </w:p>
        </w:tc>
        <w:tc>
          <w:tcPr>
            <w:tcW w:type="dxa" w:w="386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UBSWCHZH80A</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ISIN</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 letters + 9 alphanumeric + 1 check digit</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CH0012032048</w:t>
            </w:r>
          </w:p>
        </w:tc>
      </w:tr>
      <w:tr>
        <w:tc>
          <w:tcPr>
            <w:tcW w:type="dxa" w:w="20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Amount</w:t>
            </w:r>
          </w:p>
        </w:tc>
        <w:tc>
          <w:tcPr>
            <w:tcW w:type="dxa" w:w="35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Non-negative, max 999,999,999.99</w:t>
            </w:r>
          </w:p>
        </w:tc>
        <w:tc>
          <w:tcPr>
            <w:tcW w:type="dxa" w:w="386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150000.50</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Currency</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CHF, EUR, USD, GBP, JPY + 7 others</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CHF</w:t>
            </w:r>
          </w:p>
        </w:tc>
      </w:tr>
      <w:tr>
        <w:tc>
          <w:tcPr>
            <w:tcW w:type="dxa" w:w="20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Date</w:t>
            </w:r>
          </w:p>
        </w:tc>
        <w:tc>
          <w:tcPr>
            <w:tcW w:type="dxa" w:w="35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ISO 8601 format (YYYY-MM-DD)</w:t>
            </w:r>
          </w:p>
        </w:tc>
        <w:tc>
          <w:tcPr>
            <w:tcW w:type="dxa" w:w="386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2026-03-18</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Client ID</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Positive integer</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10042</w:t>
            </w:r>
          </w:p>
        </w:tc>
      </w:tr>
      <w:tr>
        <w:tc>
          <w:tcPr>
            <w:tcW w:type="dxa" w:w="20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Risk Class</w:t>
            </w:r>
          </w:p>
        </w:tc>
        <w:tc>
          <w:tcPr>
            <w:tcW w:type="dxa" w:w="35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LOW, MEDIUM, HIGH, VERY_HIGH</w:t>
            </w:r>
          </w:p>
        </w:tc>
        <w:tc>
          <w:tcPr>
            <w:tcW w:type="dxa" w:w="386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MEDIUM</w:t>
            </w:r>
          </w:p>
        </w:tc>
      </w:tr>
    </w:tbl>
    <w:p>
      <w:pPr>
        <w:pStyle w:val="Heading2"/>
      </w:pPr>
      <w:r>
        <w:t xml:space="preserve">3.4 Business Rulesets</w:t>
      </w:r>
    </w:p>
    <w:p>
      <w:pPr>
        <w:spacing w:after="120"/>
      </w:pPr>
      <w:r>
        <w:rPr>
          <w:rFonts w:ascii="Arial" w:cs="Arial" w:eastAsia="Arial" w:hAnsi="Arial"/>
          <w:sz w:val="22"/>
          <w:szCs w:val="22"/>
        </w:rPr>
        <w:t xml:space="preserve">The banking context includes rulesets for Payment Limits &amp; Controls, KYC/AML Compliance, Account Management, Trading Compliance, and Portfolio Management. Each rule includes an evaluate() function that can be executed against test data at runtime.</w:t>
      </w:r>
    </w:p>
    <w:p>
      <w:r>
        <w:br w:type="page"/>
      </w:r>
    </w:p>
    <w:p>
      <w:pPr>
        <w:pStyle w:val="Heading1"/>
      </w:pPr>
      <w:r>
        <w:t xml:space="preserve">4. Plugin System</w:t>
      </w:r>
    </w:p>
    <w:p>
      <w:pPr>
        <w:pStyle w:val="Heading2"/>
      </w:pPr>
      <w:r>
        <w:t xml:space="preserve">4.1 Plugin Architecture</w:t>
      </w:r>
    </w:p>
    <w:p>
      <w:pPr>
        <w:spacing w:after="120"/>
      </w:pPr>
      <w:r>
        <w:rPr>
          <w:rFonts w:ascii="Arial" w:cs="Arial" w:eastAsia="Arial" w:hAnsi="Arial"/>
          <w:sz w:val="22"/>
          <w:szCs w:val="22"/>
        </w:rPr>
        <w:t xml:space="preserve">Each plugin (CapiPlugin) contains:</w:t>
      </w:r>
    </w:p>
    <w:p>
      <w:pPr>
        <w:pStyle w:val="ListParagraph"/>
        <w:numPr>
          <w:ilvl w:val="0"/>
          <w:numId w:val="3"/>
        </w:numPr>
      </w:pPr>
      <w:r>
        <w:rPr>
          <w:rFonts w:ascii="Arial" w:cs="Arial" w:eastAsia="Arial" w:hAnsi="Arial"/>
          <w:b/>
          <w:bCs/>
          <w:sz w:val="22"/>
          <w:szCs w:val="22"/>
        </w:rPr>
        <w:t xml:space="preserve">metadata</w:t>
      </w:r>
      <w:r>
        <w:rPr>
          <w:rFonts w:ascii="Arial" w:cs="Arial" w:eastAsia="Arial" w:hAnsi="Arial"/>
          <w:sz w:val="22"/>
          <w:szCs w:val="22"/>
        </w:rPr>
        <w:t xml:space="preserve"> — ID, name, version, icon, description, category, tags, enabled flag</w:t>
      </w:r>
    </w:p>
    <w:p>
      <w:pPr>
        <w:pStyle w:val="ListParagraph"/>
        <w:numPr>
          <w:ilvl w:val="0"/>
          <w:numId w:val="3"/>
        </w:numPr>
      </w:pPr>
      <w:r>
        <w:rPr>
          <w:rFonts w:ascii="Arial" w:cs="Arial" w:eastAsia="Arial" w:hAnsi="Arial"/>
          <w:b/>
          <w:bCs/>
          <w:sz w:val="22"/>
          <w:szCs w:val="22"/>
        </w:rPr>
        <w:t xml:space="preserve">rules</w:t>
      </w:r>
      <w:r>
        <w:rPr>
          <w:rFonts w:ascii="Arial" w:cs="Arial" w:eastAsia="Arial" w:hAnsi="Arial"/>
          <w:sz w:val="22"/>
          <w:szCs w:val="22"/>
        </w:rPr>
        <w:t xml:space="preserve"> — BusinessRule[] with evaluate() functions</w:t>
      </w:r>
    </w:p>
    <w:p>
      <w:pPr>
        <w:pStyle w:val="ListParagraph"/>
        <w:numPr>
          <w:ilvl w:val="0"/>
          <w:numId w:val="3"/>
        </w:numPr>
      </w:pPr>
      <w:r>
        <w:rPr>
          <w:rFonts w:ascii="Arial" w:cs="Arial" w:eastAsia="Arial" w:hAnsi="Arial"/>
          <w:b/>
          <w:bCs/>
          <w:sz w:val="22"/>
          <w:szCs w:val="22"/>
        </w:rPr>
        <w:t xml:space="preserve">validators</w:t>
      </w:r>
      <w:r>
        <w:rPr>
          <w:rFonts w:ascii="Arial" w:cs="Arial" w:eastAsia="Arial" w:hAnsi="Arial"/>
          <w:sz w:val="22"/>
          <w:szCs w:val="22"/>
        </w:rPr>
        <w:t xml:space="preserve"> — Additional field validators</w:t>
      </w:r>
    </w:p>
    <w:p>
      <w:pPr>
        <w:pStyle w:val="ListParagraph"/>
        <w:numPr>
          <w:ilvl w:val="0"/>
          <w:numId w:val="3"/>
        </w:numPr>
      </w:pPr>
      <w:r>
        <w:rPr>
          <w:rFonts w:ascii="Arial" w:cs="Arial" w:eastAsia="Arial" w:hAnsi="Arial"/>
          <w:b/>
          <w:bCs/>
          <w:sz w:val="22"/>
          <w:szCs w:val="22"/>
        </w:rPr>
        <w:t xml:space="preserve">generators</w:t>
      </w:r>
      <w:r>
        <w:rPr>
          <w:rFonts w:ascii="Arial" w:cs="Arial" w:eastAsia="Arial" w:hAnsi="Arial"/>
          <w:sz w:val="22"/>
          <w:szCs w:val="22"/>
        </w:rPr>
        <w:t xml:space="preserve"> — Synthetic data generators</w:t>
      </w:r>
    </w:p>
    <w:p>
      <w:pPr>
        <w:pStyle w:val="ListParagraph"/>
        <w:numPr>
          <w:ilvl w:val="0"/>
          <w:numId w:val="3"/>
        </w:numPr>
      </w:pPr>
      <w:r>
        <w:rPr>
          <w:rFonts w:ascii="Arial" w:cs="Arial" w:eastAsia="Arial" w:hAnsi="Arial"/>
          <w:b/>
          <w:bCs/>
          <w:sz w:val="22"/>
          <w:szCs w:val="22"/>
        </w:rPr>
        <w:t xml:space="preserve">testCases</w:t>
      </w:r>
      <w:r>
        <w:rPr>
          <w:rFonts w:ascii="Arial" w:cs="Arial" w:eastAsia="Arial" w:hAnsi="Arial"/>
          <w:sz w:val="22"/>
          <w:szCs w:val="22"/>
        </w:rPr>
        <w:t xml:space="preserve"> — LibraryTestCase[] contributed to the Test Library</w:t>
      </w:r>
    </w:p>
    <w:p>
      <w:pPr>
        <w:pStyle w:val="ListParagraph"/>
        <w:numPr>
          <w:ilvl w:val="0"/>
          <w:numId w:val="3"/>
        </w:numPr>
      </w:pPr>
      <w:r>
        <w:rPr>
          <w:rFonts w:ascii="Arial" w:cs="Arial" w:eastAsia="Arial" w:hAnsi="Arial"/>
          <w:b/>
          <w:bCs/>
          <w:sz w:val="22"/>
          <w:szCs w:val="22"/>
        </w:rPr>
        <w:t xml:space="preserve">lifecycle hooks</w:t>
      </w:r>
      <w:r>
        <w:rPr>
          <w:rFonts w:ascii="Arial" w:cs="Arial" w:eastAsia="Arial" w:hAnsi="Arial"/>
          <w:sz w:val="22"/>
          <w:szCs w:val="22"/>
        </w:rPr>
        <w:t xml:space="preserve"> — onLoad(), onEnable(), onDisable()</w:t>
      </w:r>
    </w:p>
    <w:p>
      <w:pPr>
        <w:pStyle w:val="Heading2"/>
      </w:pPr>
      <w:r>
        <w:t xml:space="preserve">4.2 Built-in Plugins (10)</w:t>
      </w:r>
    </w:p>
    <w:p>
      <w:pPr>
        <w:spacing w:after="120"/>
      </w:pPr>
      <w:r>
        <w:rPr>
          <w:rFonts w:ascii="Arial" w:cs="Arial" w:eastAsia="Arial" w:hAnsi="Arial"/>
          <w:sz w:val="22"/>
          <w:szCs w:val="22"/>
        </w:rPr>
        <w:t xml:space="preserve">One plugin per business category, each containing domain-specific rules and sample test cases: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500"/>
        <w:gridCol w:w="1500"/>
        <w:gridCol w:w="3360"/>
      </w:tblGrid>
      <w:tr>
        <w:tc>
          <w:tcPr>
            <w:tcW w:type="dxa" w:w="3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Plugin</w:t>
            </w:r>
          </w:p>
        </w:tc>
        <w:tc>
          <w:tcPr>
            <w:tcW w:type="dxa" w:w="1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Rules</w:t>
            </w:r>
          </w:p>
        </w:tc>
        <w:tc>
          <w:tcPr>
            <w:tcW w:type="dxa" w:w="1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Tests</w:t>
            </w:r>
          </w:p>
        </w:tc>
        <w:tc>
          <w:tcPr>
            <w:tcW w:type="dxa" w:w="3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Category</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Client Management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client-management</w:t>
            </w:r>
          </w:p>
        </w:tc>
      </w:tr>
      <w:tr>
        <w:tc>
          <w:tcPr>
            <w:tcW w:type="dxa" w:w="30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Account Lifecycle</w:t>
            </w:r>
          </w:p>
        </w:tc>
        <w:tc>
          <w:tcPr>
            <w:tcW w:type="dxa" w:w="15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2</w:t>
            </w:r>
          </w:p>
        </w:tc>
        <w:tc>
          <w:tcPr>
            <w:tcW w:type="dxa" w:w="15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5</w:t>
            </w:r>
          </w:p>
        </w:tc>
        <w:tc>
          <w:tcPr>
            <w:tcW w:type="dxa" w:w="336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account-lifecycle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Payments &amp; Transfers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payments-transfers</w:t>
            </w:r>
          </w:p>
        </w:tc>
      </w:tr>
      <w:tr>
        <w:tc>
          <w:tcPr>
            <w:tcW w:type="dxa" w:w="30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Investment Portfolio</w:t>
            </w:r>
          </w:p>
        </w:tc>
        <w:tc>
          <w:tcPr>
            <w:tcW w:type="dxa" w:w="15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2</w:t>
            </w:r>
          </w:p>
        </w:tc>
        <w:tc>
          <w:tcPr>
            <w:tcW w:type="dxa" w:w="15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3</w:t>
            </w:r>
          </w:p>
        </w:tc>
        <w:tc>
          <w:tcPr>
            <w:tcW w:type="dxa" w:w="336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investment-portfolio</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Trading Operations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trading-operations</w:t>
            </w:r>
          </w:p>
        </w:tc>
      </w:tr>
      <w:tr>
        <w:tc>
          <w:tcPr>
            <w:tcW w:type="dxa" w:w="30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Compliance &amp; KYC</w:t>
            </w:r>
          </w:p>
        </w:tc>
        <w:tc>
          <w:tcPr>
            <w:tcW w:type="dxa" w:w="15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3</w:t>
            </w:r>
          </w:p>
        </w:tc>
        <w:tc>
          <w:tcPr>
            <w:tcW w:type="dxa" w:w="15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3</w:t>
            </w:r>
          </w:p>
        </w:tc>
        <w:tc>
          <w:tcPr>
            <w:tcW w:type="dxa" w:w="336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compliance-kyc</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Corporate Actions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corporate-actions</w:t>
            </w:r>
          </w:p>
        </w:tc>
      </w:tr>
      <w:tr>
        <w:tc>
          <w:tcPr>
            <w:tcW w:type="dxa" w:w="30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Lending &amp; Credit</w:t>
            </w:r>
          </w:p>
        </w:tc>
        <w:tc>
          <w:tcPr>
            <w:tcW w:type="dxa" w:w="15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2</w:t>
            </w:r>
          </w:p>
        </w:tc>
        <w:tc>
          <w:tcPr>
            <w:tcW w:type="dxa" w:w="15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2</w:t>
            </w:r>
          </w:p>
        </w:tc>
        <w:tc>
          <w:tcPr>
            <w:tcW w:type="dxa" w:w="336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lending-credit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Reporting &amp; Monitoring</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reporting-monitoring</w:t>
            </w:r>
          </w:p>
        </w:tc>
      </w:tr>
      <w:tr>
        <w:tc>
          <w:tcPr>
            <w:tcW w:type="dxa" w:w="30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Operational Maintenance</w:t>
            </w:r>
          </w:p>
        </w:tc>
        <w:tc>
          <w:tcPr>
            <w:tcW w:type="dxa" w:w="15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1</w:t>
            </w:r>
          </w:p>
        </w:tc>
        <w:tc>
          <w:tcPr>
            <w:tcW w:type="dxa" w:w="15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3</w:t>
            </w:r>
          </w:p>
        </w:tc>
        <w:tc>
          <w:tcPr>
            <w:tcW w:type="dxa" w:w="336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operational-maintenance</w:t>
            </w:r>
          </w:p>
        </w:tc>
      </w:tr>
    </w:tbl>
    <w:p>
      <w:pPr>
        <w:pStyle w:val="Heading2"/>
      </w:pPr>
      <w:r>
        <w:t xml:space="preserve">4.3 External Plugins</w:t>
      </w:r>
    </w:p>
    <w:p>
      <w:pPr>
        <w:spacing w:after="120"/>
      </w:pPr>
      <w:r>
        <w:rPr>
          <w:rFonts w:ascii="Arial" w:cs="Arial" w:eastAsia="Arial" w:hAnsi="Arial"/>
          <w:sz w:val="22"/>
          <w:szCs w:val="22"/>
        </w:rPr>
        <w:t xml:space="preserve">External plugins are loaded from JSON files. The plugin JSON format includes metadata, rules (with evaluateBody as a string function body), and testCases. The PluginRegistry.loadFromJSON() method handles parsing and registration.</w:t>
      </w:r>
    </w:p>
    <w:p>
      <w:pPr>
        <w:spacing w:after="120"/>
      </w:pPr>
      <w:r>
        <w:rPr>
          <w:rFonts w:ascii="Arial" w:cs="Arial" w:eastAsia="Arial" w:hAnsi="Arial"/>
          <w:sz w:val="22"/>
          <w:szCs w:val="22"/>
        </w:rPr>
        <w:t xml:space="preserve">Plugins can be loaded individually or from a configured folder. The folder loader scans for .json files matching the plugin schema and registers them automatically.</w:t>
      </w:r>
    </w:p>
    <w:p>
      <w:pPr>
        <w:pStyle w:val="Heading2"/>
      </w:pPr>
      <w:r>
        <w:t xml:space="preserve">4.4 Plugin Folder Loading</w:t>
      </w:r>
    </w:p>
    <w:p>
      <w:pPr>
        <w:spacing w:after="120"/>
      </w:pPr>
      <w:r>
        <w:rPr>
          <w:rFonts w:ascii="Arial" w:cs="Arial" w:eastAsia="Arial" w:hAnsi="Arial"/>
          <w:sz w:val="22"/>
          <w:szCs w:val="22"/>
        </w:rPr>
        <w:t xml:space="preserve">The platform supports loading plugins from a specific folder path. In a browser environment, this uses a file input with webkitdirectory attribute. The folder loader:</w:t>
      </w:r>
    </w:p>
    <w:p>
      <w:pPr>
        <w:pStyle w:val="ListParagraph"/>
        <w:numPr>
          <w:ilvl w:val="0"/>
          <w:numId w:val="2"/>
        </w:numPr>
      </w:pPr>
      <w:r>
        <w:rPr>
          <w:rFonts w:ascii="Arial" w:cs="Arial" w:eastAsia="Arial" w:hAnsi="Arial"/>
          <w:sz w:val="22"/>
          <w:szCs w:val="22"/>
        </w:rPr>
        <w:t xml:space="preserve">Scans all .json files in the selected folder</w:t>
      </w:r>
    </w:p>
    <w:p>
      <w:pPr>
        <w:pStyle w:val="ListParagraph"/>
        <w:numPr>
          <w:ilvl w:val="0"/>
          <w:numId w:val="2"/>
        </w:numPr>
      </w:pPr>
      <w:r>
        <w:rPr>
          <w:rFonts w:ascii="Arial" w:cs="Arial" w:eastAsia="Arial" w:hAnsi="Arial"/>
          <w:sz w:val="22"/>
          <w:szCs w:val="22"/>
        </w:rPr>
        <w:t xml:space="preserve">Validates each file against the plugin schema</w:t>
      </w:r>
    </w:p>
    <w:p>
      <w:pPr>
        <w:pStyle w:val="ListParagraph"/>
        <w:numPr>
          <w:ilvl w:val="0"/>
          <w:numId w:val="2"/>
        </w:numPr>
      </w:pPr>
      <w:r>
        <w:rPr>
          <w:rFonts w:ascii="Arial" w:cs="Arial" w:eastAsia="Arial" w:hAnsi="Arial"/>
          <w:sz w:val="22"/>
          <w:szCs w:val="22"/>
        </w:rPr>
        <w:t xml:space="preserve">Registers valid plugins with the PluginRegistry</w:t>
      </w:r>
    </w:p>
    <w:p>
      <w:pPr>
        <w:pStyle w:val="ListParagraph"/>
        <w:numPr>
          <w:ilvl w:val="0"/>
          <w:numId w:val="2"/>
        </w:numPr>
      </w:pPr>
      <w:r>
        <w:rPr>
          <w:rFonts w:ascii="Arial" w:cs="Arial" w:eastAsia="Arial" w:hAnsi="Arial"/>
          <w:sz w:val="22"/>
          <w:szCs w:val="22"/>
        </w:rPr>
        <w:t xml:space="preserve">Reports load results (success/failure counts)</w:t>
      </w:r>
    </w:p>
    <w:p>
      <w:r>
        <w:br w:type="page"/>
      </w:r>
    </w:p>
    <w:p>
      <w:pPr>
        <w:pStyle w:val="Heading1"/>
      </w:pPr>
      <w:r>
        <w:t xml:space="preserve">5. Schema Matching Engine</w:t>
      </w:r>
    </w:p>
    <w:p>
      <w:pPr>
        <w:pStyle w:val="Heading2"/>
      </w:pPr>
      <w:r>
        <w:t xml:space="preserve">5.1 Overview</w:t>
      </w:r>
    </w:p>
    <w:p>
      <w:pPr>
        <w:spacing w:after="120"/>
      </w:pPr>
      <w:r>
        <w:rPr>
          <w:rFonts w:ascii="Arial" w:cs="Arial" w:eastAsia="Arial" w:hAnsi="Arial"/>
          <w:sz w:val="22"/>
          <w:szCs w:val="22"/>
        </w:rPr>
        <w:t xml:space="preserve">The Schema Matching Engine is the bridge between loaded API specifications and the banking context. When API schemas are loaded from the API Files tab, the engine cross-references endpoint paths, field names, tags, and descriptions against the 50 banking subcategories to identify relevant test opportunities.</w:t>
      </w:r>
    </w:p>
    <w:p>
      <w:pPr>
        <w:pStyle w:val="Heading2"/>
      </w:pPr>
      <w:r>
        <w:t xml:space="preserve">5.2 Heuristic Matching Algorithm</w:t>
      </w:r>
    </w:p>
    <w:p>
      <w:pPr>
        <w:spacing w:after="120"/>
      </w:pPr>
      <w:r>
        <w:rPr>
          <w:rFonts w:ascii="Arial" w:cs="Arial" w:eastAsia="Arial" w:hAnsi="Arial"/>
          <w:sz w:val="22"/>
          <w:szCs w:val="22"/>
        </w:rPr>
        <w:t xml:space="preserve">The matching uses a weighted keyword scoring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360"/>
      </w:tblGrid>
      <w:tr>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Signal</w:t>
            </w:r>
          </w:p>
        </w:tc>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Weight</w:t>
            </w:r>
          </w:p>
        </w:tc>
        <w:tc>
          <w:tcPr>
            <w:tcW w:type="dxa" w:w="4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Example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Path segment match</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3.0</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/bp/business-partners → Client Management</w:t>
            </w:r>
          </w:p>
        </w:tc>
      </w:tr>
      <w:tr>
        <w:tc>
          <w:tcPr>
            <w:tcW w:type="dxa" w:w="25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Tag/keyword match</w:t>
            </w:r>
          </w:p>
        </w:tc>
        <w:tc>
          <w:tcPr>
            <w:tcW w:type="dxa" w:w="25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2.0</w:t>
            </w:r>
          </w:p>
        </w:tc>
        <w:tc>
          <w:tcPr>
            <w:tcW w:type="dxa" w:w="436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tags: ['kyc'] → Compliance &amp; KYC</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Field name match</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1.5</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field: 'iban' → Payments &amp; Transfers</w:t>
            </w:r>
          </w:p>
        </w:tc>
      </w:tr>
      <w:tr>
        <w:tc>
          <w:tcPr>
            <w:tcW w:type="dxa" w:w="25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Description match</w:t>
            </w:r>
          </w:p>
        </w:tc>
        <w:tc>
          <w:tcPr>
            <w:tcW w:type="dxa" w:w="25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1.0</w:t>
            </w:r>
          </w:p>
        </w:tc>
        <w:tc>
          <w:tcPr>
            <w:tcW w:type="dxa" w:w="436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'transfer funds' → Internal Transfers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HTTP method bonus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0.5</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POST on /payments → payment creation test</w:t>
            </w:r>
          </w:p>
        </w:tc>
      </w:tr>
    </w:tbl>
    <w:p>
      <w:pPr>
        <w:pStyle w:val="Heading2"/>
      </w:pPr>
      <w:r>
        <w:t xml:space="preserve">5.3 Auto-Generated Test Cards</w:t>
      </w:r>
    </w:p>
    <w:p>
      <w:pPr>
        <w:spacing w:after="120"/>
      </w:pPr>
      <w:r>
        <w:rPr>
          <w:rFonts w:ascii="Arial" w:cs="Arial" w:eastAsia="Arial" w:hAnsi="Arial"/>
          <w:sz w:val="22"/>
          <w:szCs w:val="22"/>
        </w:rPr>
        <w:t xml:space="preserve">When the matching score exceeds the threshold (default: 2.0), the engine generates a LibraryTestCase with:</w:t>
      </w:r>
    </w:p>
    <w:p>
      <w:pPr>
        <w:pStyle w:val="ListParagraph"/>
        <w:numPr>
          <w:ilvl w:val="0"/>
          <w:numId w:val="3"/>
        </w:numPr>
      </w:pPr>
      <w:r>
        <w:rPr>
          <w:rFonts w:ascii="Arial" w:cs="Arial" w:eastAsia="Arial" w:hAnsi="Arial"/>
          <w:sz w:val="22"/>
          <w:szCs w:val="22"/>
        </w:rPr>
        <w:t xml:space="preserve">Auto-assigned category and subcategory from the banking context</w:t>
      </w:r>
    </w:p>
    <w:p>
      <w:pPr>
        <w:pStyle w:val="ListParagraph"/>
        <w:numPr>
          <w:ilvl w:val="0"/>
          <w:numId w:val="3"/>
        </w:numPr>
      </w:pPr>
      <w:r>
        <w:rPr>
          <w:rFonts w:ascii="Arial" w:cs="Arial" w:eastAsia="Arial" w:hAnsi="Arial"/>
          <w:sz w:val="22"/>
          <w:szCs w:val="22"/>
        </w:rPr>
        <w:t xml:space="preserve">Parameterized inputs derived from the API schema fields</w:t>
      </w:r>
    </w:p>
    <w:p>
      <w:pPr>
        <w:pStyle w:val="ListParagraph"/>
        <w:numPr>
          <w:ilvl w:val="0"/>
          <w:numId w:val="3"/>
        </w:numPr>
      </w:pPr>
      <w:r>
        <w:rPr>
          <w:rFonts w:ascii="Arial" w:cs="Arial" w:eastAsia="Arial" w:hAnsi="Arial"/>
          <w:sz w:val="22"/>
          <w:szCs w:val="22"/>
        </w:rPr>
        <w:t xml:space="preserve">Business-oriented step descriptions (not technical API calls)</w:t>
      </w:r>
    </w:p>
    <w:p>
      <w:pPr>
        <w:pStyle w:val="ListParagraph"/>
        <w:numPr>
          <w:ilvl w:val="0"/>
          <w:numId w:val="3"/>
        </w:numPr>
      </w:pPr>
      <w:r>
        <w:rPr>
          <w:rFonts w:ascii="Arial" w:cs="Arial" w:eastAsia="Arial" w:hAnsi="Arial"/>
          <w:sz w:val="22"/>
          <w:szCs w:val="22"/>
        </w:rPr>
        <w:t xml:space="preserve">Source tracking: 'api-generated' flag for visual distinction</w:t>
      </w:r>
    </w:p>
    <w:p>
      <w:pPr>
        <w:spacing w:after="120"/>
      </w:pPr>
      <w:r>
        <w:rPr>
          <w:rFonts w:ascii="Arial" w:cs="Arial" w:eastAsia="Arial" w:hAnsi="Arial"/>
          <w:sz w:val="22"/>
          <w:szCs w:val="22"/>
        </w:rPr>
        <w:t xml:space="preserve">Generated cards appear in the Test Library with a light green background to visually distinguish them from static plugin-provided test cases.</w:t>
      </w:r>
    </w:p>
    <w:p>
      <w:pPr>
        <w:pStyle w:val="Heading1"/>
      </w:pPr>
      <w:r>
        <w:t xml:space="preserve">6. AI Assistant Integration</w:t>
      </w:r>
    </w:p>
    <w:p>
      <w:pPr>
        <w:pStyle w:val="Heading2"/>
      </w:pPr>
      <w:r>
        <w:t xml:space="preserve">6.1 Multi-Provider Architecture</w:t>
      </w:r>
    </w:p>
    <w:p>
      <w:pPr>
        <w:spacing w:after="120"/>
      </w:pPr>
      <w:r>
        <w:rPr>
          <w:rFonts w:ascii="Arial" w:cs="Arial" w:eastAsia="Arial" w:hAnsi="Arial"/>
          <w:sz w:val="22"/>
          <w:szCs w:val="22"/>
        </w:rPr>
        <w:t xml:space="preserve">The AI Assistant tab supports multiple providers simultaneously: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2500"/>
        <w:gridCol w:w="2860"/>
      </w:tblGrid>
      <w:tr>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Provider</w:t>
            </w:r>
          </w:p>
        </w:tc>
        <w:tc>
          <w:tcPr>
            <w:tcW w:type="dxa" w:w="1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Model</w:t>
            </w:r>
          </w:p>
        </w:tc>
        <w:tc>
          <w:tcPr>
            <w:tcW w:type="dxa" w:w="28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Default</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Anthropic Claude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Cloud</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claude-sonnet-4-20250514</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Enabled</w:t>
            </w:r>
          </w:p>
        </w:tc>
      </w:tr>
      <w:tr>
        <w:tc>
          <w:tcPr>
            <w:tcW w:type="dxa" w:w="25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OpenAI GPT</w:t>
            </w:r>
          </w:p>
        </w:tc>
        <w:tc>
          <w:tcPr>
            <w:tcW w:type="dxa" w:w="15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Cloud</w:t>
            </w:r>
          </w:p>
        </w:tc>
        <w:tc>
          <w:tcPr>
            <w:tcW w:type="dxa" w:w="25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gpt-4o</w:t>
            </w:r>
          </w:p>
        </w:tc>
        <w:tc>
          <w:tcPr>
            <w:tcW w:type="dxa" w:w="286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Disabled</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Ollama</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Local</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qwen2.5:14b</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Disabled</w:t>
            </w:r>
          </w:p>
        </w:tc>
      </w:tr>
      <w:tr>
        <w:tc>
          <w:tcPr>
            <w:tcW w:type="dxa" w:w="25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LM Studio</w:t>
            </w:r>
          </w:p>
        </w:tc>
        <w:tc>
          <w:tcPr>
            <w:tcW w:type="dxa" w:w="15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Local</w:t>
            </w:r>
          </w:p>
        </w:tc>
        <w:tc>
          <w:tcPr>
            <w:tcW w:type="dxa" w:w="25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local-model</w:t>
            </w:r>
          </w:p>
        </w:tc>
        <w:tc>
          <w:tcPr>
            <w:tcW w:type="dxa" w:w="286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Disabled</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Custom Server</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Local</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custom</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Disabled</w:t>
            </w:r>
          </w:p>
        </w:tc>
      </w:tr>
    </w:tbl>
    <w:p>
      <w:pPr>
        <w:pStyle w:val="Heading2"/>
      </w:pPr>
      <w:r>
        <w:t xml:space="preserve">6.2 Context Injection</w:t>
      </w:r>
    </w:p>
    <w:p>
      <w:pPr>
        <w:spacing w:after="120"/>
      </w:pPr>
      <w:r>
        <w:rPr>
          <w:rFonts w:ascii="Arial" w:cs="Arial" w:eastAsia="Arial" w:hAnsi="Arial"/>
          <w:sz w:val="22"/>
          <w:szCs w:val="22"/>
        </w:rPr>
        <w:t xml:space="preserve">Every AI request automatically includes: the active banking context (domain, categories), enabled plugin names and rule counts, loaded API spec summaries (endpoints, fields), and existing test case count. This ensures the AI generates responses that are contextually relevant to the loaded banking environment.</w:t>
      </w:r>
    </w:p>
    <w:p>
      <w:pPr>
        <w:pStyle w:val="Heading2"/>
      </w:pPr>
      <w:r>
        <w:t xml:space="preserve">6.3 Generation Modes</w:t>
      </w:r>
    </w:p>
    <w:p>
      <w:pPr>
        <w:pStyle w:val="ListParagraph"/>
        <w:numPr>
          <w:ilvl w:val="0"/>
          <w:numId w:val="3"/>
        </w:numPr>
      </w:pPr>
      <w:r>
        <w:rPr>
          <w:rFonts w:ascii="Arial" w:cs="Arial" w:eastAsia="Arial" w:hAnsi="Arial"/>
          <w:b/>
          <w:bCs/>
          <w:sz w:val="22"/>
          <w:szCs w:val="22"/>
        </w:rPr>
        <w:t xml:space="preserve">Generate Test Cases</w:t>
      </w:r>
      <w:r>
        <w:rPr>
          <w:rFonts w:ascii="Arial" w:cs="Arial" w:eastAsia="Arial" w:hAnsi="Arial"/>
          <w:sz w:val="22"/>
          <w:szCs w:val="22"/>
        </w:rPr>
        <w:t xml:space="preserve"> — Creates business-oriented test cases using banking context</w:t>
      </w:r>
    </w:p>
    <w:p>
      <w:pPr>
        <w:pStyle w:val="ListParagraph"/>
        <w:numPr>
          <w:ilvl w:val="0"/>
          <w:numId w:val="3"/>
        </w:numPr>
      </w:pPr>
      <w:r>
        <w:rPr>
          <w:rFonts w:ascii="Arial" w:cs="Arial" w:eastAsia="Arial" w:hAnsi="Arial"/>
          <w:b/>
          <w:bCs/>
          <w:sz w:val="22"/>
          <w:szCs w:val="22"/>
        </w:rPr>
        <w:t xml:space="preserve">Analyze API Specs</w:t>
      </w:r>
      <w:r>
        <w:rPr>
          <w:rFonts w:ascii="Arial" w:cs="Arial" w:eastAsia="Arial" w:hAnsi="Arial"/>
          <w:sz w:val="22"/>
          <w:szCs w:val="22"/>
        </w:rPr>
        <w:t xml:space="preserve"> — Identifies coverage gaps and edge cases</w:t>
      </w:r>
    </w:p>
    <w:p>
      <w:pPr>
        <w:pStyle w:val="ListParagraph"/>
        <w:numPr>
          <w:ilvl w:val="0"/>
          <w:numId w:val="3"/>
        </w:numPr>
      </w:pPr>
      <w:r>
        <w:rPr>
          <w:rFonts w:ascii="Arial" w:cs="Arial" w:eastAsia="Arial" w:hAnsi="Arial"/>
          <w:b/>
          <w:bCs/>
          <w:sz w:val="22"/>
          <w:szCs w:val="22"/>
        </w:rPr>
        <w:t xml:space="preserve">Explain Business Rules</w:t>
      </w:r>
      <w:r>
        <w:rPr>
          <w:rFonts w:ascii="Arial" w:cs="Arial" w:eastAsia="Arial" w:hAnsi="Arial"/>
          <w:sz w:val="22"/>
          <w:szCs w:val="22"/>
        </w:rPr>
        <w:t xml:space="preserve"> — Plain-language explanation of active rules</w:t>
      </w:r>
    </w:p>
    <w:p>
      <w:pPr>
        <w:pStyle w:val="ListParagraph"/>
        <w:numPr>
          <w:ilvl w:val="0"/>
          <w:numId w:val="3"/>
        </w:numPr>
      </w:pPr>
      <w:r>
        <w:rPr>
          <w:rFonts w:ascii="Arial" w:cs="Arial" w:eastAsia="Arial" w:hAnsi="Arial"/>
          <w:b/>
          <w:bCs/>
          <w:sz w:val="22"/>
          <w:szCs w:val="22"/>
        </w:rPr>
        <w:t xml:space="preserve">Custom Prompt</w:t>
      </w:r>
      <w:r>
        <w:rPr>
          <w:rFonts w:ascii="Arial" w:cs="Arial" w:eastAsia="Arial" w:hAnsi="Arial"/>
          <w:sz w:val="22"/>
          <w:szCs w:val="22"/>
        </w:rPr>
        <w:t xml:space="preserve"> — Free-form with automatic context injection</w:t>
      </w:r>
    </w:p>
    <w:p>
      <w:r>
        <w:br w:type="page"/>
      </w:r>
    </w:p>
    <w:p>
      <w:pPr>
        <w:pStyle w:val="Heading1"/>
      </w:pPr>
      <w:r>
        <w:t xml:space="preserve">7. Test Library</w:t>
      </w:r>
    </w:p>
    <w:p>
      <w:pPr>
        <w:pStyle w:val="Heading2"/>
      </w:pPr>
      <w:r>
        <w:t xml:space="preserve">7.1 Dashboard View</w:t>
      </w:r>
    </w:p>
    <w:p>
      <w:pPr>
        <w:spacing w:after="120"/>
      </w:pPr>
      <w:r>
        <w:rPr>
          <w:rFonts w:ascii="Arial" w:cs="Arial" w:eastAsia="Arial" w:hAnsi="Arial"/>
          <w:sz w:val="22"/>
          <w:szCs w:val="22"/>
        </w:rPr>
        <w:t xml:space="preserve">The Test Library Dashboard displays category cards with test counts, subcategory tags, and active plugin counts. The search bar supports filtering by name, category, tag, or business function.</w:t>
      </w:r>
    </w:p>
    <w:p>
      <w:pPr>
        <w:pStyle w:val="Heading2"/>
      </w:pPr>
      <w:r>
        <w:t xml:space="preserve">7.2 Test Case Format</w:t>
      </w:r>
    </w:p>
    <w:p>
      <w:pPr>
        <w:spacing w:after="120"/>
      </w:pPr>
      <w:r>
        <w:rPr>
          <w:rFonts w:ascii="Arial" w:cs="Arial" w:eastAsia="Arial" w:hAnsi="Arial"/>
          <w:sz w:val="22"/>
          <w:szCs w:val="22"/>
        </w:rPr>
        <w:t xml:space="preserve">Each test case follows the LibraryTestCase interface:</w:t>
      </w:r>
    </w:p>
    <w:p>
      <w:pPr>
        <w:pStyle w:val="ListParagraph"/>
        <w:numPr>
          <w:ilvl w:val="0"/>
          <w:numId w:val="3"/>
        </w:numPr>
      </w:pPr>
      <w:r>
        <w:rPr>
          <w:rFonts w:ascii="Arial" w:cs="Arial" w:eastAsia="Arial" w:hAnsi="Arial"/>
          <w:sz w:val="22"/>
          <w:szCs w:val="22"/>
        </w:rPr>
        <w:t xml:space="preserve">category, subcategory, testName, businessDescription</w:t>
      </w:r>
    </w:p>
    <w:p>
      <w:pPr>
        <w:pStyle w:val="ListParagraph"/>
        <w:numPr>
          <w:ilvl w:val="0"/>
          <w:numId w:val="3"/>
        </w:numPr>
      </w:pPr>
      <w:r>
        <w:rPr>
          <w:rFonts w:ascii="Arial" w:cs="Arial" w:eastAsia="Arial" w:hAnsi="Arial"/>
          <w:sz w:val="22"/>
          <w:szCs w:val="22"/>
        </w:rPr>
        <w:t xml:space="preserve">tags[] for searchability</w:t>
      </w:r>
    </w:p>
    <w:p>
      <w:pPr>
        <w:pStyle w:val="ListParagraph"/>
        <w:numPr>
          <w:ilvl w:val="0"/>
          <w:numId w:val="3"/>
        </w:numPr>
      </w:pPr>
      <w:r>
        <w:rPr>
          <w:rFonts w:ascii="Arial" w:cs="Arial" w:eastAsia="Arial" w:hAnsi="Arial"/>
          <w:sz w:val="22"/>
          <w:szCs w:val="22"/>
        </w:rPr>
        <w:t xml:space="preserve">parameters{} with ${PLACEHOLDER} values for environment injection</w:t>
      </w:r>
    </w:p>
    <w:p>
      <w:pPr>
        <w:pStyle w:val="ListParagraph"/>
        <w:numPr>
          <w:ilvl w:val="0"/>
          <w:numId w:val="3"/>
        </w:numPr>
      </w:pPr>
      <w:r>
        <w:rPr>
          <w:rFonts w:ascii="Arial" w:cs="Arial" w:eastAsia="Arial" w:hAnsi="Arial"/>
          <w:sz w:val="22"/>
          <w:szCs w:val="22"/>
        </w:rPr>
        <w:t xml:space="preserve">steps[] with step number, name, and businessDescription</w:t>
      </w:r>
    </w:p>
    <w:p>
      <w:pPr>
        <w:pStyle w:val="ListParagraph"/>
        <w:numPr>
          <w:ilvl w:val="0"/>
          <w:numId w:val="3"/>
        </w:numPr>
      </w:pPr>
      <w:r>
        <w:rPr>
          <w:rFonts w:ascii="Arial" w:cs="Arial" w:eastAsia="Arial" w:hAnsi="Arial"/>
          <w:sz w:val="22"/>
          <w:szCs w:val="22"/>
        </w:rPr>
        <w:t xml:space="preserve">expectedResult, documentation, optional tutorial</w:t>
      </w:r>
    </w:p>
    <w:p>
      <w:pPr>
        <w:pStyle w:val="Heading2"/>
      </w:pPr>
      <w:r>
        <w:t xml:space="preserve">7.3 Visual Distinction</w:t>
      </w:r>
    </w:p>
    <w:p>
      <w:pPr>
        <w:spacing w:after="120"/>
      </w:pPr>
      <w:r>
        <w:rPr>
          <w:rFonts w:ascii="Arial" w:cs="Arial" w:eastAsia="Arial" w:hAnsi="Arial"/>
          <w:sz w:val="22"/>
          <w:szCs w:val="22"/>
        </w:rPr>
        <w:t xml:space="preserve">Cards are visually differentiated by source:</w:t>
      </w:r>
    </w:p>
    <w:p>
      <w:pPr>
        <w:pStyle w:val="ListParagraph"/>
        <w:numPr>
          <w:ilvl w:val="0"/>
          <w:numId w:val="3"/>
        </w:numPr>
      </w:pPr>
      <w:r>
        <w:rPr>
          <w:rFonts w:ascii="Arial" w:cs="Arial" w:eastAsia="Arial" w:hAnsi="Arial"/>
          <w:b/>
          <w:bCs/>
          <w:sz w:val="22"/>
          <w:szCs w:val="22"/>
        </w:rPr>
        <w:t xml:space="preserve">Default style</w:t>
      </w:r>
      <w:r>
        <w:rPr>
          <w:rFonts w:ascii="Arial" w:cs="Arial" w:eastAsia="Arial" w:hAnsi="Arial"/>
          <w:sz w:val="22"/>
          <w:szCs w:val="22"/>
        </w:rPr>
        <w:t xml:space="preserve"> — Static test cases from built-in plugins</w:t>
      </w:r>
    </w:p>
    <w:p>
      <w:pPr>
        <w:pStyle w:val="ListParagraph"/>
        <w:numPr>
          <w:ilvl w:val="0"/>
          <w:numId w:val="3"/>
        </w:numPr>
      </w:pPr>
      <w:r>
        <w:rPr>
          <w:rFonts w:ascii="Arial" w:cs="Arial" w:eastAsia="Arial" w:hAnsi="Arial"/>
          <w:b/>
          <w:bCs/>
          <w:sz w:val="22"/>
          <w:szCs w:val="22"/>
        </w:rPr>
        <w:t xml:space="preserve">Light green background</w:t>
      </w:r>
      <w:r>
        <w:rPr>
          <w:rFonts w:ascii="Arial" w:cs="Arial" w:eastAsia="Arial" w:hAnsi="Arial"/>
          <w:sz w:val="22"/>
          <w:szCs w:val="22"/>
        </w:rPr>
        <w:t xml:space="preserve"> — Dynamically generated from API schema matching</w:t>
      </w:r>
    </w:p>
    <w:p>
      <w:pPr>
        <w:pStyle w:val="ListParagraph"/>
        <w:numPr>
          <w:ilvl w:val="0"/>
          <w:numId w:val="3"/>
        </w:numPr>
      </w:pPr>
      <w:r>
        <w:rPr>
          <w:rFonts w:ascii="Arial" w:cs="Arial" w:eastAsia="Arial" w:hAnsi="Arial"/>
          <w:b/>
          <w:bCs/>
          <w:sz w:val="22"/>
          <w:szCs w:val="22"/>
        </w:rPr>
        <w:t xml:space="preserve">Blue accent</w:t>
      </w:r>
      <w:r>
        <w:rPr>
          <w:rFonts w:ascii="Arial" w:cs="Arial" w:eastAsia="Arial" w:hAnsi="Arial"/>
          <w:sz w:val="22"/>
          <w:szCs w:val="22"/>
        </w:rPr>
        <w:t xml:space="preserve"> — AI-enriched test cases</w:t>
      </w:r>
    </w:p>
    <w:p>
      <w:pPr>
        <w:pStyle w:val="Heading2"/>
      </w:pPr>
      <w:r>
        <w:t xml:space="preserve">7.4 Import/Export</w:t>
      </w:r>
    </w:p>
    <w:p>
      <w:pPr>
        <w:spacing w:after="120"/>
      </w:pPr>
      <w:r>
        <w:rPr>
          <w:rFonts w:ascii="Arial" w:cs="Arial" w:eastAsia="Arial" w:hAnsi="Arial"/>
          <w:sz w:val="22"/>
          <w:szCs w:val="22"/>
        </w:rPr>
        <w:t xml:space="preserve">The library supports JSON import and export. Imported tests are added to the store alongside plugin-provided tests. The export function produces a JSON file compatible with the import schema defined in the specification.</w:t>
      </w:r>
    </w:p>
    <w:p>
      <w:pPr>
        <w:pStyle w:val="Heading1"/>
      </w:pPr>
      <w:r>
        <w:t xml:space="preserve">8. Validation Checklist</w:t>
      </w:r>
    </w:p>
    <w:p>
      <w:pPr>
        <w:pStyle w:val="ListParagraph"/>
        <w:numPr>
          <w:ilvl w:val="0"/>
          <w:numId w:val="4"/>
        </w:numPr>
      </w:pPr>
      <w:r>
        <w:rPr>
          <w:rFonts w:ascii="Arial" w:cs="Arial" w:eastAsia="Arial" w:hAnsi="Arial"/>
          <w:sz w:val="22"/>
          <w:szCs w:val="22"/>
        </w:rPr>
        <w:t xml:space="preserve">API schemas load correctly from the API Files tab</w:t>
      </w:r>
    </w:p>
    <w:p>
      <w:pPr>
        <w:pStyle w:val="ListParagraph"/>
        <w:numPr>
          <w:ilvl w:val="0"/>
          <w:numId w:val="4"/>
        </w:numPr>
      </w:pPr>
      <w:r>
        <w:rPr>
          <w:rFonts w:ascii="Arial" w:cs="Arial" w:eastAsia="Arial" w:hAnsi="Arial"/>
          <w:sz w:val="22"/>
          <w:szCs w:val="22"/>
        </w:rPr>
        <w:t xml:space="preserve">Schema parser extracts endpoints, fields, tags, and descriptions</w:t>
      </w:r>
    </w:p>
    <w:p>
      <w:pPr>
        <w:pStyle w:val="ListParagraph"/>
        <w:numPr>
          <w:ilvl w:val="0"/>
          <w:numId w:val="4"/>
        </w:numPr>
      </w:pPr>
      <w:r>
        <w:rPr>
          <w:rFonts w:ascii="Arial" w:cs="Arial" w:eastAsia="Arial" w:hAnsi="Arial"/>
          <w:sz w:val="22"/>
          <w:szCs w:val="22"/>
        </w:rPr>
        <w:t xml:space="preserve">Banking context provides 10 categories and 50 subcategories</w:t>
      </w:r>
    </w:p>
    <w:p>
      <w:pPr>
        <w:pStyle w:val="ListParagraph"/>
        <w:numPr>
          <w:ilvl w:val="0"/>
          <w:numId w:val="4"/>
        </w:numPr>
      </w:pPr>
      <w:r>
        <w:rPr>
          <w:rFonts w:ascii="Arial" w:cs="Arial" w:eastAsia="Arial" w:hAnsi="Arial"/>
          <w:sz w:val="22"/>
          <w:szCs w:val="22"/>
        </w:rPr>
        <w:t xml:space="preserve">Plugin registry loads 10 built-in plugins on startup</w:t>
      </w:r>
    </w:p>
    <w:p>
      <w:pPr>
        <w:pStyle w:val="ListParagraph"/>
        <w:numPr>
          <w:ilvl w:val="0"/>
          <w:numId w:val="4"/>
        </w:numPr>
      </w:pPr>
      <w:r>
        <w:rPr>
          <w:rFonts w:ascii="Arial" w:cs="Arial" w:eastAsia="Arial" w:hAnsi="Arial"/>
          <w:sz w:val="22"/>
          <w:szCs w:val="22"/>
        </w:rPr>
        <w:t xml:space="preserve">External plugins load from JSON files successfully</w:t>
      </w:r>
    </w:p>
    <w:p>
      <w:pPr>
        <w:pStyle w:val="ListParagraph"/>
        <w:numPr>
          <w:ilvl w:val="0"/>
          <w:numId w:val="4"/>
        </w:numPr>
      </w:pPr>
      <w:r>
        <w:rPr>
          <w:rFonts w:ascii="Arial" w:cs="Arial" w:eastAsia="Arial" w:hAnsi="Arial"/>
          <w:sz w:val="22"/>
          <w:szCs w:val="22"/>
        </w:rPr>
        <w:t xml:space="preserve">Plugin folder loading discovers and registers plugins</w:t>
      </w:r>
    </w:p>
    <w:p>
      <w:pPr>
        <w:pStyle w:val="ListParagraph"/>
        <w:numPr>
          <w:ilvl w:val="0"/>
          <w:numId w:val="4"/>
        </w:numPr>
      </w:pPr>
      <w:r>
        <w:rPr>
          <w:rFonts w:ascii="Arial" w:cs="Arial" w:eastAsia="Arial" w:hAnsi="Arial"/>
          <w:sz w:val="22"/>
          <w:szCs w:val="22"/>
        </w:rPr>
        <w:t xml:space="preserve">Plugin enable/disable toggles work without restart</w:t>
      </w:r>
    </w:p>
    <w:p>
      <w:pPr>
        <w:pStyle w:val="ListParagraph"/>
        <w:numPr>
          <w:ilvl w:val="0"/>
          <w:numId w:val="4"/>
        </w:numPr>
      </w:pPr>
      <w:r>
        <w:rPr>
          <w:rFonts w:ascii="Arial" w:cs="Arial" w:eastAsia="Arial" w:hAnsi="Arial"/>
          <w:sz w:val="22"/>
          <w:szCs w:val="22"/>
        </w:rPr>
        <w:t xml:space="preserve">Schema matching engine cross-references APIs with banking context</w:t>
      </w:r>
    </w:p>
    <w:p>
      <w:pPr>
        <w:pStyle w:val="ListParagraph"/>
        <w:numPr>
          <w:ilvl w:val="0"/>
          <w:numId w:val="4"/>
        </w:numPr>
      </w:pPr>
      <w:r>
        <w:rPr>
          <w:rFonts w:ascii="Arial" w:cs="Arial" w:eastAsia="Arial" w:hAnsi="Arial"/>
          <w:sz w:val="22"/>
          <w:szCs w:val="22"/>
        </w:rPr>
        <w:t xml:space="preserve">Auto-generated test cards appear with light green background</w:t>
      </w:r>
    </w:p>
    <w:p>
      <w:pPr>
        <w:pStyle w:val="ListParagraph"/>
        <w:numPr>
          <w:ilvl w:val="0"/>
          <w:numId w:val="4"/>
        </w:numPr>
      </w:pPr>
      <w:r>
        <w:rPr>
          <w:rFonts w:ascii="Arial" w:cs="Arial" w:eastAsia="Arial" w:hAnsi="Arial"/>
          <w:sz w:val="22"/>
          <w:szCs w:val="22"/>
        </w:rPr>
        <w:t xml:space="preserve">AI Assistant multi-select provider dropdown works</w:t>
      </w:r>
    </w:p>
    <w:p>
      <w:pPr>
        <w:pStyle w:val="ListParagraph"/>
        <w:numPr>
          <w:ilvl w:val="0"/>
          <w:numId w:val="4"/>
        </w:numPr>
      </w:pPr>
      <w:r>
        <w:rPr>
          <w:rFonts w:ascii="Arial" w:cs="Arial" w:eastAsia="Arial" w:hAnsi="Arial"/>
          <w:sz w:val="22"/>
          <w:szCs w:val="22"/>
        </w:rPr>
        <w:t xml:space="preserve">AI context injection includes all relevant domain data</w:t>
      </w:r>
    </w:p>
    <w:p>
      <w:pPr>
        <w:pStyle w:val="ListParagraph"/>
        <w:numPr>
          <w:ilvl w:val="0"/>
          <w:numId w:val="4"/>
        </w:numPr>
      </w:pPr>
      <w:r>
        <w:rPr>
          <w:rFonts w:ascii="Arial" w:cs="Arial" w:eastAsia="Arial" w:hAnsi="Arial"/>
          <w:sz w:val="22"/>
          <w:szCs w:val="22"/>
        </w:rPr>
        <w:t xml:space="preserve">Test Library search and filter functions correctly</w:t>
      </w:r>
    </w:p>
    <w:p>
      <w:pPr>
        <w:pStyle w:val="ListParagraph"/>
        <w:numPr>
          <w:ilvl w:val="0"/>
          <w:numId w:val="4"/>
        </w:numPr>
      </w:pPr>
      <w:r>
        <w:rPr>
          <w:rFonts w:ascii="Arial" w:cs="Arial" w:eastAsia="Arial" w:hAnsi="Arial"/>
          <w:sz w:val="22"/>
          <w:szCs w:val="22"/>
        </w:rPr>
        <w:t xml:space="preserve">JSON import/export produces valid test case files</w:t>
      </w:r>
    </w:p>
    <w:p>
      <w:pPr>
        <w:pStyle w:val="ListParagraph"/>
        <w:numPr>
          <w:ilvl w:val="0"/>
          <w:numId w:val="4"/>
        </w:numPr>
      </w:pPr>
      <w:r>
        <w:rPr>
          <w:rFonts w:ascii="Arial" w:cs="Arial" w:eastAsia="Arial" w:hAnsi="Arial"/>
          <w:sz w:val="22"/>
          <w:szCs w:val="22"/>
        </w:rPr>
        <w:t xml:space="preserve">UI reflects dynamic vs. static cards clearly</w:t>
      </w:r>
    </w:p>
    <w:p>
      <w:pPr>
        <w:pStyle w:val="ListParagraph"/>
        <w:numPr>
          <w:ilvl w:val="0"/>
          <w:numId w:val="4"/>
        </w:numPr>
      </w:pPr>
      <w:r>
        <w:rPr>
          <w:rFonts w:ascii="Arial" w:cs="Arial" w:eastAsia="Arial" w:hAnsi="Arial"/>
          <w:sz w:val="22"/>
          <w:szCs w:val="22"/>
        </w:rPr>
        <w:t xml:space="preserve">System supports future non-banking industry contexts</w:t>
      </w:r>
    </w:p>
    <w:p>
      <w:pPr>
        <w:pStyle w:val="Heading1"/>
      </w:pPr>
      <w:r>
        <w:t xml:space="preserve">9. File Structure</w:t>
      </w:r>
    </w:p>
    <w:p>
      <w:pPr>
        <w:spacing w:after="120"/>
      </w:pPr>
      <w:r>
        <w:rPr>
          <w:rFonts w:ascii="Arial" w:cs="Arial" w:eastAsia="Arial" w:hAnsi="Arial"/>
          <w:sz w:val="22"/>
          <w:szCs w:val="22"/>
        </w:rPr>
        <w:t xml:space="preserve">Capi/</w:t>
      </w:r>
    </w:p>
    <w:p>
      <w:pPr>
        <w:spacing w:after="120"/>
      </w:pPr>
      <w:r>
        <w:rPr>
          <w:rFonts w:ascii="Arial" w:cs="Arial" w:eastAsia="Arial" w:hAnsi="Arial"/>
          <w:sz w:val="22"/>
          <w:szCs w:val="22"/>
        </w:rPr>
        <w:t xml:space="preserve">  App.tsx — Main application with 8-tab layout</w:t>
      </w:r>
    </w:p>
    <w:p>
      <w:pPr>
        <w:spacing w:after="120"/>
      </w:pPr>
      <w:r>
        <w:rPr>
          <w:rFonts w:ascii="Arial" w:cs="Arial" w:eastAsia="Arial" w:hAnsi="Arial"/>
          <w:sz w:val="22"/>
          <w:szCs w:val="22"/>
        </w:rPr>
        <w:t xml:space="preserve">  banking/</w:t>
      </w:r>
    </w:p>
    <w:p>
      <w:pPr>
        <w:spacing w:after="120"/>
      </w:pPr>
      <w:r>
        <w:rPr>
          <w:rFonts w:ascii="Arial" w:cs="Arial" w:eastAsia="Arial" w:hAnsi="Arial"/>
          <w:sz w:val="22"/>
          <w:szCs w:val="22"/>
        </w:rPr>
        <w:t xml:space="preserve">    BankingContext.ts — IndustryContext implementation, categories, validators</w:t>
      </w:r>
    </w:p>
    <w:p>
      <w:pPr>
        <w:spacing w:after="120"/>
      </w:pPr>
      <w:r>
        <w:rPr>
          <w:rFonts w:ascii="Arial" w:cs="Arial" w:eastAsia="Arial" w:hAnsi="Arial"/>
          <w:sz w:val="22"/>
          <w:szCs w:val="22"/>
        </w:rPr>
        <w:t xml:space="preserve">    PluginSystem.ts — PluginRegistry singleton, JSON loader</w:t>
      </w:r>
    </w:p>
    <w:p>
      <w:pPr>
        <w:spacing w:after="120"/>
      </w:pPr>
      <w:r>
        <w:rPr>
          <w:rFonts w:ascii="Arial" w:cs="Arial" w:eastAsia="Arial" w:hAnsi="Arial"/>
          <w:sz w:val="22"/>
          <w:szCs w:val="22"/>
        </w:rPr>
        <w:t xml:space="preserve">    TestLibraryStore.ts — Test case store with import/export</w:t>
      </w:r>
    </w:p>
    <w:p>
      <w:pPr>
        <w:spacing w:after="120"/>
      </w:pPr>
      <w:r>
        <w:rPr>
          <w:rFonts w:ascii="Arial" w:cs="Arial" w:eastAsia="Arial" w:hAnsi="Arial"/>
          <w:sz w:val="22"/>
          <w:szCs w:val="22"/>
        </w:rPr>
        <w:t xml:space="preserve">    SchemaMatchingEngine.ts — API-to-context heuristic matcher (NEW)</w:t>
      </w:r>
    </w:p>
    <w:p>
      <w:pPr>
        <w:spacing w:after="120"/>
      </w:pPr>
      <w:r>
        <w:rPr>
          <w:rFonts w:ascii="Arial" w:cs="Arial" w:eastAsia="Arial" w:hAnsi="Arial"/>
          <w:sz w:val="22"/>
          <w:szCs w:val="22"/>
        </w:rPr>
        <w:t xml:space="preserve">    index.ts — Barrel exports + auto-register</w:t>
      </w:r>
    </w:p>
    <w:p>
      <w:pPr>
        <w:spacing w:after="120"/>
      </w:pPr>
      <w:r>
        <w:rPr>
          <w:rFonts w:ascii="Arial" w:cs="Arial" w:eastAsia="Arial" w:hAnsi="Arial"/>
          <w:sz w:val="22"/>
          <w:szCs w:val="22"/>
        </w:rPr>
        <w:t xml:space="preserve">    plugins/</w:t>
      </w:r>
    </w:p>
    <w:p>
      <w:pPr>
        <w:spacing w:after="120"/>
      </w:pPr>
      <w:r>
        <w:rPr>
          <w:rFonts w:ascii="Arial" w:cs="Arial" w:eastAsia="Arial" w:hAnsi="Arial"/>
          <w:sz w:val="22"/>
          <w:szCs w:val="22"/>
        </w:rPr>
        <w:t xml:space="preserve">      builtInPlugins.ts — 10 built-in banking plugins</w:t>
      </w:r>
    </w:p>
    <w:p>
      <w:pPr>
        <w:spacing w:after="120"/>
      </w:pPr>
      <w:r>
        <w:rPr>
          <w:rFonts w:ascii="Arial" w:cs="Arial" w:eastAsia="Arial" w:hAnsi="Arial"/>
          <w:sz w:val="22"/>
          <w:szCs w:val="22"/>
        </w:rPr>
        <w:t xml:space="preserve">      example-external-plugin.json — FINMA example</w:t>
      </w:r>
    </w:p>
    <w:p>
      <w:pPr>
        <w:spacing w:after="120"/>
      </w:pPr>
      <w:r>
        <w:rPr>
          <w:rFonts w:ascii="Arial" w:cs="Arial" w:eastAsia="Arial" w:hAnsi="Arial"/>
          <w:sz w:val="22"/>
          <w:szCs w:val="22"/>
        </w:rPr>
        <w:t xml:space="preserve">  AIAssistantTab.tsx — Multi-provider AI interface</w:t>
      </w:r>
    </w:p>
    <w:p>
      <w:pPr>
        <w:spacing w:after="120"/>
      </w:pPr>
      <w:r>
        <w:rPr>
          <w:rFonts w:ascii="Arial" w:cs="Arial" w:eastAsia="Arial" w:hAnsi="Arial"/>
          <w:sz w:val="22"/>
          <w:szCs w:val="22"/>
        </w:rPr>
        <w:t xml:space="preserve">  TestLibraryTab.tsx — Dashboard, categories, details, plugin manager</w:t>
      </w:r>
    </w:p>
    <w:p>
      <w:pPr>
        <w:spacing w:after="120"/>
      </w:pPr>
      <w:r>
        <w:rPr>
          <w:rFonts w:ascii="Arial" w:cs="Arial" w:eastAsia="Arial" w:hAnsi="Arial"/>
          <w:sz w:val="22"/>
          <w:szCs w:val="22"/>
        </w:rPr>
        <w:t xml:space="preserve">  FileUploadPanel.tsx — API schema loader</w:t>
      </w:r>
    </w:p>
    <w:p>
      <w:pPr>
        <w:spacing w:after="120"/>
      </w:pPr>
      <w:r>
        <w:rPr>
          <w:rFonts w:ascii="Arial" w:cs="Arial" w:eastAsia="Arial" w:hAnsi="Arial"/>
          <w:sz w:val="22"/>
          <w:szCs w:val="22"/>
        </w:rPr>
        <w:t xml:space="preserve">  capi-library.scss — Library styling including green card variant</w:t>
      </w:r>
    </w:p>
    <w:p>
      <w:pPr>
        <w:pStyle w:val="Heading1"/>
      </w:pPr>
      <w:r>
        <w:t xml:space="preserve">10. Future Extensibility</w:t>
      </w:r>
    </w:p>
    <w:p>
      <w:pPr>
        <w:pStyle w:val="Heading2"/>
      </w:pPr>
      <w:r>
        <w:t xml:space="preserve">10.1 Adding a New Industry Context</w:t>
      </w:r>
    </w:p>
    <w:p>
      <w:pPr>
        <w:pStyle w:val="ListParagraph"/>
        <w:numPr>
          <w:ilvl w:val="0"/>
          <w:numId w:val="2"/>
        </w:numPr>
      </w:pPr>
      <w:r>
        <w:rPr>
          <w:rFonts w:ascii="Arial" w:cs="Arial" w:eastAsia="Arial" w:hAnsi="Arial"/>
          <w:sz w:val="22"/>
          <w:szCs w:val="22"/>
        </w:rPr>
        <w:t xml:space="preserve">Create a new file implementing IndustryContext (e.g., InsuranceContext.ts)</w:t>
      </w:r>
    </w:p>
    <w:p>
      <w:pPr>
        <w:pStyle w:val="ListParagraph"/>
        <w:numPr>
          <w:ilvl w:val="0"/>
          <w:numId w:val="2"/>
        </w:numPr>
      </w:pPr>
      <w:r>
        <w:rPr>
          <w:rFonts w:ascii="Arial" w:cs="Arial" w:eastAsia="Arial" w:hAnsi="Arial"/>
          <w:sz w:val="22"/>
          <w:szCs w:val="22"/>
        </w:rPr>
        <w:t xml:space="preserve">Define categories, subcategories, validators, and data generators</w:t>
      </w:r>
    </w:p>
    <w:p>
      <w:pPr>
        <w:pStyle w:val="ListParagraph"/>
        <w:numPr>
          <w:ilvl w:val="0"/>
          <w:numId w:val="2"/>
        </w:numPr>
      </w:pPr>
      <w:r>
        <w:rPr>
          <w:rFonts w:ascii="Arial" w:cs="Arial" w:eastAsia="Arial" w:hAnsi="Arial"/>
          <w:sz w:val="22"/>
          <w:szCs w:val="22"/>
        </w:rPr>
        <w:t xml:space="preserve">Create matching plugins for the new domain</w:t>
      </w:r>
    </w:p>
    <w:p>
      <w:pPr>
        <w:pStyle w:val="ListParagraph"/>
        <w:numPr>
          <w:ilvl w:val="0"/>
          <w:numId w:val="2"/>
        </w:numPr>
      </w:pPr>
      <w:r>
        <w:rPr>
          <w:rFonts w:ascii="Arial" w:cs="Arial" w:eastAsia="Arial" w:hAnsi="Arial"/>
          <w:sz w:val="22"/>
          <w:szCs w:val="22"/>
        </w:rPr>
        <w:t xml:space="preserve">Call setActiveContext() to switch at runtime</w:t>
      </w:r>
    </w:p>
    <w:p>
      <w:pPr>
        <w:pStyle w:val="Heading2"/>
      </w:pPr>
      <w:r>
        <w:t xml:space="preserve">10.2 Adding New Plugins</w:t>
      </w:r>
    </w:p>
    <w:p>
      <w:pPr>
        <w:pStyle w:val="ListParagraph"/>
        <w:numPr>
          <w:ilvl w:val="0"/>
          <w:numId w:val="2"/>
        </w:numPr>
      </w:pPr>
      <w:r>
        <w:rPr>
          <w:rFonts w:ascii="Arial" w:cs="Arial" w:eastAsia="Arial" w:hAnsi="Arial"/>
          <w:sz w:val="22"/>
          <w:szCs w:val="22"/>
        </w:rPr>
        <w:t xml:space="preserve">Create a JSON file following the CapiPlugin schema</w:t>
      </w:r>
    </w:p>
    <w:p>
      <w:pPr>
        <w:pStyle w:val="ListParagraph"/>
        <w:numPr>
          <w:ilvl w:val="0"/>
          <w:numId w:val="2"/>
        </w:numPr>
      </w:pPr>
      <w:r>
        <w:rPr>
          <w:rFonts w:ascii="Arial" w:cs="Arial" w:eastAsia="Arial" w:hAnsi="Arial"/>
          <w:sz w:val="22"/>
          <w:szCs w:val="22"/>
        </w:rPr>
        <w:t xml:space="preserve">Place it in the configured plugin folder</w:t>
      </w:r>
    </w:p>
    <w:p>
      <w:pPr>
        <w:pStyle w:val="ListParagraph"/>
        <w:numPr>
          <w:ilvl w:val="0"/>
          <w:numId w:val="2"/>
        </w:numPr>
      </w:pPr>
      <w:r>
        <w:rPr>
          <w:rFonts w:ascii="Arial" w:cs="Arial" w:eastAsia="Arial" w:hAnsi="Arial"/>
          <w:sz w:val="22"/>
          <w:szCs w:val="22"/>
        </w:rPr>
        <w:t xml:space="preserve">The folder loader will discover and register it on next scan</w:t>
      </w:r>
    </w:p>
    <w:p>
      <w:pPr>
        <w:pStyle w:val="Heading2"/>
      </w:pPr>
      <w:r>
        <w:t xml:space="preserve">10.3 Adding AI Providers</w:t>
      </w:r>
    </w:p>
    <w:p>
      <w:pPr>
        <w:spacing w:after="120"/>
      </w:pPr>
      <w:r>
        <w:rPr>
          <w:rFonts w:ascii="Arial" w:cs="Arial" w:eastAsia="Arial" w:hAnsi="Arial"/>
          <w:sz w:val="22"/>
          <w:szCs w:val="22"/>
        </w:rPr>
        <w:t xml:space="preserve">New providers can be added to the DEFAULT_PROVIDERS array in AIAssistantTab.tsx. The provider interface supports any OpenAI-compatible endpoint (cloud or local).</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8"/>
        <w:szCs w:val="18"/>
      </w:rPr>
      <w:t xml:space="preserve">Page </w:t>
    </w: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999999"/>
        <w:sz w:val="18"/>
        <w:szCs w:val="18"/>
      </w:rPr>
      <w:t xml:space="preserve">CAPI Platform — Architecture Manual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40"/>
      <w:outlineLvl w:val="0"/>
    </w:pPr>
    <w:rPr>
      <w:rFonts w:ascii="Arial" w:cs="Arial" w:eastAsia="Arial" w:hAnsi="Arial"/>
      <w:b/>
      <w:bCs/>
      <w:color w:val="1A3C6E"/>
      <w:sz w:val="36"/>
      <w:szCs w:val="36"/>
    </w:rPr>
  </w:style>
  <w:style w:type="paragraph" w:styleId="Heading2">
    <w:name w:val="Heading 2"/>
    <w:basedOn w:val="Normal"/>
    <w:next w:val="Normal"/>
    <w:qFormat/>
    <w:pPr>
      <w:spacing w:before="240" w:after="180"/>
      <w:outlineLvl w:val="1"/>
    </w:pPr>
    <w:rPr>
      <w:rFonts w:ascii="Arial" w:cs="Arial" w:eastAsia="Arial" w:hAnsi="Arial"/>
      <w:b/>
      <w:bCs/>
      <w:color w:val="2E75B6"/>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3A8FD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2026-03-18T01:07:24.463Z</dcterms:created>
  <dcterms:modified xsi:type="dcterms:W3CDTF">2026-03-18T01:07:24.464Z</dcterms:modified>
</cp:coreProperties>
</file>

<file path=docProps/custom.xml><?xml version="1.0" encoding="utf-8"?>
<Properties xmlns="http://schemas.openxmlformats.org/officeDocument/2006/custom-properties" xmlns:vt="http://schemas.openxmlformats.org/officeDocument/2006/docPropsVTypes"/>
</file>