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30F2E3" w14:textId="77777777" w:rsidR="00195ACD" w:rsidRDefault="00000000">
      <w:pPr>
        <w:spacing w:after="100"/>
        <w:jc w:val="center"/>
      </w:pPr>
      <w:r>
        <w:rPr>
          <w:b/>
          <w:bCs/>
          <w:color w:val="1F4E79"/>
          <w:sz w:val="48"/>
          <w:szCs w:val="48"/>
        </w:rPr>
        <w:t>Banca Stato</w:t>
      </w:r>
    </w:p>
    <w:p w14:paraId="06E2A47E" w14:textId="77777777" w:rsidR="00195ACD" w:rsidRDefault="00000000">
      <w:pPr>
        <w:spacing w:after="80"/>
        <w:jc w:val="center"/>
      </w:pPr>
      <w:r>
        <w:rPr>
          <w:color w:val="444444"/>
          <w:sz w:val="30"/>
          <w:szCs w:val="30"/>
        </w:rPr>
        <w:t>UI Element Identification Issue</w:t>
      </w:r>
    </w:p>
    <w:p w14:paraId="3FCD27D3" w14:textId="77777777" w:rsidR="00195ACD" w:rsidRDefault="00000000">
      <w:pPr>
        <w:spacing w:after="60"/>
        <w:jc w:val="center"/>
      </w:pPr>
      <w:r>
        <w:rPr>
          <w:i/>
          <w:iCs/>
          <w:color w:val="666666"/>
          <w:sz w:val="24"/>
          <w:szCs w:val="24"/>
        </w:rPr>
        <w:t>Client Questions &amp; Technical Answers</w:t>
      </w:r>
    </w:p>
    <w:p w14:paraId="3C7DB061" w14:textId="31ADCC29" w:rsidR="00195ACD" w:rsidRDefault="00000000">
      <w:pPr>
        <w:pBdr>
          <w:bottom w:val="single" w:sz="6" w:space="4" w:color="1F4E79"/>
        </w:pBdr>
        <w:spacing w:after="400"/>
        <w:jc w:val="center"/>
      </w:pPr>
      <w:r>
        <w:rPr>
          <w:i/>
          <w:iCs/>
          <w:color w:val="888888"/>
          <w:sz w:val="18"/>
          <w:szCs w:val="18"/>
        </w:rPr>
        <w:t xml:space="preserve">Internal Technical Document — AR </w:t>
      </w:r>
      <w:r w:rsidR="00E7097C">
        <w:rPr>
          <w:i/>
          <w:iCs/>
          <w:color w:val="888888"/>
          <w:sz w:val="18"/>
          <w:szCs w:val="18"/>
        </w:rPr>
        <w:t xml:space="preserve">Web </w:t>
      </w:r>
      <w:r>
        <w:rPr>
          <w:i/>
          <w:iCs/>
          <w:color w:val="888888"/>
          <w:sz w:val="18"/>
          <w:szCs w:val="18"/>
        </w:rPr>
        <w:t>/ Script Scanner</w:t>
      </w:r>
    </w:p>
    <w:p w14:paraId="3CE45434" w14:textId="77777777" w:rsidR="00195ACD" w:rsidRDefault="00195ACD">
      <w:pPr>
        <w:spacing w:before="100" w:after="100"/>
      </w:pPr>
    </w:p>
    <w:p w14:paraId="1E7F1600" w14:textId="77777777" w:rsidR="00195ACD" w:rsidRDefault="00000000">
      <w:pPr>
        <w:spacing w:before="80" w:after="80"/>
      </w:pPr>
      <w:r>
        <w:rPr>
          <w:b/>
          <w:bCs/>
        </w:rPr>
        <w:t xml:space="preserve">Context: </w:t>
      </w:r>
      <w:r>
        <w:t>Banca Stato has raised a formal complaint regarding a UI element that is not being correctly identified by our automation tool. The customer currently considers this an anomaly of our product. The following Q&amp;A provides the precise technical answers to each of their questions, supporting our position that the issue originates from the web page implementation, not from our tool.</w:t>
      </w:r>
    </w:p>
    <w:p w14:paraId="0C7BBFF1" w14:textId="77777777" w:rsidR="00195ACD" w:rsidRDefault="00195ACD">
      <w:pPr>
        <w:spacing w:before="100"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5ACD" w14:paraId="6415CC8F" w14:textId="77777777">
        <w:tblPrEx>
          <w:tblCellMar>
            <w:top w:w="0" w:type="dxa"/>
            <w:bottom w:w="0" w:type="dxa"/>
          </w:tblCellMar>
        </w:tblPrEx>
        <w:tc>
          <w:tcPr>
            <w:tcW w:w="9026" w:type="dxa"/>
            <w:tcBorders>
              <w:top w:val="single" w:sz="4" w:space="0" w:color="1F4E79"/>
              <w:left w:val="thick" w:sz="12" w:space="0" w:color="1F4E79"/>
              <w:bottom w:val="single" w:sz="4" w:space="0" w:color="1F4E79"/>
              <w:right w:val="single" w:sz="4" w:space="0" w:color="1F4E79"/>
            </w:tcBorders>
            <w:shd w:val="clear" w:color="auto" w:fill="D6E4F0"/>
            <w:tcMar>
              <w:top w:w="120" w:type="dxa"/>
              <w:left w:w="200" w:type="dxa"/>
              <w:bottom w:w="120" w:type="dxa"/>
              <w:right w:w="200" w:type="dxa"/>
            </w:tcMar>
          </w:tcPr>
          <w:p w14:paraId="027F2E09" w14:textId="77777777" w:rsidR="00195ACD" w:rsidRDefault="00000000">
            <w:r>
              <w:rPr>
                <w:b/>
                <w:bCs/>
                <w:color w:val="1F4E79"/>
                <w:sz w:val="24"/>
                <w:szCs w:val="24"/>
              </w:rPr>
              <w:t>Q1. What exactly is happening from a technical point of view?</w:t>
            </w:r>
          </w:p>
        </w:tc>
      </w:tr>
    </w:tbl>
    <w:p w14:paraId="33557A1F" w14:textId="77777777" w:rsidR="00195ACD" w:rsidRDefault="00195ACD">
      <w:pPr>
        <w:spacing w:before="100"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5ACD" w14:paraId="5E35AEA3" w14:textId="77777777">
        <w:tblPrEx>
          <w:tblCellMar>
            <w:top w:w="0" w:type="dxa"/>
            <w:bottom w:w="0" w:type="dxa"/>
          </w:tblCellMar>
        </w:tblPrEx>
        <w:tc>
          <w:tcPr>
            <w:tcW w:w="9026" w:type="dxa"/>
            <w:tcBorders>
              <w:top w:val="single" w:sz="4" w:space="0" w:color="375623"/>
              <w:left w:val="thick" w:sz="12" w:space="0" w:color="375623"/>
              <w:bottom w:val="single" w:sz="4" w:space="0" w:color="375623"/>
              <w:right w:val="single" w:sz="4" w:space="0" w:color="375623"/>
            </w:tcBorders>
            <w:shd w:val="clear" w:color="auto" w:fill="F0F7ED"/>
            <w:tcMar>
              <w:top w:w="120" w:type="dxa"/>
              <w:left w:w="200" w:type="dxa"/>
              <w:bottom w:w="120" w:type="dxa"/>
              <w:right w:w="200" w:type="dxa"/>
            </w:tcMar>
          </w:tcPr>
          <w:p w14:paraId="713ABE84" w14:textId="77777777" w:rsidR="00195ACD" w:rsidRDefault="00000000">
            <w:pPr>
              <w:spacing w:after="80"/>
            </w:pPr>
            <w:r>
              <w:rPr>
                <w:b/>
                <w:bCs/>
                <w:color w:val="375623"/>
                <w:sz w:val="20"/>
                <w:szCs w:val="20"/>
              </w:rPr>
              <w:t>Answer</w:t>
            </w:r>
          </w:p>
          <w:p w14:paraId="75ABC430" w14:textId="77777777" w:rsidR="00195ACD" w:rsidRDefault="00000000">
            <w:pPr>
              <w:spacing w:before="60" w:after="60"/>
            </w:pPr>
            <w:r>
              <w:rPr>
                <w:sz w:val="21"/>
                <w:szCs w:val="21"/>
              </w:rPr>
              <w:t>The page contains two or more UI components that expose the same identifier to the automation engine — either the same id, the same name attribute, or the same visible text/label.</w:t>
            </w:r>
          </w:p>
          <w:p w14:paraId="5992578D" w14:textId="77777777" w:rsidR="00195ACD" w:rsidRDefault="00000000">
            <w:pPr>
              <w:spacing w:before="60" w:after="60"/>
            </w:pPr>
            <w:r>
              <w:rPr>
                <w:sz w:val="21"/>
                <w:szCs w:val="21"/>
              </w:rPr>
              <w:t>When our scanner queries the DOM for that identifier, it receives multiple matching elements and cannot determine which one is the intended interaction target. The result is either an error, or the tool silently interacts with the wrong element.</w:t>
            </w:r>
          </w:p>
        </w:tc>
      </w:tr>
    </w:tbl>
    <w:p w14:paraId="4C798B11" w14:textId="77777777" w:rsidR="00195ACD" w:rsidRDefault="00195ACD">
      <w:pPr>
        <w:spacing w:before="100" w:after="100"/>
      </w:pPr>
    </w:p>
    <w:p w14:paraId="6DD8DB92" w14:textId="77777777" w:rsidR="00195ACD" w:rsidRDefault="00195ACD">
      <w:pPr>
        <w:spacing w:before="100"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5ACD" w14:paraId="618832CA" w14:textId="77777777">
        <w:tblPrEx>
          <w:tblCellMar>
            <w:top w:w="0" w:type="dxa"/>
            <w:bottom w:w="0" w:type="dxa"/>
          </w:tblCellMar>
        </w:tblPrEx>
        <w:tc>
          <w:tcPr>
            <w:tcW w:w="9026" w:type="dxa"/>
            <w:tcBorders>
              <w:top w:val="single" w:sz="4" w:space="0" w:color="1F4E79"/>
              <w:left w:val="thick" w:sz="12" w:space="0" w:color="1F4E79"/>
              <w:bottom w:val="single" w:sz="4" w:space="0" w:color="1F4E79"/>
              <w:right w:val="single" w:sz="4" w:space="0" w:color="1F4E79"/>
            </w:tcBorders>
            <w:shd w:val="clear" w:color="auto" w:fill="D6E4F0"/>
            <w:tcMar>
              <w:top w:w="120" w:type="dxa"/>
              <w:left w:w="200" w:type="dxa"/>
              <w:bottom w:w="120" w:type="dxa"/>
              <w:right w:w="200" w:type="dxa"/>
            </w:tcMar>
          </w:tcPr>
          <w:p w14:paraId="336C6C6C" w14:textId="77777777" w:rsidR="00195ACD" w:rsidRDefault="00000000">
            <w:r>
              <w:rPr>
                <w:b/>
                <w:bCs/>
                <w:color w:val="1F4E79"/>
                <w:sz w:val="24"/>
                <w:szCs w:val="24"/>
              </w:rPr>
              <w:t>Q2. Whether the issue is caused by an anomaly in our tool, or by the way the web page has been implemented?</w:t>
            </w:r>
          </w:p>
        </w:tc>
      </w:tr>
    </w:tbl>
    <w:p w14:paraId="41115B21" w14:textId="77777777" w:rsidR="00195ACD" w:rsidRDefault="00195ACD">
      <w:pPr>
        <w:spacing w:before="100"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5ACD" w14:paraId="2159116A" w14:textId="77777777">
        <w:tblPrEx>
          <w:tblCellMar>
            <w:top w:w="0" w:type="dxa"/>
            <w:bottom w:w="0" w:type="dxa"/>
          </w:tblCellMar>
        </w:tblPrEx>
        <w:tc>
          <w:tcPr>
            <w:tcW w:w="9026" w:type="dxa"/>
            <w:tcBorders>
              <w:top w:val="single" w:sz="4" w:space="0" w:color="375623"/>
              <w:left w:val="thick" w:sz="12" w:space="0" w:color="375623"/>
              <w:bottom w:val="single" w:sz="4" w:space="0" w:color="375623"/>
              <w:right w:val="single" w:sz="4" w:space="0" w:color="375623"/>
            </w:tcBorders>
            <w:shd w:val="clear" w:color="auto" w:fill="F0F7ED"/>
            <w:tcMar>
              <w:top w:w="120" w:type="dxa"/>
              <w:left w:w="200" w:type="dxa"/>
              <w:bottom w:w="120" w:type="dxa"/>
              <w:right w:w="200" w:type="dxa"/>
            </w:tcMar>
          </w:tcPr>
          <w:p w14:paraId="51E1E278" w14:textId="77777777" w:rsidR="00195ACD" w:rsidRDefault="00000000">
            <w:pPr>
              <w:spacing w:after="80"/>
            </w:pPr>
            <w:r>
              <w:rPr>
                <w:b/>
                <w:bCs/>
                <w:color w:val="375623"/>
                <w:sz w:val="20"/>
                <w:szCs w:val="20"/>
              </w:rPr>
              <w:t>Answer</w:t>
            </w:r>
          </w:p>
          <w:p w14:paraId="61B9FB7F" w14:textId="77777777" w:rsidR="00195ACD" w:rsidRDefault="00000000">
            <w:pPr>
              <w:spacing w:before="60" w:after="60"/>
            </w:pPr>
            <w:r>
              <w:rPr>
                <w:b/>
                <w:bCs/>
                <w:sz w:val="21"/>
                <w:szCs w:val="21"/>
              </w:rPr>
              <w:t>The issue is caused by the web page implementation — not by our tool.</w:t>
            </w:r>
          </w:p>
          <w:p w14:paraId="36F2122D" w14:textId="77777777" w:rsidR="00195ACD" w:rsidRDefault="00000000">
            <w:pPr>
              <w:spacing w:before="60" w:after="60"/>
            </w:pPr>
            <w:r>
              <w:rPr>
                <w:sz w:val="21"/>
                <w:szCs w:val="21"/>
              </w:rPr>
              <w:t>Our scanner correctly follows the W3C HTML specification, which requires the id attribute to be unique within a document. When the page violates this rule, no automation engine — including Selenium, Playwright, or any accessibility framework — can resolve the ambiguity deterministically.</w:t>
            </w:r>
          </w:p>
          <w:p w14:paraId="7FB0166B" w14:textId="77777777" w:rsidR="00195ACD" w:rsidRDefault="00000000">
            <w:pPr>
              <w:spacing w:before="60" w:after="60"/>
            </w:pPr>
            <w:r>
              <w:rPr>
                <w:sz w:val="21"/>
                <w:szCs w:val="21"/>
              </w:rPr>
              <w:t>Our tool is behaving correctly: it finds multiple matches and cannot choose between them without additional context that the page does not provide.</w:t>
            </w:r>
          </w:p>
        </w:tc>
      </w:tr>
    </w:tbl>
    <w:p w14:paraId="70FDE3CD" w14:textId="77777777" w:rsidR="00195ACD" w:rsidRDefault="00195ACD">
      <w:pPr>
        <w:spacing w:before="100" w:after="100"/>
      </w:pPr>
    </w:p>
    <w:p w14:paraId="57191693" w14:textId="77777777" w:rsidR="00195ACD" w:rsidRDefault="00195ACD">
      <w:pPr>
        <w:spacing w:before="100"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5ACD" w14:paraId="75BC2355" w14:textId="77777777">
        <w:tblPrEx>
          <w:tblCellMar>
            <w:top w:w="0" w:type="dxa"/>
            <w:bottom w:w="0" w:type="dxa"/>
          </w:tblCellMar>
        </w:tblPrEx>
        <w:tc>
          <w:tcPr>
            <w:tcW w:w="9026" w:type="dxa"/>
            <w:tcBorders>
              <w:top w:val="single" w:sz="4" w:space="0" w:color="1F4E79"/>
              <w:left w:val="thick" w:sz="12" w:space="0" w:color="1F4E79"/>
              <w:bottom w:val="single" w:sz="4" w:space="0" w:color="1F4E79"/>
              <w:right w:val="single" w:sz="4" w:space="0" w:color="1F4E79"/>
            </w:tcBorders>
            <w:shd w:val="clear" w:color="auto" w:fill="D6E4F0"/>
            <w:tcMar>
              <w:top w:w="120" w:type="dxa"/>
              <w:left w:w="200" w:type="dxa"/>
              <w:bottom w:w="120" w:type="dxa"/>
              <w:right w:w="200" w:type="dxa"/>
            </w:tcMar>
          </w:tcPr>
          <w:p w14:paraId="7883DCD7" w14:textId="77777777" w:rsidR="00195ACD" w:rsidRDefault="00000000">
            <w:r>
              <w:rPr>
                <w:b/>
                <w:bCs/>
                <w:color w:val="1F4E79"/>
                <w:sz w:val="24"/>
                <w:szCs w:val="24"/>
              </w:rPr>
              <w:t>Q3. Why do two elements with the same name and/or same identifier create ambiguity for test automation?</w:t>
            </w:r>
          </w:p>
        </w:tc>
      </w:tr>
    </w:tbl>
    <w:p w14:paraId="4DA45E34" w14:textId="77777777" w:rsidR="00195ACD" w:rsidRDefault="00195ACD">
      <w:pPr>
        <w:spacing w:before="100"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5ACD" w14:paraId="7270E4F4" w14:textId="77777777">
        <w:tblPrEx>
          <w:tblCellMar>
            <w:top w:w="0" w:type="dxa"/>
            <w:bottom w:w="0" w:type="dxa"/>
          </w:tblCellMar>
        </w:tblPrEx>
        <w:tc>
          <w:tcPr>
            <w:tcW w:w="9026" w:type="dxa"/>
            <w:tcBorders>
              <w:top w:val="single" w:sz="4" w:space="0" w:color="375623"/>
              <w:left w:val="thick" w:sz="12" w:space="0" w:color="375623"/>
              <w:bottom w:val="single" w:sz="4" w:space="0" w:color="375623"/>
              <w:right w:val="single" w:sz="4" w:space="0" w:color="375623"/>
            </w:tcBorders>
            <w:shd w:val="clear" w:color="auto" w:fill="F0F7ED"/>
            <w:tcMar>
              <w:top w:w="120" w:type="dxa"/>
              <w:left w:w="200" w:type="dxa"/>
              <w:bottom w:w="120" w:type="dxa"/>
              <w:right w:w="200" w:type="dxa"/>
            </w:tcMar>
          </w:tcPr>
          <w:p w14:paraId="35BEC124" w14:textId="77777777" w:rsidR="00195ACD" w:rsidRDefault="00000000">
            <w:pPr>
              <w:spacing w:after="80"/>
            </w:pPr>
            <w:r>
              <w:rPr>
                <w:b/>
                <w:bCs/>
                <w:color w:val="375623"/>
                <w:sz w:val="20"/>
                <w:szCs w:val="20"/>
              </w:rPr>
              <w:lastRenderedPageBreak/>
              <w:t>Answer</w:t>
            </w:r>
          </w:p>
          <w:p w14:paraId="72044A28" w14:textId="77777777" w:rsidR="00195ACD" w:rsidRDefault="00000000">
            <w:pPr>
              <w:spacing w:before="60" w:after="60"/>
            </w:pPr>
            <w:r>
              <w:rPr>
                <w:sz w:val="21"/>
                <w:szCs w:val="21"/>
              </w:rPr>
              <w:t>Automation tools locate elements using selectors — id, name, class, XPath, CSS path. These selectors are designed to return exactly one element. When two elements share the same identifier, the selector returns a set instead of a single target.</w:t>
            </w:r>
          </w:p>
          <w:p w14:paraId="299DD6B2" w14:textId="77777777" w:rsidR="00195ACD" w:rsidRDefault="00000000">
            <w:pPr>
              <w:spacing w:before="60" w:after="60"/>
            </w:pPr>
            <w:r>
              <w:rPr>
                <w:sz w:val="21"/>
                <w:szCs w:val="21"/>
              </w:rPr>
              <w:t>The tool then faces three equally wrong outcomes:</w:t>
            </w:r>
          </w:p>
          <w:p w14:paraId="27422F60" w14:textId="77777777" w:rsidR="00195ACD" w:rsidRDefault="00000000">
            <w:pPr>
              <w:pStyle w:val="ListParagraph"/>
              <w:numPr>
                <w:ilvl w:val="0"/>
                <w:numId w:val="2"/>
              </w:numPr>
              <w:spacing w:before="40" w:after="40"/>
            </w:pPr>
            <w:r>
              <w:rPr>
                <w:sz w:val="21"/>
                <w:szCs w:val="21"/>
              </w:rPr>
              <w:t>Pick the first match — non-deterministic</w:t>
            </w:r>
          </w:p>
          <w:p w14:paraId="31203F02" w14:textId="77777777" w:rsidR="00195ACD" w:rsidRDefault="00000000">
            <w:pPr>
              <w:pStyle w:val="ListParagraph"/>
              <w:numPr>
                <w:ilvl w:val="0"/>
                <w:numId w:val="2"/>
              </w:numPr>
              <w:spacing w:before="40" w:after="40"/>
            </w:pPr>
            <w:r>
              <w:rPr>
                <w:sz w:val="21"/>
                <w:szCs w:val="21"/>
              </w:rPr>
              <w:t>Pick the last match — non-deterministic</w:t>
            </w:r>
          </w:p>
          <w:p w14:paraId="3D1DEDFE" w14:textId="77777777" w:rsidR="00195ACD" w:rsidRDefault="00000000">
            <w:pPr>
              <w:pStyle w:val="ListParagraph"/>
              <w:numPr>
                <w:ilvl w:val="0"/>
                <w:numId w:val="2"/>
              </w:numPr>
              <w:spacing w:before="40" w:after="40"/>
            </w:pPr>
            <w:r>
              <w:rPr>
                <w:sz w:val="21"/>
                <w:szCs w:val="21"/>
              </w:rPr>
              <w:t>Throw an error — blocks execution</w:t>
            </w:r>
          </w:p>
          <w:p w14:paraId="404000F1" w14:textId="77777777" w:rsidR="00195ACD" w:rsidRDefault="00000000">
            <w:pPr>
              <w:spacing w:before="60" w:after="60"/>
            </w:pPr>
            <w:r>
              <w:rPr>
                <w:sz w:val="21"/>
                <w:szCs w:val="21"/>
              </w:rPr>
              <w:t>None of these outcomes is reliable. Test results become unpredictable across page updates or browser versions.</w:t>
            </w:r>
          </w:p>
        </w:tc>
      </w:tr>
    </w:tbl>
    <w:p w14:paraId="700C68D0" w14:textId="77777777" w:rsidR="00195ACD" w:rsidRDefault="00195ACD">
      <w:pPr>
        <w:spacing w:before="100" w:after="100"/>
      </w:pPr>
    </w:p>
    <w:p w14:paraId="271DDD4A" w14:textId="77777777" w:rsidR="00195ACD" w:rsidRDefault="00195ACD">
      <w:pPr>
        <w:spacing w:before="100"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5ACD" w14:paraId="220B6E70" w14:textId="77777777">
        <w:tblPrEx>
          <w:tblCellMar>
            <w:top w:w="0" w:type="dxa"/>
            <w:bottom w:w="0" w:type="dxa"/>
          </w:tblCellMar>
        </w:tblPrEx>
        <w:tc>
          <w:tcPr>
            <w:tcW w:w="9026" w:type="dxa"/>
            <w:tcBorders>
              <w:top w:val="single" w:sz="4" w:space="0" w:color="1F4E79"/>
              <w:left w:val="thick" w:sz="12" w:space="0" w:color="1F4E79"/>
              <w:bottom w:val="single" w:sz="4" w:space="0" w:color="1F4E79"/>
              <w:right w:val="single" w:sz="4" w:space="0" w:color="1F4E79"/>
            </w:tcBorders>
            <w:shd w:val="clear" w:color="auto" w:fill="D6E4F0"/>
            <w:tcMar>
              <w:top w:w="120" w:type="dxa"/>
              <w:left w:w="200" w:type="dxa"/>
              <w:bottom w:w="120" w:type="dxa"/>
              <w:right w:w="200" w:type="dxa"/>
            </w:tcMar>
          </w:tcPr>
          <w:p w14:paraId="3FBF1EBF" w14:textId="77777777" w:rsidR="00195ACD" w:rsidRDefault="00000000">
            <w:r>
              <w:rPr>
                <w:b/>
                <w:bCs/>
                <w:color w:val="1F4E79"/>
                <w:sz w:val="24"/>
                <w:szCs w:val="24"/>
              </w:rPr>
              <w:t>Q4. What standards or best practices apply in this situation?</w:t>
            </w:r>
          </w:p>
        </w:tc>
      </w:tr>
    </w:tbl>
    <w:p w14:paraId="2B988B7E" w14:textId="77777777" w:rsidR="00195ACD" w:rsidRDefault="00195ACD">
      <w:pPr>
        <w:spacing w:before="100"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5ACD" w14:paraId="625ED0DC" w14:textId="77777777">
        <w:tblPrEx>
          <w:tblCellMar>
            <w:top w:w="0" w:type="dxa"/>
            <w:bottom w:w="0" w:type="dxa"/>
          </w:tblCellMar>
        </w:tblPrEx>
        <w:tc>
          <w:tcPr>
            <w:tcW w:w="9026" w:type="dxa"/>
            <w:tcBorders>
              <w:top w:val="single" w:sz="4" w:space="0" w:color="375623"/>
              <w:left w:val="thick" w:sz="12" w:space="0" w:color="375623"/>
              <w:bottom w:val="single" w:sz="4" w:space="0" w:color="375623"/>
              <w:right w:val="single" w:sz="4" w:space="0" w:color="375623"/>
            </w:tcBorders>
            <w:shd w:val="clear" w:color="auto" w:fill="F0F7ED"/>
            <w:tcMar>
              <w:top w:w="120" w:type="dxa"/>
              <w:left w:w="200" w:type="dxa"/>
              <w:bottom w:w="120" w:type="dxa"/>
              <w:right w:w="200" w:type="dxa"/>
            </w:tcMar>
          </w:tcPr>
          <w:p w14:paraId="162C1B38" w14:textId="77777777" w:rsidR="00195ACD" w:rsidRDefault="00000000">
            <w:pPr>
              <w:spacing w:after="80"/>
            </w:pPr>
            <w:r>
              <w:rPr>
                <w:b/>
                <w:bCs/>
                <w:color w:val="375623"/>
                <w:sz w:val="20"/>
                <w:szCs w:val="20"/>
              </w:rPr>
              <w:t>Answer</w:t>
            </w:r>
          </w:p>
          <w:p w14:paraId="351D00E5" w14:textId="77777777" w:rsidR="00195ACD" w:rsidRDefault="00000000">
            <w:pPr>
              <w:spacing w:before="60" w:after="60"/>
            </w:pPr>
            <w:r>
              <w:rPr>
                <w:sz w:val="21"/>
                <w:szCs w:val="21"/>
              </w:rPr>
              <w:t>Three standards apply directly:</w:t>
            </w:r>
          </w:p>
          <w:p w14:paraId="34B82AF5" w14:textId="77777777" w:rsidR="00195ACD" w:rsidRDefault="00000000">
            <w:pPr>
              <w:pStyle w:val="ListParagraph"/>
              <w:numPr>
                <w:ilvl w:val="0"/>
                <w:numId w:val="2"/>
              </w:numPr>
              <w:spacing w:before="40" w:after="40"/>
            </w:pPr>
            <w:r>
              <w:rPr>
                <w:sz w:val="21"/>
                <w:szCs w:val="21"/>
              </w:rPr>
              <w:t>W3C HTML5 Specification — the id attribute must be document-unique. Duplicate IDs are a conformance violation.</w:t>
            </w:r>
          </w:p>
          <w:p w14:paraId="1854C3B6" w14:textId="77777777" w:rsidR="00195ACD" w:rsidRDefault="00000000">
            <w:pPr>
              <w:pStyle w:val="ListParagraph"/>
              <w:numPr>
                <w:ilvl w:val="0"/>
                <w:numId w:val="2"/>
              </w:numPr>
              <w:spacing w:before="40" w:after="40"/>
            </w:pPr>
            <w:r>
              <w:rPr>
                <w:sz w:val="21"/>
                <w:szCs w:val="21"/>
              </w:rPr>
              <w:t>WAI-ARIA Authoring Practices — every interactive element must have a unique, stable accessible name resolvable without ambiguity.</w:t>
            </w:r>
          </w:p>
          <w:p w14:paraId="06E4D445" w14:textId="77777777" w:rsidR="00195ACD" w:rsidRDefault="00000000">
            <w:pPr>
              <w:pStyle w:val="ListParagraph"/>
              <w:numPr>
                <w:ilvl w:val="0"/>
                <w:numId w:val="2"/>
              </w:numPr>
              <w:spacing w:before="40" w:after="40"/>
            </w:pPr>
            <w:r>
              <w:rPr>
                <w:sz w:val="21"/>
                <w:szCs w:val="21"/>
              </w:rPr>
              <w:t xml:space="preserve">Industry testing standards (Google, Microsoft, </w:t>
            </w:r>
            <w:proofErr w:type="spellStart"/>
            <w:r>
              <w:rPr>
                <w:sz w:val="21"/>
                <w:szCs w:val="21"/>
              </w:rPr>
              <w:t>ThoughtWorks</w:t>
            </w:r>
            <w:proofErr w:type="spellEnd"/>
            <w:r>
              <w:rPr>
                <w:sz w:val="21"/>
                <w:szCs w:val="21"/>
              </w:rPr>
              <w:t>) — each automatable UI component should expose a dedicated, stable attribute such as data-</w:t>
            </w:r>
            <w:proofErr w:type="spellStart"/>
            <w:r>
              <w:rPr>
                <w:sz w:val="21"/>
                <w:szCs w:val="21"/>
              </w:rPr>
              <w:t>testid</w:t>
            </w:r>
            <w:proofErr w:type="spellEnd"/>
            <w:r>
              <w:rPr>
                <w:sz w:val="21"/>
                <w:szCs w:val="21"/>
              </w:rPr>
              <w:t xml:space="preserve"> or data-</w:t>
            </w:r>
            <w:proofErr w:type="spellStart"/>
            <w:r>
              <w:rPr>
                <w:sz w:val="21"/>
                <w:szCs w:val="21"/>
              </w:rPr>
              <w:t>qa</w:t>
            </w:r>
            <w:proofErr w:type="spellEnd"/>
            <w:r>
              <w:rPr>
                <w:sz w:val="21"/>
                <w:szCs w:val="21"/>
              </w:rPr>
              <w:t>, independent of CSS or layout changes.</w:t>
            </w:r>
          </w:p>
          <w:p w14:paraId="13B0028F" w14:textId="77777777" w:rsidR="00195ACD" w:rsidRDefault="00000000">
            <w:pPr>
              <w:spacing w:before="60" w:after="60"/>
            </w:pPr>
            <w:r>
              <w:rPr>
                <w:b/>
                <w:bCs/>
                <w:sz w:val="21"/>
                <w:szCs w:val="21"/>
              </w:rPr>
              <w:t>Our tool is fully aligned with all three standards.</w:t>
            </w:r>
          </w:p>
        </w:tc>
      </w:tr>
    </w:tbl>
    <w:p w14:paraId="6A7F6881" w14:textId="77777777" w:rsidR="00195ACD" w:rsidRDefault="00195ACD">
      <w:pPr>
        <w:spacing w:before="100" w:after="100"/>
      </w:pPr>
    </w:p>
    <w:p w14:paraId="34D8FBE0" w14:textId="77777777" w:rsidR="00195ACD" w:rsidRDefault="00195ACD">
      <w:pPr>
        <w:spacing w:before="100"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5ACD" w14:paraId="4F97AEA8" w14:textId="77777777">
        <w:tblPrEx>
          <w:tblCellMar>
            <w:top w:w="0" w:type="dxa"/>
            <w:bottom w:w="0" w:type="dxa"/>
          </w:tblCellMar>
        </w:tblPrEx>
        <w:tc>
          <w:tcPr>
            <w:tcW w:w="9026" w:type="dxa"/>
            <w:tcBorders>
              <w:top w:val="single" w:sz="4" w:space="0" w:color="1F4E79"/>
              <w:left w:val="thick" w:sz="12" w:space="0" w:color="1F4E79"/>
              <w:bottom w:val="single" w:sz="4" w:space="0" w:color="1F4E79"/>
              <w:right w:val="single" w:sz="4" w:space="0" w:color="1F4E79"/>
            </w:tcBorders>
            <w:shd w:val="clear" w:color="auto" w:fill="D6E4F0"/>
            <w:tcMar>
              <w:top w:w="120" w:type="dxa"/>
              <w:left w:w="200" w:type="dxa"/>
              <w:bottom w:w="120" w:type="dxa"/>
              <w:right w:w="200" w:type="dxa"/>
            </w:tcMar>
          </w:tcPr>
          <w:p w14:paraId="03438025" w14:textId="77777777" w:rsidR="00195ACD" w:rsidRDefault="00000000">
            <w:r>
              <w:rPr>
                <w:b/>
                <w:bCs/>
                <w:color w:val="1F4E79"/>
                <w:sz w:val="24"/>
                <w:szCs w:val="24"/>
              </w:rPr>
              <w:t>Q5. How do we intend to solve or work around the issue?</w:t>
            </w:r>
          </w:p>
        </w:tc>
      </w:tr>
    </w:tbl>
    <w:p w14:paraId="09144B1D" w14:textId="77777777" w:rsidR="00195ACD" w:rsidRDefault="00195ACD">
      <w:pPr>
        <w:spacing w:before="100"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5ACD" w14:paraId="6C960A9C" w14:textId="77777777">
        <w:tblPrEx>
          <w:tblCellMar>
            <w:top w:w="0" w:type="dxa"/>
            <w:bottom w:w="0" w:type="dxa"/>
          </w:tblCellMar>
        </w:tblPrEx>
        <w:tc>
          <w:tcPr>
            <w:tcW w:w="9026" w:type="dxa"/>
            <w:tcBorders>
              <w:top w:val="single" w:sz="4" w:space="0" w:color="375623"/>
              <w:left w:val="thick" w:sz="12" w:space="0" w:color="375623"/>
              <w:bottom w:val="single" w:sz="4" w:space="0" w:color="375623"/>
              <w:right w:val="single" w:sz="4" w:space="0" w:color="375623"/>
            </w:tcBorders>
            <w:shd w:val="clear" w:color="auto" w:fill="F0F7ED"/>
            <w:tcMar>
              <w:top w:w="120" w:type="dxa"/>
              <w:left w:w="200" w:type="dxa"/>
              <w:bottom w:w="120" w:type="dxa"/>
              <w:right w:w="200" w:type="dxa"/>
            </w:tcMar>
          </w:tcPr>
          <w:p w14:paraId="6A92471D" w14:textId="77777777" w:rsidR="00195ACD" w:rsidRDefault="00000000">
            <w:pPr>
              <w:spacing w:after="80"/>
            </w:pPr>
            <w:r>
              <w:rPr>
                <w:b/>
                <w:bCs/>
                <w:color w:val="375623"/>
                <w:sz w:val="20"/>
                <w:szCs w:val="20"/>
              </w:rPr>
              <w:t>Answer</w:t>
            </w:r>
          </w:p>
          <w:p w14:paraId="08BF0A7E" w14:textId="77777777" w:rsidR="00195ACD" w:rsidRDefault="00000000">
            <w:pPr>
              <w:spacing w:before="60" w:after="60"/>
            </w:pPr>
            <w:r>
              <w:rPr>
                <w:b/>
                <w:bCs/>
                <w:sz w:val="21"/>
                <w:szCs w:val="21"/>
              </w:rPr>
              <w:t>Level 1 — Immediate workaround (our side, already in progress)</w:t>
            </w:r>
          </w:p>
          <w:p w14:paraId="240226EB" w14:textId="77777777" w:rsidR="00195ACD" w:rsidRDefault="00000000">
            <w:pPr>
              <w:spacing w:before="60" w:after="60"/>
            </w:pPr>
            <w:r>
              <w:rPr>
                <w:sz w:val="21"/>
                <w:szCs w:val="21"/>
              </w:rPr>
              <w:t>We update the affected element mappings using compound locators: element type + parent container + DOM hierarchy + XPath/CSS path. This resolves the blocking issue immediately without waiting for the application to be fixed.</w:t>
            </w:r>
          </w:p>
          <w:p w14:paraId="019BC01E" w14:textId="77777777" w:rsidR="00195ACD" w:rsidRDefault="00195ACD">
            <w:pPr>
              <w:spacing w:before="100" w:after="100"/>
            </w:pPr>
          </w:p>
          <w:p w14:paraId="4F2601F5" w14:textId="77777777" w:rsidR="00195ACD" w:rsidRDefault="00000000">
            <w:pPr>
              <w:spacing w:before="60" w:after="60"/>
            </w:pPr>
            <w:r>
              <w:rPr>
                <w:b/>
                <w:bCs/>
                <w:sz w:val="21"/>
                <w:szCs w:val="21"/>
              </w:rPr>
              <w:t>Level 2 — Tool enhancement (roadmap)</w:t>
            </w:r>
          </w:p>
          <w:p w14:paraId="002603A7" w14:textId="77777777" w:rsidR="00195ACD" w:rsidRDefault="00000000">
            <w:pPr>
              <w:spacing w:before="60" w:after="60"/>
            </w:pPr>
            <w:r>
              <w:rPr>
                <w:sz w:val="21"/>
                <w:szCs w:val="21"/>
              </w:rPr>
              <w:t>We are enhancing the scanner to detect duplicate identifiers automatically at scan time, warn the user explicitly, and propose ranked alternative locator strategies. We are also evaluating Playwright as the primary scanning engine, which uses the accessibility tree and is structurally more robust for pages without stable attributes.</w:t>
            </w:r>
          </w:p>
          <w:p w14:paraId="4D66CEF8" w14:textId="77777777" w:rsidR="00195ACD" w:rsidRDefault="00195ACD">
            <w:pPr>
              <w:spacing w:before="100" w:after="100"/>
            </w:pPr>
          </w:p>
          <w:p w14:paraId="7C1EEDDD" w14:textId="77777777" w:rsidR="00195ACD" w:rsidRDefault="00000000">
            <w:pPr>
              <w:spacing w:before="60" w:after="60"/>
            </w:pPr>
            <w:r>
              <w:rPr>
                <w:b/>
                <w:bCs/>
                <w:sz w:val="21"/>
                <w:szCs w:val="21"/>
              </w:rPr>
              <w:t>Level 3 — Permanent fix</w:t>
            </w:r>
          </w:p>
          <w:p w14:paraId="4998237B" w14:textId="77777777" w:rsidR="00195ACD" w:rsidRDefault="00000000">
            <w:pPr>
              <w:spacing w:before="60" w:after="60"/>
            </w:pPr>
            <w:r>
              <w:rPr>
                <w:sz w:val="21"/>
                <w:szCs w:val="21"/>
              </w:rPr>
              <w:lastRenderedPageBreak/>
              <w:t>See answer to Question 6 below.</w:t>
            </w:r>
          </w:p>
        </w:tc>
      </w:tr>
    </w:tbl>
    <w:p w14:paraId="5321F636" w14:textId="77777777" w:rsidR="00195ACD" w:rsidRDefault="00195ACD">
      <w:pPr>
        <w:spacing w:before="100" w:after="100"/>
      </w:pPr>
    </w:p>
    <w:p w14:paraId="58EF530D" w14:textId="77777777" w:rsidR="00195ACD" w:rsidRDefault="00195ACD">
      <w:pPr>
        <w:spacing w:before="100"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5ACD" w14:paraId="15E22B7E" w14:textId="77777777">
        <w:tblPrEx>
          <w:tblCellMar>
            <w:top w:w="0" w:type="dxa"/>
            <w:bottom w:w="0" w:type="dxa"/>
          </w:tblCellMar>
        </w:tblPrEx>
        <w:tc>
          <w:tcPr>
            <w:tcW w:w="9026" w:type="dxa"/>
            <w:tcBorders>
              <w:top w:val="single" w:sz="4" w:space="0" w:color="1F4E79"/>
              <w:left w:val="thick" w:sz="12" w:space="0" w:color="1F4E79"/>
              <w:bottom w:val="single" w:sz="4" w:space="0" w:color="1F4E79"/>
              <w:right w:val="single" w:sz="4" w:space="0" w:color="1F4E79"/>
            </w:tcBorders>
            <w:shd w:val="clear" w:color="auto" w:fill="D6E4F0"/>
            <w:tcMar>
              <w:top w:w="120" w:type="dxa"/>
              <w:left w:w="200" w:type="dxa"/>
              <w:bottom w:w="120" w:type="dxa"/>
              <w:right w:w="200" w:type="dxa"/>
            </w:tcMar>
          </w:tcPr>
          <w:p w14:paraId="705206F7" w14:textId="77777777" w:rsidR="00195ACD" w:rsidRDefault="00000000">
            <w:r>
              <w:rPr>
                <w:b/>
                <w:bCs/>
                <w:color w:val="1F4E79"/>
                <w:sz w:val="24"/>
                <w:szCs w:val="24"/>
              </w:rPr>
              <w:t>Q6. What should ideally be corrected on the application side to make the page automation-ready?</w:t>
            </w:r>
          </w:p>
        </w:tc>
      </w:tr>
    </w:tbl>
    <w:p w14:paraId="20AB3AB2" w14:textId="77777777" w:rsidR="00195ACD" w:rsidRDefault="00195ACD">
      <w:pPr>
        <w:spacing w:before="100"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5ACD" w14:paraId="1D513198" w14:textId="77777777">
        <w:tblPrEx>
          <w:tblCellMar>
            <w:top w:w="0" w:type="dxa"/>
            <w:bottom w:w="0" w:type="dxa"/>
          </w:tblCellMar>
        </w:tblPrEx>
        <w:tc>
          <w:tcPr>
            <w:tcW w:w="9026" w:type="dxa"/>
            <w:tcBorders>
              <w:top w:val="single" w:sz="4" w:space="0" w:color="375623"/>
              <w:left w:val="thick" w:sz="12" w:space="0" w:color="375623"/>
              <w:bottom w:val="single" w:sz="4" w:space="0" w:color="375623"/>
              <w:right w:val="single" w:sz="4" w:space="0" w:color="375623"/>
            </w:tcBorders>
            <w:shd w:val="clear" w:color="auto" w:fill="F0F7ED"/>
            <w:tcMar>
              <w:top w:w="120" w:type="dxa"/>
              <w:left w:w="200" w:type="dxa"/>
              <w:bottom w:w="120" w:type="dxa"/>
              <w:right w:w="200" w:type="dxa"/>
            </w:tcMar>
          </w:tcPr>
          <w:p w14:paraId="63F781CC" w14:textId="77777777" w:rsidR="00195ACD" w:rsidRDefault="00000000">
            <w:pPr>
              <w:spacing w:after="80"/>
            </w:pPr>
            <w:r>
              <w:rPr>
                <w:b/>
                <w:bCs/>
                <w:color w:val="375623"/>
                <w:sz w:val="20"/>
                <w:szCs w:val="20"/>
              </w:rPr>
              <w:t>Answer</w:t>
            </w:r>
          </w:p>
          <w:p w14:paraId="293B65B9" w14:textId="77777777" w:rsidR="00195ACD" w:rsidRDefault="00000000">
            <w:pPr>
              <w:spacing w:before="60" w:after="60"/>
            </w:pPr>
            <w:r>
              <w:rPr>
                <w:sz w:val="21"/>
                <w:szCs w:val="21"/>
              </w:rPr>
              <w:t>The development team should add a unique, stable automation attribute to every interactive UI component:</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0"/>
            </w:tblGrid>
            <w:tr w:rsidR="00195ACD" w14:paraId="2849F995" w14:textId="77777777">
              <w:tblPrEx>
                <w:tblCellMar>
                  <w:top w:w="0" w:type="dxa"/>
                  <w:bottom w:w="0" w:type="dxa"/>
                </w:tblCellMar>
              </w:tblPrEx>
              <w:tc>
                <w:tcPr>
                  <w:tcW w:w="8600" w:type="dxa"/>
                  <w:tcBorders>
                    <w:top w:val="single" w:sz="1" w:space="0" w:color="CCCCCC"/>
                    <w:left w:val="single" w:sz="1" w:space="0" w:color="CCCCCC"/>
                    <w:bottom w:val="single" w:sz="1" w:space="0" w:color="CCCCCC"/>
                    <w:right w:val="single" w:sz="1" w:space="0" w:color="CCCCCC"/>
                  </w:tcBorders>
                  <w:shd w:val="clear" w:color="auto" w:fill="ECECEC"/>
                  <w:tcMar>
                    <w:top w:w="60" w:type="dxa"/>
                    <w:left w:w="120" w:type="dxa"/>
                    <w:bottom w:w="60" w:type="dxa"/>
                    <w:right w:w="120" w:type="dxa"/>
                  </w:tcMar>
                </w:tcPr>
                <w:p w14:paraId="66BA3249" w14:textId="77777777" w:rsidR="00195ACD" w:rsidRDefault="00000000">
                  <w:pPr>
                    <w:spacing w:before="16" w:after="16"/>
                  </w:pPr>
                  <w:proofErr w:type="gramStart"/>
                  <w:r>
                    <w:rPr>
                      <w:rFonts w:ascii="Courier New" w:eastAsia="Courier New" w:hAnsi="Courier New" w:cs="Courier New"/>
                      <w:color w:val="1A1A1A"/>
                      <w:sz w:val="17"/>
                      <w:szCs w:val="17"/>
                    </w:rPr>
                    <w:t>&lt;!--</w:t>
                  </w:r>
                  <w:proofErr w:type="gramEnd"/>
                  <w:r>
                    <w:rPr>
                      <w:rFonts w:ascii="Courier New" w:eastAsia="Courier New" w:hAnsi="Courier New" w:cs="Courier New"/>
                      <w:color w:val="1A1A1A"/>
                      <w:sz w:val="17"/>
                      <w:szCs w:val="17"/>
                    </w:rPr>
                    <w:t xml:space="preserve"> Before — ambiguous --&gt;</w:t>
                  </w:r>
                </w:p>
                <w:p w14:paraId="102810AF" w14:textId="77777777" w:rsidR="00195ACD" w:rsidRDefault="00000000">
                  <w:pPr>
                    <w:spacing w:before="16" w:after="16"/>
                  </w:pPr>
                  <w:r>
                    <w:rPr>
                      <w:rFonts w:ascii="Courier New" w:eastAsia="Courier New" w:hAnsi="Courier New" w:cs="Courier New"/>
                      <w:color w:val="1A1A1A"/>
                      <w:sz w:val="17"/>
                      <w:szCs w:val="17"/>
                    </w:rPr>
                    <w:t>&lt;button&gt;</w:t>
                  </w:r>
                  <w:proofErr w:type="spellStart"/>
                  <w:r>
                    <w:rPr>
                      <w:rFonts w:ascii="Courier New" w:eastAsia="Courier New" w:hAnsi="Courier New" w:cs="Courier New"/>
                      <w:color w:val="1A1A1A"/>
                      <w:sz w:val="17"/>
                      <w:szCs w:val="17"/>
                    </w:rPr>
                    <w:t>Conferma</w:t>
                  </w:r>
                  <w:proofErr w:type="spellEnd"/>
                  <w:r>
                    <w:rPr>
                      <w:rFonts w:ascii="Courier New" w:eastAsia="Courier New" w:hAnsi="Courier New" w:cs="Courier New"/>
                      <w:color w:val="1A1A1A"/>
                      <w:sz w:val="17"/>
                      <w:szCs w:val="17"/>
                    </w:rPr>
                    <w:t>&lt;/button&gt;</w:t>
                  </w:r>
                </w:p>
                <w:p w14:paraId="6C14CE35" w14:textId="77777777" w:rsidR="00195ACD" w:rsidRDefault="00000000">
                  <w:pPr>
                    <w:spacing w:before="16" w:after="16"/>
                  </w:pPr>
                  <w:r>
                    <w:rPr>
                      <w:rFonts w:ascii="Courier New" w:eastAsia="Courier New" w:hAnsi="Courier New" w:cs="Courier New"/>
                      <w:color w:val="1A1A1A"/>
                      <w:sz w:val="17"/>
                      <w:szCs w:val="17"/>
                    </w:rPr>
                    <w:t>&lt;button&gt;</w:t>
                  </w:r>
                  <w:proofErr w:type="spellStart"/>
                  <w:r>
                    <w:rPr>
                      <w:rFonts w:ascii="Courier New" w:eastAsia="Courier New" w:hAnsi="Courier New" w:cs="Courier New"/>
                      <w:color w:val="1A1A1A"/>
                      <w:sz w:val="17"/>
                      <w:szCs w:val="17"/>
                    </w:rPr>
                    <w:t>Conferma</w:t>
                  </w:r>
                  <w:proofErr w:type="spellEnd"/>
                  <w:r>
                    <w:rPr>
                      <w:rFonts w:ascii="Courier New" w:eastAsia="Courier New" w:hAnsi="Courier New" w:cs="Courier New"/>
                      <w:color w:val="1A1A1A"/>
                      <w:sz w:val="17"/>
                      <w:szCs w:val="17"/>
                    </w:rPr>
                    <w:t>&lt;/button&gt;</w:t>
                  </w:r>
                </w:p>
                <w:p w14:paraId="7537AFC7" w14:textId="77777777" w:rsidR="00195ACD" w:rsidRDefault="00195ACD">
                  <w:pPr>
                    <w:spacing w:before="16" w:after="16"/>
                  </w:pPr>
                </w:p>
                <w:p w14:paraId="745F4E1D" w14:textId="77777777" w:rsidR="00195ACD" w:rsidRDefault="00000000">
                  <w:pPr>
                    <w:spacing w:before="16" w:after="16"/>
                  </w:pPr>
                  <w:proofErr w:type="gramStart"/>
                  <w:r>
                    <w:rPr>
                      <w:rFonts w:ascii="Courier New" w:eastAsia="Courier New" w:hAnsi="Courier New" w:cs="Courier New"/>
                      <w:color w:val="1A1A1A"/>
                      <w:sz w:val="17"/>
                      <w:szCs w:val="17"/>
                    </w:rPr>
                    <w:t>&lt;!--</w:t>
                  </w:r>
                  <w:proofErr w:type="gramEnd"/>
                  <w:r>
                    <w:rPr>
                      <w:rFonts w:ascii="Courier New" w:eastAsia="Courier New" w:hAnsi="Courier New" w:cs="Courier New"/>
                      <w:color w:val="1A1A1A"/>
                      <w:sz w:val="17"/>
                      <w:szCs w:val="17"/>
                    </w:rPr>
                    <w:t xml:space="preserve"> After — automation-ready --&gt;</w:t>
                  </w:r>
                </w:p>
                <w:p w14:paraId="0744B33D" w14:textId="77777777" w:rsidR="00195ACD" w:rsidRDefault="00000000">
                  <w:pPr>
                    <w:spacing w:before="16" w:after="16"/>
                  </w:pPr>
                  <w:r>
                    <w:rPr>
                      <w:rFonts w:ascii="Courier New" w:eastAsia="Courier New" w:hAnsi="Courier New" w:cs="Courier New"/>
                      <w:color w:val="1A1A1A"/>
                      <w:sz w:val="17"/>
                      <w:szCs w:val="17"/>
                    </w:rPr>
                    <w:t>&lt;button data-</w:t>
                  </w:r>
                  <w:proofErr w:type="spellStart"/>
                  <w:r>
                    <w:rPr>
                      <w:rFonts w:ascii="Courier New" w:eastAsia="Courier New" w:hAnsi="Courier New" w:cs="Courier New"/>
                      <w:color w:val="1A1A1A"/>
                      <w:sz w:val="17"/>
                      <w:szCs w:val="17"/>
                    </w:rPr>
                    <w:t>testid</w:t>
                  </w:r>
                  <w:proofErr w:type="spellEnd"/>
                  <w:r>
                    <w:rPr>
                      <w:rFonts w:ascii="Courier New" w:eastAsia="Courier New" w:hAnsi="Courier New" w:cs="Courier New"/>
                      <w:color w:val="1A1A1A"/>
                      <w:sz w:val="17"/>
                      <w:szCs w:val="17"/>
                    </w:rPr>
                    <w:t>="confirm-payment-</w:t>
                  </w:r>
                  <w:proofErr w:type="spellStart"/>
                  <w:r>
                    <w:rPr>
                      <w:rFonts w:ascii="Courier New" w:eastAsia="Courier New" w:hAnsi="Courier New" w:cs="Courier New"/>
                      <w:color w:val="1A1A1A"/>
                      <w:sz w:val="17"/>
                      <w:szCs w:val="17"/>
                    </w:rPr>
                    <w:t>btn</w:t>
                  </w:r>
                  <w:proofErr w:type="spellEnd"/>
                  <w:r>
                    <w:rPr>
                      <w:rFonts w:ascii="Courier New" w:eastAsia="Courier New" w:hAnsi="Courier New" w:cs="Courier New"/>
                      <w:color w:val="1A1A1A"/>
                      <w:sz w:val="17"/>
                      <w:szCs w:val="17"/>
                    </w:rPr>
                    <w:t>"&gt;</w:t>
                  </w:r>
                  <w:proofErr w:type="spellStart"/>
                  <w:r>
                    <w:rPr>
                      <w:rFonts w:ascii="Courier New" w:eastAsia="Courier New" w:hAnsi="Courier New" w:cs="Courier New"/>
                      <w:color w:val="1A1A1A"/>
                      <w:sz w:val="17"/>
                      <w:szCs w:val="17"/>
                    </w:rPr>
                    <w:t>Conferma</w:t>
                  </w:r>
                  <w:proofErr w:type="spellEnd"/>
                  <w:r>
                    <w:rPr>
                      <w:rFonts w:ascii="Courier New" w:eastAsia="Courier New" w:hAnsi="Courier New" w:cs="Courier New"/>
                      <w:color w:val="1A1A1A"/>
                      <w:sz w:val="17"/>
                      <w:szCs w:val="17"/>
                    </w:rPr>
                    <w:t>&lt;/button&gt;</w:t>
                  </w:r>
                </w:p>
                <w:p w14:paraId="719CD2A5" w14:textId="77777777" w:rsidR="00195ACD" w:rsidRDefault="00000000">
                  <w:pPr>
                    <w:spacing w:before="16" w:after="16"/>
                  </w:pPr>
                  <w:r>
                    <w:rPr>
                      <w:rFonts w:ascii="Courier New" w:eastAsia="Courier New" w:hAnsi="Courier New" w:cs="Courier New"/>
                      <w:color w:val="1A1A1A"/>
                      <w:sz w:val="17"/>
                      <w:szCs w:val="17"/>
                    </w:rPr>
                    <w:t>&lt;button data-</w:t>
                  </w:r>
                  <w:proofErr w:type="spellStart"/>
                  <w:r>
                    <w:rPr>
                      <w:rFonts w:ascii="Courier New" w:eastAsia="Courier New" w:hAnsi="Courier New" w:cs="Courier New"/>
                      <w:color w:val="1A1A1A"/>
                      <w:sz w:val="17"/>
                      <w:szCs w:val="17"/>
                    </w:rPr>
                    <w:t>testid</w:t>
                  </w:r>
                  <w:proofErr w:type="spellEnd"/>
                  <w:r>
                    <w:rPr>
                      <w:rFonts w:ascii="Courier New" w:eastAsia="Courier New" w:hAnsi="Courier New" w:cs="Courier New"/>
                      <w:color w:val="1A1A1A"/>
                      <w:sz w:val="17"/>
                      <w:szCs w:val="17"/>
                    </w:rPr>
                    <w:t>="confirm-transfer-</w:t>
                  </w:r>
                  <w:proofErr w:type="spellStart"/>
                  <w:r>
                    <w:rPr>
                      <w:rFonts w:ascii="Courier New" w:eastAsia="Courier New" w:hAnsi="Courier New" w:cs="Courier New"/>
                      <w:color w:val="1A1A1A"/>
                      <w:sz w:val="17"/>
                      <w:szCs w:val="17"/>
                    </w:rPr>
                    <w:t>btn</w:t>
                  </w:r>
                  <w:proofErr w:type="spellEnd"/>
                  <w:r>
                    <w:rPr>
                      <w:rFonts w:ascii="Courier New" w:eastAsia="Courier New" w:hAnsi="Courier New" w:cs="Courier New"/>
                      <w:color w:val="1A1A1A"/>
                      <w:sz w:val="17"/>
                      <w:szCs w:val="17"/>
                    </w:rPr>
                    <w:t>"&gt;</w:t>
                  </w:r>
                  <w:proofErr w:type="spellStart"/>
                  <w:r>
                    <w:rPr>
                      <w:rFonts w:ascii="Courier New" w:eastAsia="Courier New" w:hAnsi="Courier New" w:cs="Courier New"/>
                      <w:color w:val="1A1A1A"/>
                      <w:sz w:val="17"/>
                      <w:szCs w:val="17"/>
                    </w:rPr>
                    <w:t>Conferma</w:t>
                  </w:r>
                  <w:proofErr w:type="spellEnd"/>
                  <w:r>
                    <w:rPr>
                      <w:rFonts w:ascii="Courier New" w:eastAsia="Courier New" w:hAnsi="Courier New" w:cs="Courier New"/>
                      <w:color w:val="1A1A1A"/>
                      <w:sz w:val="17"/>
                      <w:szCs w:val="17"/>
                    </w:rPr>
                    <w:t>&lt;/button&gt;</w:t>
                  </w:r>
                </w:p>
              </w:tc>
            </w:tr>
          </w:tbl>
          <w:p w14:paraId="38F88380" w14:textId="77777777" w:rsidR="00195ACD" w:rsidRDefault="00195ACD">
            <w:pPr>
              <w:spacing w:before="100" w:after="100"/>
            </w:pPr>
          </w:p>
          <w:p w14:paraId="30D98C15" w14:textId="77777777" w:rsidR="00195ACD" w:rsidRDefault="00000000">
            <w:pPr>
              <w:spacing w:before="60" w:after="60"/>
            </w:pPr>
            <w:r>
              <w:rPr>
                <w:sz w:val="21"/>
                <w:szCs w:val="21"/>
              </w:rPr>
              <w:t>This attribute should be:</w:t>
            </w:r>
          </w:p>
          <w:p w14:paraId="24DFDF84" w14:textId="77777777" w:rsidR="00195ACD" w:rsidRDefault="00000000">
            <w:pPr>
              <w:pStyle w:val="ListParagraph"/>
              <w:numPr>
                <w:ilvl w:val="0"/>
                <w:numId w:val="2"/>
              </w:numPr>
              <w:spacing w:before="40" w:after="40"/>
            </w:pPr>
            <w:r>
              <w:rPr>
                <w:sz w:val="21"/>
                <w:szCs w:val="21"/>
              </w:rPr>
              <w:t>Independent of CSS classes, layout changes, and label translations</w:t>
            </w:r>
          </w:p>
          <w:p w14:paraId="3B8E9548" w14:textId="77777777" w:rsidR="00195ACD" w:rsidRDefault="00000000">
            <w:pPr>
              <w:pStyle w:val="ListParagraph"/>
              <w:numPr>
                <w:ilvl w:val="0"/>
                <w:numId w:val="2"/>
              </w:numPr>
              <w:spacing w:before="40" w:after="40"/>
            </w:pPr>
            <w:r>
              <w:rPr>
                <w:sz w:val="21"/>
                <w:szCs w:val="21"/>
              </w:rPr>
              <w:t>Agreed between the development team and the QA/automation team</w:t>
            </w:r>
          </w:p>
          <w:p w14:paraId="6801CC30" w14:textId="77777777" w:rsidR="00195ACD" w:rsidRDefault="00000000">
            <w:pPr>
              <w:pStyle w:val="ListParagraph"/>
              <w:numPr>
                <w:ilvl w:val="0"/>
                <w:numId w:val="2"/>
              </w:numPr>
              <w:spacing w:before="40" w:after="40"/>
            </w:pPr>
            <w:r>
              <w:rPr>
                <w:sz w:val="21"/>
                <w:szCs w:val="21"/>
              </w:rPr>
              <w:t>Treated as a stable contract — never changed without coordination</w:t>
            </w:r>
          </w:p>
          <w:p w14:paraId="28032FE5" w14:textId="77777777" w:rsidR="00195ACD" w:rsidRDefault="00000000">
            <w:pPr>
              <w:spacing w:before="60" w:after="60"/>
            </w:pPr>
            <w:r>
              <w:rPr>
                <w:b/>
                <w:bCs/>
                <w:sz w:val="21"/>
                <w:szCs w:val="21"/>
              </w:rPr>
              <w:t>This is the only solution that guarantees long-term test reliability regardless of future application updates.</w:t>
            </w:r>
          </w:p>
        </w:tc>
      </w:tr>
    </w:tbl>
    <w:p w14:paraId="4EE8600C" w14:textId="77777777" w:rsidR="00195ACD" w:rsidRDefault="00195ACD">
      <w:pPr>
        <w:spacing w:before="100" w:after="100"/>
      </w:pPr>
    </w:p>
    <w:p w14:paraId="43B97F4E" w14:textId="77777777" w:rsidR="00195ACD" w:rsidRDefault="00195ACD">
      <w:pPr>
        <w:spacing w:before="100"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5ACD" w14:paraId="6A40DFF1" w14:textId="77777777">
        <w:tblPrEx>
          <w:tblCellMar>
            <w:top w:w="0" w:type="dxa"/>
            <w:bottom w:w="0" w:type="dxa"/>
          </w:tblCellMar>
        </w:tblPrEx>
        <w:tc>
          <w:tcPr>
            <w:tcW w:w="9026" w:type="dxa"/>
            <w:tcBorders>
              <w:top w:val="single" w:sz="4" w:space="0" w:color="C55A11"/>
              <w:left w:val="thick" w:sz="12" w:space="0" w:color="C55A11"/>
              <w:bottom w:val="single" w:sz="4" w:space="0" w:color="C55A11"/>
              <w:right w:val="single" w:sz="4" w:space="0" w:color="C55A11"/>
            </w:tcBorders>
            <w:shd w:val="clear" w:color="auto" w:fill="FFF3E0"/>
            <w:tcMar>
              <w:top w:w="140" w:type="dxa"/>
              <w:left w:w="200" w:type="dxa"/>
              <w:bottom w:w="140" w:type="dxa"/>
              <w:right w:w="200" w:type="dxa"/>
            </w:tcMar>
          </w:tcPr>
          <w:p w14:paraId="3E55B019" w14:textId="77777777" w:rsidR="00195ACD" w:rsidRDefault="00000000">
            <w:pPr>
              <w:spacing w:after="80"/>
            </w:pPr>
            <w:r>
              <w:rPr>
                <w:b/>
                <w:bCs/>
                <w:color w:val="C55A11"/>
              </w:rPr>
              <w:t>Commercial Note</w:t>
            </w:r>
          </w:p>
          <w:p w14:paraId="785183F9" w14:textId="77777777" w:rsidR="00195ACD" w:rsidRDefault="00000000">
            <w:r>
              <w:rPr>
                <w:sz w:val="21"/>
                <w:szCs w:val="21"/>
              </w:rPr>
              <w:t>This issue is commercially sensitive. The customer may escalate and position it as a product defect. The answers above provide a solid technical foundation — supported by W3C standards and industry best practices — demonstrating that our tool is behaving correctly and that the root cause lies in the page implementation.</w:t>
            </w:r>
          </w:p>
        </w:tc>
      </w:tr>
    </w:tbl>
    <w:p w14:paraId="55DBFD63" w14:textId="77777777" w:rsidR="00195ACD" w:rsidRDefault="00195ACD">
      <w:pPr>
        <w:spacing w:before="100" w:after="100"/>
      </w:pPr>
    </w:p>
    <w:p w14:paraId="73949AD3" w14:textId="77777777" w:rsidR="00195ACD" w:rsidRDefault="00195ACD">
      <w:pPr>
        <w:spacing w:before="100" w:after="100"/>
      </w:pPr>
    </w:p>
    <w:p w14:paraId="27048505" w14:textId="77777777" w:rsidR="00195ACD" w:rsidRDefault="00000000">
      <w:pPr>
        <w:jc w:val="center"/>
      </w:pPr>
      <w:r>
        <w:rPr>
          <w:i/>
          <w:iCs/>
          <w:color w:val="888888"/>
          <w:sz w:val="18"/>
          <w:szCs w:val="18"/>
        </w:rPr>
        <w:t>Internal document — prepared for Andrea — do not share externally without review.</w:t>
      </w:r>
    </w:p>
    <w:sectPr w:rsidR="00195ACD">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571C29"/>
    <w:multiLevelType w:val="hybridMultilevel"/>
    <w:tmpl w:val="5F50FCA2"/>
    <w:lvl w:ilvl="0" w:tplc="6400C0B6">
      <w:start w:val="1"/>
      <w:numFmt w:val="bullet"/>
      <w:lvlText w:val="●"/>
      <w:lvlJc w:val="left"/>
      <w:pPr>
        <w:ind w:left="720" w:hanging="360"/>
      </w:pPr>
    </w:lvl>
    <w:lvl w:ilvl="1" w:tplc="A67C53D6">
      <w:start w:val="1"/>
      <w:numFmt w:val="bullet"/>
      <w:lvlText w:val="○"/>
      <w:lvlJc w:val="left"/>
      <w:pPr>
        <w:ind w:left="1440" w:hanging="360"/>
      </w:pPr>
    </w:lvl>
    <w:lvl w:ilvl="2" w:tplc="C9507D46">
      <w:start w:val="1"/>
      <w:numFmt w:val="bullet"/>
      <w:lvlText w:val="■"/>
      <w:lvlJc w:val="left"/>
      <w:pPr>
        <w:ind w:left="2160" w:hanging="360"/>
      </w:pPr>
    </w:lvl>
    <w:lvl w:ilvl="3" w:tplc="4EF6BBD8">
      <w:start w:val="1"/>
      <w:numFmt w:val="bullet"/>
      <w:lvlText w:val="●"/>
      <w:lvlJc w:val="left"/>
      <w:pPr>
        <w:ind w:left="2880" w:hanging="360"/>
      </w:pPr>
    </w:lvl>
    <w:lvl w:ilvl="4" w:tplc="C3A042DA">
      <w:start w:val="1"/>
      <w:numFmt w:val="bullet"/>
      <w:lvlText w:val="○"/>
      <w:lvlJc w:val="left"/>
      <w:pPr>
        <w:ind w:left="3600" w:hanging="360"/>
      </w:pPr>
    </w:lvl>
    <w:lvl w:ilvl="5" w:tplc="25045FDE">
      <w:start w:val="1"/>
      <w:numFmt w:val="bullet"/>
      <w:lvlText w:val="■"/>
      <w:lvlJc w:val="left"/>
      <w:pPr>
        <w:ind w:left="4320" w:hanging="360"/>
      </w:pPr>
    </w:lvl>
    <w:lvl w:ilvl="6" w:tplc="60D65576">
      <w:start w:val="1"/>
      <w:numFmt w:val="bullet"/>
      <w:lvlText w:val="●"/>
      <w:lvlJc w:val="left"/>
      <w:pPr>
        <w:ind w:left="5040" w:hanging="360"/>
      </w:pPr>
    </w:lvl>
    <w:lvl w:ilvl="7" w:tplc="E5A6BF58">
      <w:start w:val="1"/>
      <w:numFmt w:val="bullet"/>
      <w:lvlText w:val="●"/>
      <w:lvlJc w:val="left"/>
      <w:pPr>
        <w:ind w:left="5760" w:hanging="360"/>
      </w:pPr>
    </w:lvl>
    <w:lvl w:ilvl="8" w:tplc="32D8D206">
      <w:start w:val="1"/>
      <w:numFmt w:val="bullet"/>
      <w:lvlText w:val="●"/>
      <w:lvlJc w:val="left"/>
      <w:pPr>
        <w:ind w:left="6480" w:hanging="360"/>
      </w:pPr>
    </w:lvl>
  </w:abstractNum>
  <w:abstractNum w:abstractNumId="1" w15:restartNumberingAfterBreak="0">
    <w:nsid w:val="2DBF3D27"/>
    <w:multiLevelType w:val="hybridMultilevel"/>
    <w:tmpl w:val="854AF2C0"/>
    <w:lvl w:ilvl="0" w:tplc="4CA608CC">
      <w:start w:val="1"/>
      <w:numFmt w:val="bullet"/>
      <w:lvlText w:val="•"/>
      <w:lvlJc w:val="left"/>
      <w:pPr>
        <w:ind w:left="720" w:hanging="360"/>
      </w:pPr>
    </w:lvl>
    <w:lvl w:ilvl="1" w:tplc="FEB6253C">
      <w:numFmt w:val="decimal"/>
      <w:lvlText w:val=""/>
      <w:lvlJc w:val="left"/>
    </w:lvl>
    <w:lvl w:ilvl="2" w:tplc="DB527850">
      <w:numFmt w:val="decimal"/>
      <w:lvlText w:val=""/>
      <w:lvlJc w:val="left"/>
    </w:lvl>
    <w:lvl w:ilvl="3" w:tplc="017AE9A0">
      <w:numFmt w:val="decimal"/>
      <w:lvlText w:val=""/>
      <w:lvlJc w:val="left"/>
    </w:lvl>
    <w:lvl w:ilvl="4" w:tplc="55A2A9E2">
      <w:numFmt w:val="decimal"/>
      <w:lvlText w:val=""/>
      <w:lvlJc w:val="left"/>
    </w:lvl>
    <w:lvl w:ilvl="5" w:tplc="B20E3D1C">
      <w:numFmt w:val="decimal"/>
      <w:lvlText w:val=""/>
      <w:lvlJc w:val="left"/>
    </w:lvl>
    <w:lvl w:ilvl="6" w:tplc="E8E06302">
      <w:numFmt w:val="decimal"/>
      <w:lvlText w:val=""/>
      <w:lvlJc w:val="left"/>
    </w:lvl>
    <w:lvl w:ilvl="7" w:tplc="C8529B60">
      <w:numFmt w:val="decimal"/>
      <w:lvlText w:val=""/>
      <w:lvlJc w:val="left"/>
    </w:lvl>
    <w:lvl w:ilvl="8" w:tplc="5672B6C6">
      <w:numFmt w:val="decimal"/>
      <w:lvlText w:val=""/>
      <w:lvlJc w:val="left"/>
    </w:lvl>
  </w:abstractNum>
  <w:abstractNum w:abstractNumId="2" w15:restartNumberingAfterBreak="0">
    <w:nsid w:val="39ED053D"/>
    <w:multiLevelType w:val="hybridMultilevel"/>
    <w:tmpl w:val="2990C21E"/>
    <w:lvl w:ilvl="0" w:tplc="876A7750">
      <w:start w:val="1"/>
      <w:numFmt w:val="decimal"/>
      <w:lvlText w:val="%1."/>
      <w:lvlJc w:val="left"/>
      <w:pPr>
        <w:ind w:left="720" w:hanging="360"/>
      </w:pPr>
    </w:lvl>
    <w:lvl w:ilvl="1" w:tplc="A8EAAD44">
      <w:numFmt w:val="decimal"/>
      <w:lvlText w:val=""/>
      <w:lvlJc w:val="left"/>
    </w:lvl>
    <w:lvl w:ilvl="2" w:tplc="83B097B0">
      <w:numFmt w:val="decimal"/>
      <w:lvlText w:val=""/>
      <w:lvlJc w:val="left"/>
    </w:lvl>
    <w:lvl w:ilvl="3" w:tplc="A4164824">
      <w:numFmt w:val="decimal"/>
      <w:lvlText w:val=""/>
      <w:lvlJc w:val="left"/>
    </w:lvl>
    <w:lvl w:ilvl="4" w:tplc="1FE607C2">
      <w:numFmt w:val="decimal"/>
      <w:lvlText w:val=""/>
      <w:lvlJc w:val="left"/>
    </w:lvl>
    <w:lvl w:ilvl="5" w:tplc="DBB06B04">
      <w:numFmt w:val="decimal"/>
      <w:lvlText w:val=""/>
      <w:lvlJc w:val="left"/>
    </w:lvl>
    <w:lvl w:ilvl="6" w:tplc="14A0A07C">
      <w:numFmt w:val="decimal"/>
      <w:lvlText w:val=""/>
      <w:lvlJc w:val="left"/>
    </w:lvl>
    <w:lvl w:ilvl="7" w:tplc="36FA5F86">
      <w:numFmt w:val="decimal"/>
      <w:lvlText w:val=""/>
      <w:lvlJc w:val="left"/>
    </w:lvl>
    <w:lvl w:ilvl="8" w:tplc="11F8B3E0">
      <w:numFmt w:val="decimal"/>
      <w:lvlText w:val=""/>
      <w:lvlJc w:val="left"/>
    </w:lvl>
  </w:abstractNum>
  <w:num w:numId="1" w16cid:durableId="1972396537">
    <w:abstractNumId w:val="0"/>
    <w:lvlOverride w:ilvl="0">
      <w:startOverride w:val="1"/>
    </w:lvlOverride>
  </w:num>
  <w:num w:numId="2" w16cid:durableId="138845328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5ACD"/>
    <w:rsid w:val="00195ACD"/>
    <w:rsid w:val="007B2906"/>
    <w:rsid w:val="00E7097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E1264"/>
  <w15:docId w15:val="{498BB2A8-B0A5-4A5E-8402-AADC6D5B35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F4E79"/>
      <w:sz w:val="32"/>
      <w:szCs w:val="32"/>
    </w:rPr>
  </w:style>
  <w:style w:type="paragraph" w:styleId="Heading2">
    <w:name w:val="heading 2"/>
    <w:uiPriority w:val="9"/>
    <w:semiHidden/>
    <w:unhideWhenUsed/>
    <w:qFormat/>
    <w:pPr>
      <w:spacing w:before="300" w:after="120"/>
      <w:outlineLvl w:val="1"/>
    </w:pPr>
    <w:rPr>
      <w:b/>
      <w:bCs/>
      <w:color w:val="1F4E79"/>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729</Words>
  <Characters>4161</Characters>
  <Application>Microsoft Office Word</Application>
  <DocSecurity>0</DocSecurity>
  <Lines>34</Lines>
  <Paragraphs>9</Paragraphs>
  <ScaleCrop>false</ScaleCrop>
  <Company/>
  <LinksUpToDate>false</LinksUpToDate>
  <CharactersWithSpaces>4881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Osvaldo Martini</cp:lastModifiedBy>
  <cp:revision>2</cp:revision>
  <dcterms:created xsi:type="dcterms:W3CDTF">2026-06-25T10:08:00Z</dcterms:created>
  <dcterms:modified xsi:type="dcterms:W3CDTF">2026-06-25T10:08:00Z</dcterms:modified>
</cp:coreProperties>
</file>