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left"/>
        <w:tblInd w:w="4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40" w:line="276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Sí, he cumplido con las actividades comprometidas para la Fase 2 en los plazos definidos en la carta Gantt. Desde mi rol de gestión y documentación técnica, elaboré y mantuve la trazabilidad de los requerimientos mediante las Historias de Usuario bajo Scrum (H1.1 a H5.2), consolidé el informe formal de la Fase 2 según la estructura de Duoc UC y diseñé el marco de aseguramiento de calidad (Punto 7). Esto incluyó la definición y registro de las pruebas unitarias (PU-01 para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dropna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y PU-02 para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abs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), pruebas de integración (PI-01 y PI-02) y la formalización técnica de las métricas KPI-01 (integridad del 100% con 950 registros limpios en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ventas_limpio_sql.csv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) y KPI-02 (precisión del modelo Random Forest con MAE de 24.11 unidades).</w:t>
            </w:r>
          </w:p>
          <w:p w:rsidR="00000000" w:rsidDel="00000000" w:rsidP="00000000" w:rsidRDefault="00000000" w:rsidRPr="00000000" w14:paraId="0000000C">
            <w:pPr>
              <w:spacing w:after="240" w:line="276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Como factor facilitador destaca la división clara de roles: mi compañero estuvo a cargo exclusivo del desarrollo de código, Docker y algoritmos, mientras yo me enfoqué en la calidad documental, estructuración de pruebas y verificación de cumplimiento de la pauta.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40" w:line="276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Ante el obstáculo técnico ocurrido durante el despliegue de Microsoft SQL Server en Docker (conflicto local con el puerto 1433 y problemas de controladores ODBC), procedí a actualizar la documentación de arquitectura, reflejando el cambio al puerto 1434 en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docker-compose.yml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y ajustando la descripción de las pruebas de integración (PI-02) para mantener la consistencia con el entorno real. Asimismo, ante la dispersión de datos transaccionales, documenté el flujo de ingesta y validación en el informe para justificar la tasa de depuración (5% de descarte) en la ficha del KPI-01.</w:t>
            </w:r>
          </w:p>
          <w:p w:rsidR="00000000" w:rsidDel="00000000" w:rsidP="00000000" w:rsidRDefault="00000000" w:rsidRPr="00000000" w14:paraId="0000001A">
            <w:pPr>
              <w:spacing w:after="240" w:line="276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las etapas siguientes, planeo continuar contrastando periódicamente los incrementos del software frente a las rúbricas de evaluación del portafolio, asegurando que cada componente técnico cuente con su correspondiente respaldo en actas, casos de prueba y manuales.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40" w:line="276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40" w:line="276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Evalúo mi trabajo de forma rigurosa y positiva. Destaco haber logrado una documentación técnica formal, ordenada y libre de ambigüedades, organizando las 9 evidencias del proyecto, estructurando las pruebas con formato de ingeniería y formalizando los KPIs con sustento bibliográfico bajo norma APA 7.ª edición (citando autores fundamentales como McKinney, Breiman, Kimball y la Guía oficial de Scrum).</w:t>
            </w:r>
          </w:p>
          <w:p w:rsidR="00000000" w:rsidDel="00000000" w:rsidP="00000000" w:rsidRDefault="00000000" w:rsidRPr="00000000" w14:paraId="00000022">
            <w:pPr>
              <w:spacing w:after="240" w:line="276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Como aspecto por mejorar, considero necesario anticipar la recolección de capturas de pantalla de consola y resultados de ejecución a medida que se completan los Sprints, reduciendo los tiempos de maquetación y diagramación en la entrega final del informe.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 principal inquietud se relaciona con los requerimientos de entrega para la Fase 3: ¿la comisión evaluadora exigirá que los manuales técnicos de instalación y despliegue (Docker y dependencias Python) y el manual de usuario de la plataforma web se incorporen dentro del cuerpo del informe principal o como anexos independientes?</w:t>
            </w:r>
          </w:p>
          <w:p w:rsidR="00000000" w:rsidDel="00000000" w:rsidP="00000000" w:rsidRDefault="00000000" w:rsidRPr="00000000" w14:paraId="0000002A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Asimismo, me gustaría consultar al docente qué formato o estándar institucional prefiere para documentar las pruebas de aceptación de usuario (UAT) que realizaremos con el cliente en la comercializadora textil.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jc w:val="both"/>
              <w:rPr>
                <w:b w:val="1"/>
                <w:bCs w:val="1"/>
                <w:color w:val="1e4d78"/>
              </w:rPr>
            </w:pPr>
            <w:r w:rsidDel="00000000" w:rsidR="00000000" w:rsidRPr="00000000">
              <w:rPr>
                <w:b w:val="1"/>
                <w:bCs w:val="1"/>
                <w:color w:val="1e4d78"/>
                <w:rtl w:val="0"/>
              </w:rPr>
              <w:t xml:space="preserve">Considero que las responsabilidades actuales deben mantenerse sin alteraciones, dado que la separación entre programación técnica (Osvaldo Reyes) y gestión documental/calidad (Lucas Carvajal) ha demostrado ser eficiente y permitió cumplir con los hitos de la Fase 2 sin retrasos.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jc w:val="both"/>
              <w:rPr>
                <w:b w:val="1"/>
                <w:bCs w:val="1"/>
                <w:color w:val="1e4d78"/>
              </w:rPr>
            </w:pPr>
            <w:r w:rsidDel="00000000" w:rsidR="00000000" w:rsidRPr="00000000">
              <w:rPr>
                <w:b w:val="1"/>
                <w:bCs w:val="1"/>
                <w:color w:val="1e4d78"/>
                <w:rtl w:val="0"/>
              </w:rPr>
              <w:t xml:space="preserve">Respecto a nuevas asignaciones para la Fase 3, asumiré formalmente la elaboración de la pauta de pruebas de aceptación del usuario (UAT), la redacción del manual de usuario para el cliente y la estructuración del guion y material visual de apoyo para la defensa oral de Portafolio de Título.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40" w:line="276" w:lineRule="auto"/>
              <w:jc w:val="both"/>
              <w:rPr>
                <w:b w:val="1"/>
                <w:bCs w:val="1"/>
                <w:color w:val="1e4d78"/>
              </w:rPr>
            </w:pPr>
            <w:r w:rsidDel="00000000" w:rsidR="00000000" w:rsidRPr="00000000">
              <w:rPr>
                <w:b w:val="1"/>
                <w:bCs w:val="1"/>
                <w:color w:val="1e4d78"/>
                <w:rtl w:val="0"/>
              </w:rPr>
              <w:t xml:space="preserve">Evaluamos el trabajo en equipo de manera muy favorable. Destacamos el estricto respeto por los roles definidos en Scrum, la comunicación fluida mediante canales virtuales para coordinar reuniones y la capacidad de respaldar cada línea de código con evidencia documental verificable (pruebas aprobadas, métricas en consola de 24.11 MAE y tabla de 950 registros en base de datos).</w:t>
            </w:r>
          </w:p>
          <w:p w:rsidR="00000000" w:rsidDel="00000000" w:rsidP="00000000" w:rsidRDefault="00000000" w:rsidRPr="00000000" w14:paraId="00000044">
            <w:pPr>
              <w:spacing w:after="240" w:line="276" w:lineRule="auto"/>
              <w:jc w:val="both"/>
              <w:rPr>
                <w:b w:val="1"/>
                <w:bCs w:val="1"/>
                <w:color w:val="1e4d78"/>
              </w:rPr>
            </w:pPr>
            <w:r w:rsidDel="00000000" w:rsidR="00000000" w:rsidRPr="00000000">
              <w:rPr>
                <w:b w:val="1"/>
                <w:bCs w:val="1"/>
                <w:color w:val="1e4d78"/>
                <w:rtl w:val="0"/>
              </w:rPr>
              <w:t xml:space="preserve">Como aspecto por mejorar, debemos coordinar con mayor anticipación las sesiones de integración entre la interfaz gráfica en Streamlit y las consultas del cliente, lo que permitirá consolidar las conclusiones y los manuales con mayor margen de tiempo previo a la presentación final.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CnCUDKtCME37FXnbLJH16zkYwQ==">CgMxLjA4AHIhMTBxcVJOR0ZTOEVtZVphM1pMS1h4bkQyM2xUYlFxenhQ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