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3462" w:type="dxa"/>
        <w:tblLook w:val="04A0" w:firstRow="1" w:lastRow="0" w:firstColumn="1" w:lastColumn="0" w:noHBand="0" w:noVBand="1"/>
      </w:tblPr>
      <w:tblGrid>
        <w:gridCol w:w="1905"/>
        <w:gridCol w:w="1918"/>
        <w:gridCol w:w="2989"/>
        <w:gridCol w:w="2548"/>
        <w:gridCol w:w="4102"/>
      </w:tblGrid>
      <w:tr w:rsidR="00EF6589" w:rsidRPr="00697417" w14:paraId="274FF31A" w14:textId="77777777" w:rsidTr="007B65F4">
        <w:tc>
          <w:tcPr>
            <w:tcW w:w="1905" w:type="dxa"/>
          </w:tcPr>
          <w:p w14:paraId="5992CEC7" w14:textId="77777777" w:rsidR="00697417" w:rsidRPr="0072390F" w:rsidRDefault="00697417" w:rsidP="0072390F">
            <w:pPr>
              <w:jc w:val="center"/>
              <w:rPr>
                <w:b/>
                <w:bCs/>
                <w:lang w:val="es-MX"/>
              </w:rPr>
            </w:pPr>
            <w:bookmarkStart w:id="0" w:name="_GoBack"/>
            <w:bookmarkEnd w:id="0"/>
            <w:r w:rsidRPr="0072390F">
              <w:rPr>
                <w:b/>
                <w:bCs/>
                <w:lang w:val="es-MX"/>
              </w:rPr>
              <w:t>Nombre actividad</w:t>
            </w:r>
          </w:p>
        </w:tc>
        <w:tc>
          <w:tcPr>
            <w:tcW w:w="1918" w:type="dxa"/>
          </w:tcPr>
          <w:p w14:paraId="70139FBA" w14:textId="77777777" w:rsidR="00697417" w:rsidRPr="0072390F" w:rsidRDefault="00697417" w:rsidP="0072390F">
            <w:pPr>
              <w:jc w:val="center"/>
              <w:rPr>
                <w:b/>
                <w:bCs/>
                <w:lang w:val="es-MX"/>
              </w:rPr>
            </w:pPr>
            <w:r w:rsidRPr="0072390F">
              <w:rPr>
                <w:b/>
                <w:bCs/>
                <w:lang w:val="es-MX"/>
              </w:rPr>
              <w:t>Objetivo de la actividad</w:t>
            </w:r>
          </w:p>
        </w:tc>
        <w:tc>
          <w:tcPr>
            <w:tcW w:w="2989" w:type="dxa"/>
          </w:tcPr>
          <w:p w14:paraId="3BE390F1" w14:textId="77777777" w:rsidR="00697417" w:rsidRPr="0072390F" w:rsidRDefault="00697417" w:rsidP="0072390F">
            <w:pPr>
              <w:jc w:val="center"/>
              <w:rPr>
                <w:b/>
                <w:bCs/>
                <w:lang w:val="es-MX"/>
              </w:rPr>
            </w:pPr>
            <w:r w:rsidRPr="0072390F">
              <w:rPr>
                <w:b/>
                <w:bCs/>
                <w:lang w:val="es-MX"/>
              </w:rPr>
              <w:t>Descripción</w:t>
            </w:r>
          </w:p>
        </w:tc>
        <w:tc>
          <w:tcPr>
            <w:tcW w:w="2548" w:type="dxa"/>
          </w:tcPr>
          <w:p w14:paraId="243C3675" w14:textId="77777777" w:rsidR="00697417" w:rsidRPr="0072390F" w:rsidRDefault="00697417" w:rsidP="0072390F">
            <w:pPr>
              <w:jc w:val="center"/>
              <w:rPr>
                <w:b/>
                <w:bCs/>
                <w:lang w:val="es-MX"/>
              </w:rPr>
            </w:pPr>
            <w:r w:rsidRPr="0072390F">
              <w:rPr>
                <w:b/>
                <w:bCs/>
                <w:lang w:val="es-MX"/>
              </w:rPr>
              <w:t>Resultados obtenidos</w:t>
            </w:r>
          </w:p>
        </w:tc>
        <w:tc>
          <w:tcPr>
            <w:tcW w:w="4102" w:type="dxa"/>
          </w:tcPr>
          <w:p w14:paraId="3501F63B" w14:textId="77777777" w:rsidR="00697417" w:rsidRPr="0072390F" w:rsidRDefault="00697417" w:rsidP="0072390F">
            <w:pPr>
              <w:jc w:val="center"/>
              <w:rPr>
                <w:b/>
                <w:bCs/>
                <w:lang w:val="es-MX"/>
              </w:rPr>
            </w:pPr>
            <w:r w:rsidRPr="0072390F">
              <w:rPr>
                <w:b/>
                <w:bCs/>
                <w:lang w:val="es-MX"/>
              </w:rPr>
              <w:t>Conclusión</w:t>
            </w:r>
          </w:p>
        </w:tc>
      </w:tr>
      <w:tr w:rsidR="00697417" w:rsidRPr="00697417" w14:paraId="62320D0F" w14:textId="77777777" w:rsidTr="007B65F4">
        <w:tc>
          <w:tcPr>
            <w:tcW w:w="1905" w:type="dxa"/>
          </w:tcPr>
          <w:p w14:paraId="412DF2BA" w14:textId="77777777" w:rsidR="00697417" w:rsidRPr="00697417" w:rsidRDefault="00697417" w:rsidP="0072390F">
            <w:pPr>
              <w:jc w:val="both"/>
              <w:rPr>
                <w:lang w:val="es-MX"/>
              </w:rPr>
            </w:pPr>
            <w:r w:rsidRPr="00697417">
              <w:rPr>
                <w:lang w:val="es-MX"/>
              </w:rPr>
              <w:t xml:space="preserve">Comparar los diversos </w:t>
            </w:r>
            <w:r w:rsidRPr="00697417">
              <w:rPr>
                <w:i/>
                <w:lang w:val="es-MX"/>
              </w:rPr>
              <w:t xml:space="preserve">triples </w:t>
            </w:r>
            <w:proofErr w:type="spellStart"/>
            <w:r w:rsidRPr="00697417">
              <w:rPr>
                <w:i/>
                <w:lang w:val="es-MX"/>
              </w:rPr>
              <w:t>stores</w:t>
            </w:r>
            <w:proofErr w:type="spellEnd"/>
          </w:p>
        </w:tc>
        <w:tc>
          <w:tcPr>
            <w:tcW w:w="1918" w:type="dxa"/>
          </w:tcPr>
          <w:p w14:paraId="1AC5B1F3" w14:textId="77777777" w:rsidR="00697417" w:rsidRPr="00697417" w:rsidRDefault="00697417" w:rsidP="0072390F">
            <w:pPr>
              <w:jc w:val="both"/>
              <w:rPr>
                <w:lang w:val="es-MX"/>
              </w:rPr>
            </w:pPr>
            <w:r w:rsidRPr="00697417">
              <w:rPr>
                <w:lang w:val="es-MX"/>
              </w:rPr>
              <w:t xml:space="preserve">Detallar la disponibilidad de </w:t>
            </w:r>
            <w:r w:rsidRPr="00697417">
              <w:rPr>
                <w:i/>
                <w:lang w:val="es-MX"/>
              </w:rPr>
              <w:t>triple store</w:t>
            </w:r>
            <w:r w:rsidRPr="00697417">
              <w:rPr>
                <w:lang w:val="es-MX"/>
              </w:rPr>
              <w:t xml:space="preserve"> existentes.</w:t>
            </w:r>
          </w:p>
        </w:tc>
        <w:tc>
          <w:tcPr>
            <w:tcW w:w="2989" w:type="dxa"/>
          </w:tcPr>
          <w:p w14:paraId="2D486BBB" w14:textId="77777777" w:rsidR="00697417" w:rsidRPr="00697417" w:rsidRDefault="00697417" w:rsidP="0072390F">
            <w:pPr>
              <w:jc w:val="both"/>
              <w:rPr>
                <w:lang w:val="es-MX"/>
              </w:rPr>
            </w:pPr>
            <w:r w:rsidRPr="00697417">
              <w:rPr>
                <w:lang w:val="es-MX"/>
              </w:rPr>
              <w:t xml:space="preserve">En esta actividad se hizo </w:t>
            </w:r>
            <w:proofErr w:type="gramStart"/>
            <w:r w:rsidRPr="00697417">
              <w:rPr>
                <w:lang w:val="es-MX"/>
              </w:rPr>
              <w:t>un búsqueda</w:t>
            </w:r>
            <w:proofErr w:type="gramEnd"/>
            <w:r w:rsidRPr="00697417">
              <w:rPr>
                <w:lang w:val="es-MX"/>
              </w:rPr>
              <w:t xml:space="preserve"> en Internet y en </w:t>
            </w:r>
            <w:r w:rsidRPr="00697417">
              <w:rPr>
                <w:i/>
                <w:iCs/>
                <w:lang w:val="es-MX"/>
              </w:rPr>
              <w:t>papers</w:t>
            </w:r>
            <w:r w:rsidRPr="00697417">
              <w:rPr>
                <w:lang w:val="es-MX"/>
              </w:rPr>
              <w:t xml:space="preserve"> sobre cuales </w:t>
            </w:r>
            <w:r w:rsidRPr="00697417">
              <w:rPr>
                <w:i/>
                <w:iCs/>
                <w:lang w:val="es-MX"/>
              </w:rPr>
              <w:t>triple store</w:t>
            </w:r>
            <w:r w:rsidRPr="00697417">
              <w:rPr>
                <w:lang w:val="es-MX"/>
              </w:rPr>
              <w:t xml:space="preserve"> están disponibles para usarlos en el campo laboral y en la investigación seleccionando características que se consideraron pertinentes para compararlos </w:t>
            </w:r>
            <w:r w:rsidR="00417A99" w:rsidRPr="00697417">
              <w:rPr>
                <w:lang w:val="es-MX"/>
              </w:rPr>
              <w:t>contra</w:t>
            </w:r>
            <w:r w:rsidRPr="00697417">
              <w:rPr>
                <w:lang w:val="es-MX"/>
              </w:rPr>
              <w:t xml:space="preserve"> el </w:t>
            </w:r>
            <w:r w:rsidRPr="00697417">
              <w:rPr>
                <w:i/>
                <w:iCs/>
                <w:lang w:val="es-MX"/>
              </w:rPr>
              <w:t>triple store</w:t>
            </w:r>
            <w:r w:rsidRPr="00697417">
              <w:rPr>
                <w:lang w:val="es-MX"/>
              </w:rPr>
              <w:t xml:space="preserve"> Apache Marmotta. </w:t>
            </w:r>
          </w:p>
        </w:tc>
        <w:tc>
          <w:tcPr>
            <w:tcW w:w="2548" w:type="dxa"/>
          </w:tcPr>
          <w:p w14:paraId="4E599E1A" w14:textId="77777777" w:rsidR="00697417" w:rsidRPr="00697417" w:rsidRDefault="00697417" w:rsidP="0072390F">
            <w:pPr>
              <w:jc w:val="both"/>
              <w:rPr>
                <w:lang w:val="es-MX"/>
              </w:rPr>
            </w:pPr>
            <w:r w:rsidRPr="00697417">
              <w:rPr>
                <w:lang w:val="es-MX"/>
              </w:rPr>
              <w:t xml:space="preserve">Tabla comparativa la cual muestra las características de </w:t>
            </w:r>
            <w:r w:rsidRPr="00697417">
              <w:rPr>
                <w:i/>
                <w:iCs/>
                <w:lang w:val="es-MX"/>
              </w:rPr>
              <w:t xml:space="preserve">triple </w:t>
            </w:r>
            <w:proofErr w:type="spellStart"/>
            <w:r w:rsidRPr="00697417">
              <w:rPr>
                <w:i/>
                <w:iCs/>
                <w:lang w:val="es-MX"/>
              </w:rPr>
              <w:t>stores</w:t>
            </w:r>
            <w:proofErr w:type="spellEnd"/>
            <w:r w:rsidRPr="00697417">
              <w:rPr>
                <w:lang w:val="es-MX"/>
              </w:rPr>
              <w:t xml:space="preserve"> consideradas por el alumno y los asesores para ser comparadas con Apache Marmotta.</w:t>
            </w:r>
          </w:p>
        </w:tc>
        <w:tc>
          <w:tcPr>
            <w:tcW w:w="4102" w:type="dxa"/>
          </w:tcPr>
          <w:p w14:paraId="5F133BFC" w14:textId="77777777" w:rsidR="00697417" w:rsidRDefault="00697417" w:rsidP="0072390F">
            <w:pPr>
              <w:jc w:val="both"/>
              <w:rPr>
                <w:lang w:val="es-MX"/>
              </w:rPr>
            </w:pPr>
            <w:r>
              <w:rPr>
                <w:lang w:val="es-MX"/>
              </w:rPr>
              <w:t xml:space="preserve">Al </w:t>
            </w:r>
            <w:r w:rsidR="00417A99">
              <w:rPr>
                <w:lang w:val="es-MX"/>
              </w:rPr>
              <w:t>término</w:t>
            </w:r>
            <w:r>
              <w:rPr>
                <w:lang w:val="es-MX"/>
              </w:rPr>
              <w:t xml:space="preserve"> de </w:t>
            </w:r>
            <w:r w:rsidR="00EF6589">
              <w:rPr>
                <w:lang w:val="es-MX"/>
              </w:rPr>
              <w:t>esta</w:t>
            </w:r>
            <w:r>
              <w:rPr>
                <w:lang w:val="es-MX"/>
              </w:rPr>
              <w:t xml:space="preserve"> actividad se encontró que el desarrollo de software e investigación para la Web Semántica está vigente hoy en día y es por eso </w:t>
            </w:r>
            <w:proofErr w:type="gramStart"/>
            <w:r>
              <w:rPr>
                <w:lang w:val="es-MX"/>
              </w:rPr>
              <w:t>que</w:t>
            </w:r>
            <w:proofErr w:type="gramEnd"/>
            <w:r>
              <w:rPr>
                <w:lang w:val="es-MX"/>
              </w:rPr>
              <w:t xml:space="preserve"> a una cantidad considerable de </w:t>
            </w:r>
            <w:r>
              <w:rPr>
                <w:i/>
                <w:iCs/>
                <w:lang w:val="es-MX"/>
              </w:rPr>
              <w:t>triple store</w:t>
            </w:r>
            <w:r>
              <w:rPr>
                <w:lang w:val="es-MX"/>
              </w:rPr>
              <w:t xml:space="preserve"> siguen teniendo mantenimiento por parte de los desarrolladores. Sin embargo, también hay muchos </w:t>
            </w:r>
            <w:r>
              <w:rPr>
                <w:i/>
                <w:iCs/>
                <w:lang w:val="es-MX"/>
              </w:rPr>
              <w:t>triple store</w:t>
            </w:r>
            <w:r>
              <w:rPr>
                <w:lang w:val="es-MX"/>
              </w:rPr>
              <w:t xml:space="preserve"> cuya actividad ha cesado. </w:t>
            </w:r>
          </w:p>
          <w:p w14:paraId="7FF12C01" w14:textId="77777777" w:rsidR="00697417" w:rsidRPr="007C2D66" w:rsidRDefault="007C2D66" w:rsidP="0072390F">
            <w:pPr>
              <w:jc w:val="both"/>
              <w:rPr>
                <w:lang w:val="es-MX"/>
              </w:rPr>
            </w:pPr>
            <w:r>
              <w:rPr>
                <w:lang w:val="es-MX"/>
              </w:rPr>
              <w:t xml:space="preserve">Cabe decir que muchos </w:t>
            </w:r>
            <w:r>
              <w:rPr>
                <w:i/>
                <w:iCs/>
                <w:lang w:val="es-MX"/>
              </w:rPr>
              <w:t>triple store</w:t>
            </w:r>
            <w:r>
              <w:rPr>
                <w:lang w:val="es-MX"/>
              </w:rPr>
              <w:t xml:space="preserve"> no contaban con documentación completa, por lo que no fueron considerados en la tabla comparativa al no ofrecer la información necesaria para ser presentados. </w:t>
            </w:r>
          </w:p>
        </w:tc>
      </w:tr>
      <w:tr w:rsidR="00697417" w:rsidRPr="00697417" w14:paraId="05120D85" w14:textId="77777777" w:rsidTr="007B65F4">
        <w:tc>
          <w:tcPr>
            <w:tcW w:w="1905" w:type="dxa"/>
          </w:tcPr>
          <w:p w14:paraId="352BEB77" w14:textId="77777777" w:rsidR="00697417" w:rsidRPr="00417A99" w:rsidRDefault="007C2D66" w:rsidP="0072390F">
            <w:pPr>
              <w:jc w:val="both"/>
              <w:rPr>
                <w:lang w:val="es-MX"/>
              </w:rPr>
            </w:pPr>
            <w:r w:rsidRPr="00417A99">
              <w:rPr>
                <w:lang w:val="es-MX"/>
              </w:rPr>
              <w:t>Analizar los estándares SPARQL y GeoSPARQL para la implementación de consultas.</w:t>
            </w:r>
          </w:p>
        </w:tc>
        <w:tc>
          <w:tcPr>
            <w:tcW w:w="1918" w:type="dxa"/>
          </w:tcPr>
          <w:p w14:paraId="70F50719" w14:textId="77777777" w:rsidR="00697417" w:rsidRPr="00417A99" w:rsidRDefault="007C2D66" w:rsidP="0072390F">
            <w:pPr>
              <w:jc w:val="both"/>
              <w:rPr>
                <w:lang w:val="es-MX"/>
              </w:rPr>
            </w:pPr>
            <w:r w:rsidRPr="00417A99">
              <w:rPr>
                <w:lang w:val="es-MX"/>
              </w:rPr>
              <w:t>Comprender mediante diagramas o resumen cómo es que se lleva a cabo las consultas federadas y geoespaciales.</w:t>
            </w:r>
          </w:p>
        </w:tc>
        <w:tc>
          <w:tcPr>
            <w:tcW w:w="2989" w:type="dxa"/>
          </w:tcPr>
          <w:p w14:paraId="031E463E" w14:textId="77777777" w:rsidR="00697417" w:rsidRPr="00417A99" w:rsidRDefault="007C2D66" w:rsidP="0072390F">
            <w:pPr>
              <w:jc w:val="both"/>
              <w:rPr>
                <w:lang w:val="es-MX"/>
              </w:rPr>
            </w:pPr>
            <w:r w:rsidRPr="00417A99">
              <w:rPr>
                <w:lang w:val="es-MX"/>
              </w:rPr>
              <w:t xml:space="preserve">Se leyeron los estándares </w:t>
            </w:r>
            <w:r w:rsidRPr="00417A99">
              <w:rPr>
                <w:i/>
                <w:iCs/>
                <w:lang w:val="es-MX"/>
              </w:rPr>
              <w:t xml:space="preserve">SPARQL 1.1 </w:t>
            </w:r>
            <w:proofErr w:type="spellStart"/>
            <w:r w:rsidRPr="00417A99">
              <w:rPr>
                <w:i/>
                <w:iCs/>
                <w:lang w:val="es-MX"/>
              </w:rPr>
              <w:t>Federated</w:t>
            </w:r>
            <w:proofErr w:type="spellEnd"/>
            <w:r w:rsidRPr="00417A99">
              <w:rPr>
                <w:i/>
                <w:iCs/>
                <w:lang w:val="es-MX"/>
              </w:rPr>
              <w:t xml:space="preserve"> </w:t>
            </w:r>
            <w:proofErr w:type="spellStart"/>
            <w:r w:rsidRPr="00417A99">
              <w:rPr>
                <w:i/>
                <w:iCs/>
                <w:lang w:val="es-MX"/>
              </w:rPr>
              <w:t>Query</w:t>
            </w:r>
            <w:proofErr w:type="spellEnd"/>
            <w:r w:rsidRPr="00417A99">
              <w:rPr>
                <w:i/>
                <w:iCs/>
                <w:lang w:val="es-MX"/>
              </w:rPr>
              <w:t xml:space="preserve"> </w:t>
            </w:r>
            <w:r w:rsidRPr="00417A99">
              <w:rPr>
                <w:lang w:val="es-MX"/>
              </w:rPr>
              <w:t xml:space="preserve">y </w:t>
            </w:r>
            <w:r w:rsidRPr="00417A99">
              <w:rPr>
                <w:i/>
                <w:iCs/>
                <w:lang w:val="es-MX"/>
              </w:rPr>
              <w:t xml:space="preserve">OGC </w:t>
            </w:r>
            <w:proofErr w:type="spellStart"/>
            <w:r w:rsidRPr="00417A99">
              <w:rPr>
                <w:i/>
                <w:iCs/>
                <w:lang w:val="es-MX"/>
              </w:rPr>
              <w:t>GeoSPARQL</w:t>
            </w:r>
            <w:proofErr w:type="spellEnd"/>
            <w:r w:rsidRPr="00417A99">
              <w:rPr>
                <w:i/>
                <w:iCs/>
                <w:lang w:val="es-MX"/>
              </w:rPr>
              <w:t xml:space="preserve"> – A </w:t>
            </w:r>
            <w:proofErr w:type="spellStart"/>
            <w:r w:rsidRPr="00417A99">
              <w:rPr>
                <w:i/>
                <w:iCs/>
                <w:lang w:val="es-MX"/>
              </w:rPr>
              <w:t>Geographic</w:t>
            </w:r>
            <w:proofErr w:type="spellEnd"/>
            <w:r w:rsidRPr="00417A99">
              <w:rPr>
                <w:i/>
                <w:iCs/>
                <w:lang w:val="es-MX"/>
              </w:rPr>
              <w:t xml:space="preserve"> </w:t>
            </w:r>
            <w:proofErr w:type="spellStart"/>
            <w:r w:rsidRPr="00417A99">
              <w:rPr>
                <w:i/>
                <w:iCs/>
                <w:lang w:val="es-MX"/>
              </w:rPr>
              <w:t>Language</w:t>
            </w:r>
            <w:proofErr w:type="spellEnd"/>
            <w:r w:rsidRPr="00417A99">
              <w:rPr>
                <w:i/>
                <w:iCs/>
                <w:lang w:val="es-MX"/>
              </w:rPr>
              <w:t xml:space="preserve"> </w:t>
            </w:r>
            <w:proofErr w:type="spellStart"/>
            <w:r w:rsidRPr="00417A99">
              <w:rPr>
                <w:i/>
                <w:iCs/>
                <w:lang w:val="es-MX"/>
              </w:rPr>
              <w:t>for</w:t>
            </w:r>
            <w:proofErr w:type="spellEnd"/>
            <w:r w:rsidRPr="00417A99">
              <w:rPr>
                <w:i/>
                <w:iCs/>
                <w:lang w:val="es-MX"/>
              </w:rPr>
              <w:t xml:space="preserve"> RDF Data </w:t>
            </w:r>
            <w:r w:rsidRPr="00417A99">
              <w:rPr>
                <w:lang w:val="es-MX"/>
              </w:rPr>
              <w:t xml:space="preserve">los cuales deben de ser usados como referencia al desarrollar cualquier tipo de software o protocolo en el ámbito de la Web Semántica. </w:t>
            </w:r>
          </w:p>
          <w:p w14:paraId="3B796B40" w14:textId="77777777" w:rsidR="007C2D66" w:rsidRPr="00417A99" w:rsidRDefault="007C2D66" w:rsidP="0072390F">
            <w:pPr>
              <w:jc w:val="both"/>
              <w:rPr>
                <w:lang w:val="es-MX"/>
              </w:rPr>
            </w:pPr>
            <w:r w:rsidRPr="00417A99">
              <w:rPr>
                <w:lang w:val="es-MX"/>
              </w:rPr>
              <w:t xml:space="preserve">Para el primer documento, se presentaron los puntos destacables para el trabajo terminal presente </w:t>
            </w:r>
            <w:r w:rsidR="00417A99" w:rsidRPr="00417A99">
              <w:rPr>
                <w:lang w:val="es-MX"/>
              </w:rPr>
              <w:t xml:space="preserve">mientras que para el segundo se presentan las funciones que </w:t>
            </w:r>
            <w:r w:rsidR="00417A99" w:rsidRPr="00417A99">
              <w:rPr>
                <w:lang w:val="es-MX"/>
              </w:rPr>
              <w:lastRenderedPageBreak/>
              <w:t xml:space="preserve">deben de estar presentes en cualquier software que utilice datos geoespaciales en el contexto de </w:t>
            </w:r>
            <w:proofErr w:type="spellStart"/>
            <w:r w:rsidR="00417A99" w:rsidRPr="00417A99">
              <w:rPr>
                <w:i/>
                <w:iCs/>
                <w:lang w:val="es-MX"/>
              </w:rPr>
              <w:t>Linked</w:t>
            </w:r>
            <w:proofErr w:type="spellEnd"/>
            <w:r w:rsidR="00417A99" w:rsidRPr="00417A99">
              <w:rPr>
                <w:i/>
                <w:iCs/>
                <w:lang w:val="es-MX"/>
              </w:rPr>
              <w:t xml:space="preserve"> Data</w:t>
            </w:r>
            <w:r w:rsidR="00417A99" w:rsidRPr="00417A99">
              <w:rPr>
                <w:lang w:val="es-MX"/>
              </w:rPr>
              <w:t>.</w:t>
            </w:r>
          </w:p>
        </w:tc>
        <w:tc>
          <w:tcPr>
            <w:tcW w:w="2548" w:type="dxa"/>
          </w:tcPr>
          <w:p w14:paraId="3C144EF8" w14:textId="77777777" w:rsidR="00697417" w:rsidRDefault="00417A99" w:rsidP="0072390F">
            <w:pPr>
              <w:jc w:val="both"/>
              <w:rPr>
                <w:lang w:val="es-MX"/>
              </w:rPr>
            </w:pPr>
            <w:r>
              <w:rPr>
                <w:lang w:val="es-MX"/>
              </w:rPr>
              <w:lastRenderedPageBreak/>
              <w:t>En cuando al primer documentos se refiere, se presenta un resumen donde muestra el propósito, un diagrama de cómo funciona y un breve análisis de cómo debe de ser llevado a cabo una consulta federada.</w:t>
            </w:r>
          </w:p>
          <w:p w14:paraId="72264CF8" w14:textId="77777777" w:rsidR="00417A99" w:rsidRPr="00417A99" w:rsidRDefault="00417A99" w:rsidP="0072390F">
            <w:pPr>
              <w:jc w:val="both"/>
              <w:rPr>
                <w:lang w:val="es-MX"/>
              </w:rPr>
            </w:pPr>
            <w:r>
              <w:rPr>
                <w:lang w:val="es-MX"/>
              </w:rPr>
              <w:t xml:space="preserve">Para el segundo documento, se muestran una descripción de un diagrama de dependencias para que GeoSPARQL pueda </w:t>
            </w:r>
            <w:r>
              <w:rPr>
                <w:lang w:val="es-MX"/>
              </w:rPr>
              <w:lastRenderedPageBreak/>
              <w:t>funcionar con base al estándar. También se muestran las funciones y características que una extensión de software para consultas de datos geoespaciales en la Web Semántica debe de contar para que esté dentro del estándar de la OGC.</w:t>
            </w:r>
          </w:p>
        </w:tc>
        <w:tc>
          <w:tcPr>
            <w:tcW w:w="4102" w:type="dxa"/>
          </w:tcPr>
          <w:p w14:paraId="4263ADDF" w14:textId="77777777" w:rsidR="00697417" w:rsidRPr="00417A99" w:rsidRDefault="00EF6589" w:rsidP="0072390F">
            <w:pPr>
              <w:jc w:val="both"/>
              <w:rPr>
                <w:lang w:val="es-MX"/>
              </w:rPr>
            </w:pPr>
            <w:r>
              <w:rPr>
                <w:lang w:val="es-MX"/>
              </w:rPr>
              <w:lastRenderedPageBreak/>
              <w:t xml:space="preserve">Cuando se desarrolla software que pretende ser una herramienta para investigación o para el mundo laboral, hay que estar apegados a estándares que permitan convivir con otro tipo de herramientas con el objetivo de que el usuario no pierda el tiempo en adaptar sus resultados que cierto software arrojó para que funcione con otro software. Ejemplo claro es el estándar ASCII que ha sido referencia en la informática para representar caracteres. De igual manera sucede en la Web Semántica, hay que tener un estándar presente para que los desarrolladores se basen en él y la </w:t>
            </w:r>
            <w:r>
              <w:rPr>
                <w:lang w:val="es-MX"/>
              </w:rPr>
              <w:lastRenderedPageBreak/>
              <w:t xml:space="preserve">convivencia entre distintos tipos de software puedan ofrecer </w:t>
            </w:r>
            <w:r w:rsidR="0072390F">
              <w:rPr>
                <w:lang w:val="es-MX"/>
              </w:rPr>
              <w:t>distintas</w:t>
            </w:r>
            <w:r>
              <w:rPr>
                <w:lang w:val="es-MX"/>
              </w:rPr>
              <w:t xml:space="preserve"> alternativas </w:t>
            </w:r>
            <w:r w:rsidR="0072390F">
              <w:rPr>
                <w:lang w:val="es-MX"/>
              </w:rPr>
              <w:t>a los usuarios de la Web Semántica.</w:t>
            </w:r>
          </w:p>
        </w:tc>
      </w:tr>
    </w:tbl>
    <w:p w14:paraId="209D6210" w14:textId="77777777" w:rsidR="00DC0BD3" w:rsidRPr="00697417" w:rsidRDefault="00DC0BD3">
      <w:pPr>
        <w:rPr>
          <w:lang w:val="es-MX"/>
        </w:rPr>
      </w:pPr>
    </w:p>
    <w:sectPr w:rsidR="00DC0BD3" w:rsidRPr="00697417" w:rsidSect="0069741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73AF4" w14:textId="77777777" w:rsidR="00BB53D7" w:rsidRDefault="00BB53D7" w:rsidP="0072390F">
      <w:pPr>
        <w:spacing w:after="0" w:line="240" w:lineRule="auto"/>
      </w:pPr>
      <w:r>
        <w:separator/>
      </w:r>
    </w:p>
  </w:endnote>
  <w:endnote w:type="continuationSeparator" w:id="0">
    <w:p w14:paraId="55531CA6" w14:textId="77777777" w:rsidR="00BB53D7" w:rsidRDefault="00BB53D7" w:rsidP="0072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0AB4C" w14:textId="77777777" w:rsidR="00BB53D7" w:rsidRDefault="00BB53D7" w:rsidP="0072390F">
      <w:pPr>
        <w:spacing w:after="0" w:line="240" w:lineRule="auto"/>
      </w:pPr>
      <w:r>
        <w:separator/>
      </w:r>
    </w:p>
  </w:footnote>
  <w:footnote w:type="continuationSeparator" w:id="0">
    <w:p w14:paraId="202DBDD9" w14:textId="77777777" w:rsidR="00BB53D7" w:rsidRDefault="00BB53D7" w:rsidP="007239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6C"/>
    <w:rsid w:val="001C448F"/>
    <w:rsid w:val="00273144"/>
    <w:rsid w:val="002C1319"/>
    <w:rsid w:val="00417A99"/>
    <w:rsid w:val="00697417"/>
    <w:rsid w:val="0072390F"/>
    <w:rsid w:val="007B65F4"/>
    <w:rsid w:val="007C2D66"/>
    <w:rsid w:val="009145B1"/>
    <w:rsid w:val="00A95DFE"/>
    <w:rsid w:val="00BB0C6C"/>
    <w:rsid w:val="00BB53D7"/>
    <w:rsid w:val="00DC0BD3"/>
    <w:rsid w:val="00E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4EA7"/>
  <w15:chartTrackingRefBased/>
  <w15:docId w15:val="{978A3CA6-4AAE-4E67-9A10-752FE4A2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0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239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390F"/>
  </w:style>
  <w:style w:type="paragraph" w:styleId="Piedepgina">
    <w:name w:val="footer"/>
    <w:basedOn w:val="Normal"/>
    <w:link w:val="PiedepginaCar"/>
    <w:uiPriority w:val="99"/>
    <w:unhideWhenUsed/>
    <w:rsid w:val="007239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90F"/>
  </w:style>
  <w:style w:type="paragraph" w:styleId="Subttulo">
    <w:name w:val="Subtitle"/>
    <w:basedOn w:val="Normal"/>
    <w:next w:val="Normal"/>
    <w:link w:val="SubttuloCar"/>
    <w:uiPriority w:val="11"/>
    <w:qFormat/>
    <w:rsid w:val="0072390F"/>
    <w:pPr>
      <w:spacing w:after="0" w:line="240" w:lineRule="auto"/>
      <w:jc w:val="both"/>
    </w:pPr>
    <w:rPr>
      <w:rFonts w:asciiTheme="majorHAnsi" w:eastAsiaTheme="majorEastAsia" w:hAnsiTheme="majorHAnsi" w:cstheme="majorBidi"/>
      <w:i/>
      <w:iCs/>
      <w:color w:val="4472C4" w:themeColor="accent1"/>
      <w:spacing w:val="15"/>
      <w:sz w:val="24"/>
      <w:szCs w:val="24"/>
      <w:lang w:val="es-ES_tradnl"/>
    </w:rPr>
  </w:style>
  <w:style w:type="character" w:customStyle="1" w:styleId="SubttuloCar">
    <w:name w:val="Subtítulo Car"/>
    <w:basedOn w:val="Fuentedeprrafopredeter"/>
    <w:link w:val="Subttulo"/>
    <w:uiPriority w:val="11"/>
    <w:rsid w:val="0072390F"/>
    <w:rPr>
      <w:rFonts w:asciiTheme="majorHAnsi" w:eastAsiaTheme="majorEastAsia" w:hAnsiTheme="majorHAnsi" w:cstheme="majorBidi"/>
      <w:i/>
      <w:iCs/>
      <w:color w:val="4472C4" w:themeColor="accent1"/>
      <w:spacing w:val="15"/>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1E0A28-21BE-4F92-8773-30511386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473</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Páez Ortega</cp:lastModifiedBy>
  <cp:revision>2</cp:revision>
  <dcterms:created xsi:type="dcterms:W3CDTF">2019-08-30T03:28:00Z</dcterms:created>
  <dcterms:modified xsi:type="dcterms:W3CDTF">2019-08-30T23:23:00Z</dcterms:modified>
</cp:coreProperties>
</file>