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86" w:rsidRDefault="00356CDE" w:rsidP="00356CDE">
      <w:pPr>
        <w:ind w:left="-709"/>
      </w:pPr>
      <w:r w:rsidRPr="00021D66">
        <w:rPr>
          <w:noProof/>
          <w:lang w:eastAsia="en-GB"/>
        </w:rPr>
        <w:drawing>
          <wp:inline distT="0" distB="0" distL="0" distR="0" wp14:anchorId="7E7582F4" wp14:editId="7D2DCD9D">
            <wp:extent cx="6712226" cy="6293577"/>
            <wp:effectExtent l="0" t="0" r="0" b="0"/>
            <wp:docPr id="22" name="Picture 22" descr="C:\Users\Izhar\Downloads\INDIN 2023\Figures\Table 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zhar\Downloads\INDIN 2023\Figures\Table 3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78" cy="63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DE" w:rsidRPr="00356CDE" w:rsidRDefault="004F5E81" w:rsidP="00356CD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>Table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4.</w:t>
      </w:r>
      <w:r w:rsidR="00356CDE" w:rsidRPr="00356CDE">
        <w:rPr>
          <w:rFonts w:ascii="Times New Roman" w:hAnsi="Times New Roman" w:cs="Times New Roman"/>
        </w:rPr>
        <w:t>Comparison of SML algorithms used to predict the type of geometrical fault using a classification model</w:t>
      </w:r>
    </w:p>
    <w:sectPr w:rsidR="00356CDE" w:rsidRPr="0035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CwtDAwNrEwNrNQ0lEKTi0uzszPAykwqgUA/JAwYCwAAAA="/>
  </w:docVars>
  <w:rsids>
    <w:rsidRoot w:val="00356CDE"/>
    <w:rsid w:val="00356CDE"/>
    <w:rsid w:val="004442FD"/>
    <w:rsid w:val="00454186"/>
    <w:rsid w:val="004F5E81"/>
    <w:rsid w:val="005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B23"/>
  <w15:chartTrackingRefBased/>
  <w15:docId w15:val="{46E03399-8E69-4B64-AAAE-BC8B5E5B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2</cp:revision>
  <dcterms:created xsi:type="dcterms:W3CDTF">2023-05-30T11:47:00Z</dcterms:created>
  <dcterms:modified xsi:type="dcterms:W3CDTF">2023-05-30T11:47:00Z</dcterms:modified>
</cp:coreProperties>
</file>