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DE7" w:rsidRPr="00961482" w:rsidRDefault="00965DE7" w:rsidP="00965DE7">
      <w:pPr>
        <w:keepNext/>
        <w:numPr>
          <w:ilvl w:val="1"/>
          <w:numId w:val="1"/>
        </w:numPr>
        <w:spacing w:before="120" w:after="120" w:line="240" w:lineRule="auto"/>
        <w:outlineLvl w:val="1"/>
        <w:rPr>
          <w:b/>
          <w:kern w:val="1"/>
          <w:sz w:val="28"/>
          <w:szCs w:val="24"/>
        </w:rPr>
      </w:pPr>
      <w:bookmarkStart w:id="0" w:name="_Toc433018362"/>
      <w:r w:rsidRPr="00961482">
        <w:rPr>
          <w:b/>
          <w:kern w:val="1"/>
          <w:sz w:val="28"/>
          <w:szCs w:val="24"/>
        </w:rPr>
        <w:t>Scaling Networks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965DE7" w:rsidRPr="000737DA" w:rsidTr="00276662">
        <w:trPr>
          <w:cantSplit/>
        </w:trPr>
        <w:tc>
          <w:tcPr>
            <w:tcW w:w="1548" w:type="dxa"/>
            <w:tcBorders>
              <w:top w:val="single" w:sz="1" w:space="0" w:color="000000"/>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highlight w:val="yellow"/>
              </w:rPr>
            </w:pPr>
            <w:r w:rsidRPr="00965DE7">
              <w:rPr>
                <w:rFonts w:cs="Arial"/>
              </w:rPr>
              <w:t>IN615006</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60</w:t>
            </w:r>
          </w:p>
        </w:tc>
      </w:tr>
      <w:tr w:rsidR="00965DE7" w:rsidRPr="000737DA" w:rsidTr="00276662">
        <w:trPr>
          <w:cantSplit/>
        </w:trPr>
        <w:tc>
          <w:tcPr>
            <w:tcW w:w="1548"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Level</w:t>
            </w:r>
          </w:p>
        </w:tc>
        <w:tc>
          <w:tcPr>
            <w:tcW w:w="144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rPr>
              <w:t>6</w:t>
            </w:r>
          </w:p>
        </w:tc>
        <w:tc>
          <w:tcPr>
            <w:tcW w:w="378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nil</w:t>
            </w:r>
          </w:p>
        </w:tc>
      </w:tr>
      <w:tr w:rsidR="00965DE7" w:rsidRPr="000737DA" w:rsidTr="00276662">
        <w:trPr>
          <w:cantSplit/>
        </w:trPr>
        <w:tc>
          <w:tcPr>
            <w:tcW w:w="1548"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Credits</w:t>
            </w:r>
          </w:p>
        </w:tc>
        <w:tc>
          <w:tcPr>
            <w:tcW w:w="144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rPr>
              <w:t>15</w:t>
            </w:r>
          </w:p>
        </w:tc>
        <w:tc>
          <w:tcPr>
            <w:tcW w:w="378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Self</w:t>
            </w:r>
            <w:r>
              <w:rPr>
                <w:rFonts w:cs="Arial"/>
                <w:i/>
              </w:rPr>
              <w:t>-</w:t>
            </w:r>
            <w:r w:rsidRPr="000737DA">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90</w:t>
            </w:r>
          </w:p>
        </w:tc>
      </w:tr>
      <w:tr w:rsidR="00965DE7" w:rsidRPr="000737DA" w:rsidTr="00276662">
        <w:trPr>
          <w:cantSplit/>
        </w:trPr>
        <w:tc>
          <w:tcPr>
            <w:tcW w:w="1548"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rPr>
              <w:t>Prerequisites</w:t>
            </w:r>
          </w:p>
        </w:tc>
        <w:tc>
          <w:tcPr>
            <w:tcW w:w="1440"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rPr>
              <w:t>IN615005</w:t>
            </w:r>
          </w:p>
        </w:tc>
        <w:tc>
          <w:tcPr>
            <w:tcW w:w="3780"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965DE7" w:rsidRPr="000737DA" w:rsidRDefault="00965DE7" w:rsidP="00276662">
            <w:pPr>
              <w:rPr>
                <w:rFonts w:cs="Arial"/>
                <w:i/>
              </w:rPr>
            </w:pPr>
            <w:r w:rsidRPr="000737DA">
              <w:rPr>
                <w:rFonts w:cs="Arial"/>
              </w:rPr>
              <w:t>150</w:t>
            </w:r>
          </w:p>
        </w:tc>
      </w:tr>
      <w:tr w:rsidR="00965DE7" w:rsidRPr="000737DA" w:rsidTr="00276662">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65DE7" w:rsidRPr="000737DA" w:rsidRDefault="00965DE7" w:rsidP="00276662">
            <w:pPr>
              <w:rPr>
                <w:rFonts w:cs="Arial"/>
                <w:i/>
              </w:rPr>
            </w:pPr>
            <w:r w:rsidRPr="000737DA">
              <w:rPr>
                <w:rFonts w:cs="Arial"/>
                <w:i/>
              </w:rPr>
              <w:t>This course approved in another Programme: No</w:t>
            </w:r>
          </w:p>
        </w:tc>
      </w:tr>
    </w:tbl>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Aims</w:t>
      </w:r>
    </w:p>
    <w:p w:rsidR="00965DE7" w:rsidRPr="000737DA" w:rsidRDefault="00FA6DA2" w:rsidP="00965DE7">
      <w:pPr>
        <w:tabs>
          <w:tab w:val="left" w:pos="851"/>
        </w:tabs>
        <w:spacing w:after="120"/>
        <w:rPr>
          <w:rFonts w:cs="Arial"/>
        </w:rPr>
      </w:pPr>
      <w:r>
        <w:rPr>
          <w:rFonts w:cs="Arial"/>
        </w:rPr>
        <w:t xml:space="preserve">Scaling Networks </w:t>
      </w:r>
      <w:r w:rsidRPr="00FA6DA2">
        <w:rPr>
          <w:rFonts w:cs="Arial"/>
        </w:rPr>
        <w:t>covers the architecture, components, and operations of routers and switches in larger and more complex networks. Students learn how to configure routers and switches for advanced functionality.</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Learning Outcomes</w:t>
      </w:r>
    </w:p>
    <w:p w:rsidR="00965DE7" w:rsidRPr="000737DA" w:rsidRDefault="00965DE7" w:rsidP="00965DE7">
      <w:pPr>
        <w:tabs>
          <w:tab w:val="left" w:pos="851"/>
        </w:tabs>
        <w:spacing w:after="120"/>
        <w:rPr>
          <w:rFonts w:cs="Arial"/>
        </w:rPr>
      </w:pPr>
      <w:r w:rsidRPr="000737DA">
        <w:rPr>
          <w:rFonts w:cs="Arial"/>
        </w:rPr>
        <w:t>At the successful completion of this course, students will be able to:</w:t>
      </w:r>
    </w:p>
    <w:p w:rsidR="00965DE7" w:rsidRPr="000737DA" w:rsidRDefault="00B50877" w:rsidP="00965DE7">
      <w:pPr>
        <w:numPr>
          <w:ilvl w:val="6"/>
          <w:numId w:val="3"/>
        </w:numPr>
        <w:tabs>
          <w:tab w:val="left" w:pos="567"/>
        </w:tabs>
        <w:spacing w:after="120"/>
        <w:ind w:left="567" w:hanging="567"/>
        <w:rPr>
          <w:rFonts w:cs="Arial"/>
        </w:rPr>
      </w:pPr>
      <w:r>
        <w:rPr>
          <w:rFonts w:cs="Arial"/>
        </w:rPr>
        <w:t>D</w:t>
      </w:r>
      <w:r w:rsidR="00FA6DA2">
        <w:rPr>
          <w:rFonts w:cs="Arial"/>
        </w:rPr>
        <w:t>escribe, implement and troubleshoot link aggregation</w:t>
      </w:r>
    </w:p>
    <w:p w:rsidR="00714E7D" w:rsidRDefault="00FA6DA2" w:rsidP="00965DE7">
      <w:pPr>
        <w:numPr>
          <w:ilvl w:val="6"/>
          <w:numId w:val="3"/>
        </w:numPr>
        <w:tabs>
          <w:tab w:val="left" w:pos="567"/>
        </w:tabs>
        <w:spacing w:after="120"/>
        <w:ind w:left="567" w:hanging="567"/>
        <w:rPr>
          <w:rFonts w:cs="Arial"/>
        </w:rPr>
      </w:pPr>
      <w:r w:rsidRPr="00714E7D">
        <w:rPr>
          <w:rFonts w:cs="Arial"/>
        </w:rPr>
        <w:t xml:space="preserve">Describe, implement and troubleshoot </w:t>
      </w:r>
      <w:r w:rsidR="00714E7D" w:rsidRPr="00714E7D">
        <w:rPr>
          <w:rFonts w:cs="Arial"/>
        </w:rPr>
        <w:t xml:space="preserve">layer </w:t>
      </w:r>
      <w:r w:rsidR="00592AEA">
        <w:rPr>
          <w:rFonts w:cs="Arial"/>
        </w:rPr>
        <w:t xml:space="preserve">2 </w:t>
      </w:r>
      <w:r w:rsidR="00714E7D" w:rsidRPr="00714E7D">
        <w:rPr>
          <w:rFonts w:cs="Arial"/>
        </w:rPr>
        <w:t>loop prevention protocols</w:t>
      </w:r>
    </w:p>
    <w:p w:rsidR="00714E7D" w:rsidRPr="00714E7D" w:rsidRDefault="00714E7D" w:rsidP="00965DE7">
      <w:pPr>
        <w:numPr>
          <w:ilvl w:val="6"/>
          <w:numId w:val="3"/>
        </w:numPr>
        <w:tabs>
          <w:tab w:val="left" w:pos="567"/>
        </w:tabs>
        <w:spacing w:after="120"/>
        <w:ind w:left="567" w:hanging="567"/>
        <w:rPr>
          <w:rFonts w:cs="Arial"/>
        </w:rPr>
      </w:pPr>
      <w:r w:rsidRPr="00714E7D">
        <w:rPr>
          <w:rFonts w:cs="Arial"/>
        </w:rPr>
        <w:t>Describe and implement first h</w:t>
      </w:r>
      <w:r>
        <w:rPr>
          <w:rFonts w:cs="Arial"/>
        </w:rPr>
        <w:t>op redundancy protocols</w:t>
      </w:r>
    </w:p>
    <w:p w:rsidR="00965DE7" w:rsidRDefault="00FA6DA2" w:rsidP="00965DE7">
      <w:pPr>
        <w:numPr>
          <w:ilvl w:val="6"/>
          <w:numId w:val="3"/>
        </w:numPr>
        <w:tabs>
          <w:tab w:val="left" w:pos="567"/>
        </w:tabs>
        <w:spacing w:after="120"/>
        <w:ind w:left="567" w:hanging="567"/>
        <w:rPr>
          <w:rFonts w:cs="Arial"/>
        </w:rPr>
      </w:pPr>
      <w:r>
        <w:rPr>
          <w:rFonts w:cs="Arial"/>
        </w:rPr>
        <w:t xml:space="preserve">Describe, implement and </w:t>
      </w:r>
      <w:r w:rsidR="00965DE7" w:rsidRPr="000737DA">
        <w:rPr>
          <w:rFonts w:cs="Arial"/>
        </w:rPr>
        <w:t xml:space="preserve">troubleshoot </w:t>
      </w:r>
      <w:r w:rsidR="00592AEA">
        <w:rPr>
          <w:rFonts w:cs="Arial"/>
        </w:rPr>
        <w:t>advanced enterprise routing protocols for  IPv4 and IPv6</w:t>
      </w:r>
    </w:p>
    <w:p w:rsidR="00FA6DA2" w:rsidRPr="000737DA" w:rsidRDefault="00FA6DA2" w:rsidP="00965DE7">
      <w:pPr>
        <w:numPr>
          <w:ilvl w:val="6"/>
          <w:numId w:val="3"/>
        </w:numPr>
        <w:tabs>
          <w:tab w:val="left" w:pos="567"/>
        </w:tabs>
        <w:spacing w:after="120"/>
        <w:ind w:left="567" w:hanging="567"/>
        <w:rPr>
          <w:rFonts w:cs="Arial"/>
        </w:rPr>
      </w:pPr>
      <w:r>
        <w:rPr>
          <w:rFonts w:cs="Arial"/>
        </w:rPr>
        <w:t>Describe and implement a wireless local area network (WLAN) in a small-to-medium network</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Manage Cisco IOS® Software licensing and configuration files</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Indicative Content</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 xml:space="preserve">The operation and configuration of Spanning Tree </w:t>
      </w:r>
      <w:r w:rsidR="00B84FF9">
        <w:rPr>
          <w:rFonts w:cs="Arial"/>
        </w:rPr>
        <w:t xml:space="preserve">(STP) </w:t>
      </w:r>
      <w:r w:rsidRPr="000737DA">
        <w:rPr>
          <w:rFonts w:cs="Arial"/>
        </w:rPr>
        <w:t>and Rapid Spanning Tree</w:t>
      </w:r>
      <w:r w:rsidR="00B84FF9">
        <w:rPr>
          <w:rFonts w:cs="Arial"/>
        </w:rPr>
        <w:t xml:space="preserve"> (RSTP)</w:t>
      </w:r>
    </w:p>
    <w:p w:rsidR="00965DE7" w:rsidRDefault="00965DE7" w:rsidP="00965DE7">
      <w:pPr>
        <w:numPr>
          <w:ilvl w:val="0"/>
          <w:numId w:val="2"/>
        </w:numPr>
        <w:tabs>
          <w:tab w:val="clear" w:pos="360"/>
          <w:tab w:val="num" w:pos="426"/>
        </w:tabs>
        <w:spacing w:after="60"/>
        <w:ind w:left="426" w:hanging="426"/>
        <w:rPr>
          <w:rFonts w:cs="Arial"/>
        </w:rPr>
      </w:pPr>
      <w:r w:rsidRPr="000737DA">
        <w:rPr>
          <w:rFonts w:cs="Arial"/>
        </w:rPr>
        <w:t>The o</w:t>
      </w:r>
      <w:r w:rsidR="00714E7D">
        <w:rPr>
          <w:rFonts w:cs="Arial"/>
        </w:rPr>
        <w:t xml:space="preserve">peration and configuration of </w:t>
      </w:r>
      <w:r w:rsidR="00B84FF9">
        <w:rPr>
          <w:rFonts w:cs="Arial"/>
        </w:rPr>
        <w:t>port aggregation (</w:t>
      </w:r>
      <w:proofErr w:type="spellStart"/>
      <w:r w:rsidR="00714E7D">
        <w:rPr>
          <w:rFonts w:cs="Arial"/>
        </w:rPr>
        <w:t>PAgP</w:t>
      </w:r>
      <w:proofErr w:type="spellEnd"/>
      <w:r w:rsidR="00B84FF9">
        <w:rPr>
          <w:rFonts w:cs="Arial"/>
        </w:rPr>
        <w:t>)</w:t>
      </w:r>
      <w:r w:rsidR="00714E7D">
        <w:rPr>
          <w:rFonts w:cs="Arial"/>
        </w:rPr>
        <w:t xml:space="preserve"> and </w:t>
      </w:r>
      <w:r w:rsidR="00B84FF9">
        <w:rPr>
          <w:rFonts w:cs="Arial"/>
        </w:rPr>
        <w:t>link aggregation protocols (</w:t>
      </w:r>
      <w:r w:rsidR="00714E7D">
        <w:rPr>
          <w:rFonts w:cs="Arial"/>
        </w:rPr>
        <w:t>LACP</w:t>
      </w:r>
      <w:r w:rsidR="00B84FF9">
        <w:rPr>
          <w:rFonts w:cs="Arial"/>
        </w:rPr>
        <w:t>)</w:t>
      </w:r>
    </w:p>
    <w:p w:rsidR="00FA6DA2" w:rsidRPr="000737DA" w:rsidRDefault="00FA6DA2" w:rsidP="00965DE7">
      <w:pPr>
        <w:numPr>
          <w:ilvl w:val="0"/>
          <w:numId w:val="2"/>
        </w:numPr>
        <w:tabs>
          <w:tab w:val="clear" w:pos="360"/>
          <w:tab w:val="num" w:pos="426"/>
        </w:tabs>
        <w:spacing w:after="60"/>
        <w:ind w:left="426" w:hanging="426"/>
        <w:rPr>
          <w:rFonts w:cs="Arial"/>
        </w:rPr>
      </w:pPr>
      <w:r>
        <w:rPr>
          <w:rFonts w:cs="Arial"/>
        </w:rPr>
        <w:t xml:space="preserve">The purpose and operation of </w:t>
      </w:r>
      <w:r w:rsidR="00B84FF9">
        <w:rPr>
          <w:rFonts w:cs="Arial"/>
        </w:rPr>
        <w:t>hot standby routing protocol (</w:t>
      </w:r>
      <w:r>
        <w:rPr>
          <w:rFonts w:cs="Arial"/>
        </w:rPr>
        <w:t>HSRP</w:t>
      </w:r>
      <w:r w:rsidR="00B84FF9">
        <w:rPr>
          <w:rFonts w:cs="Arial"/>
        </w:rPr>
        <w:t>)</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 xml:space="preserve">Operation and configuration of </w:t>
      </w:r>
      <w:r w:rsidR="00B84FF9">
        <w:rPr>
          <w:rFonts w:cs="Arial"/>
        </w:rPr>
        <w:t>enhanced interior gateway routing protocol (</w:t>
      </w:r>
      <w:r w:rsidRPr="000737DA">
        <w:rPr>
          <w:rFonts w:cs="Arial"/>
        </w:rPr>
        <w:t>EIGRP</w:t>
      </w:r>
      <w:r w:rsidR="00B84FF9">
        <w:rPr>
          <w:rFonts w:cs="Arial"/>
        </w:rPr>
        <w:t>)</w:t>
      </w:r>
    </w:p>
    <w:p w:rsidR="00965DE7" w:rsidRDefault="00965DE7" w:rsidP="00965DE7">
      <w:pPr>
        <w:numPr>
          <w:ilvl w:val="0"/>
          <w:numId w:val="2"/>
        </w:numPr>
        <w:tabs>
          <w:tab w:val="clear" w:pos="360"/>
          <w:tab w:val="num" w:pos="426"/>
        </w:tabs>
        <w:spacing w:after="60"/>
        <w:ind w:left="426" w:hanging="426"/>
        <w:rPr>
          <w:rFonts w:cs="Arial"/>
        </w:rPr>
      </w:pPr>
      <w:r w:rsidRPr="000737DA">
        <w:rPr>
          <w:rFonts w:cs="Arial"/>
        </w:rPr>
        <w:t>Operation</w:t>
      </w:r>
      <w:r w:rsidR="00FA6DA2">
        <w:rPr>
          <w:rFonts w:cs="Arial"/>
        </w:rPr>
        <w:t xml:space="preserve"> and configuration of multi-area</w:t>
      </w:r>
      <w:r w:rsidRPr="000737DA">
        <w:rPr>
          <w:rFonts w:cs="Arial"/>
        </w:rPr>
        <w:t xml:space="preserve"> </w:t>
      </w:r>
      <w:r w:rsidR="00B84FF9">
        <w:rPr>
          <w:rFonts w:cs="Arial"/>
        </w:rPr>
        <w:t>open shortest path first protocol (</w:t>
      </w:r>
      <w:r w:rsidRPr="000737DA">
        <w:rPr>
          <w:rFonts w:cs="Arial"/>
        </w:rPr>
        <w:t>OSPF</w:t>
      </w:r>
      <w:r w:rsidR="00B84FF9">
        <w:rPr>
          <w:rFonts w:cs="Arial"/>
        </w:rPr>
        <w:t xml:space="preserve">) </w:t>
      </w:r>
      <w:r w:rsidRPr="000737DA">
        <w:rPr>
          <w:rFonts w:cs="Arial"/>
        </w:rPr>
        <w:t>v2 and v3</w:t>
      </w:r>
    </w:p>
    <w:p w:rsidR="00FA6DA2" w:rsidRPr="000737DA" w:rsidRDefault="00FA6DA2" w:rsidP="00965DE7">
      <w:pPr>
        <w:numPr>
          <w:ilvl w:val="0"/>
          <w:numId w:val="2"/>
        </w:numPr>
        <w:tabs>
          <w:tab w:val="clear" w:pos="360"/>
          <w:tab w:val="num" w:pos="426"/>
        </w:tabs>
        <w:spacing w:after="60"/>
        <w:ind w:left="426" w:hanging="426"/>
        <w:rPr>
          <w:rFonts w:cs="Arial"/>
        </w:rPr>
      </w:pPr>
      <w:r>
        <w:rPr>
          <w:rFonts w:cs="Arial"/>
        </w:rPr>
        <w:t xml:space="preserve">The operation and configuration of a wireless network </w:t>
      </w:r>
    </w:p>
    <w:p w:rsidR="00965DE7" w:rsidRPr="00015EFC" w:rsidRDefault="00965DE7" w:rsidP="00965DE7">
      <w:pPr>
        <w:numPr>
          <w:ilvl w:val="0"/>
          <w:numId w:val="2"/>
        </w:numPr>
        <w:tabs>
          <w:tab w:val="clear" w:pos="360"/>
          <w:tab w:val="num" w:pos="426"/>
        </w:tabs>
        <w:spacing w:after="60"/>
        <w:ind w:left="426" w:hanging="426"/>
        <w:rPr>
          <w:rFonts w:cs="Arial"/>
        </w:rPr>
      </w:pPr>
      <w:r w:rsidRPr="000737DA">
        <w:rPr>
          <w:rFonts w:cs="Arial"/>
        </w:rPr>
        <w:t>Managing IOS System files and IOS licensing</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Assessment</w:t>
      </w:r>
      <w:bookmarkStart w:id="1" w:name="_GoBack"/>
      <w:bookmarkEnd w:id="1"/>
    </w:p>
    <w:p w:rsidR="00965DE7" w:rsidRPr="000737DA" w:rsidRDefault="00965DE7" w:rsidP="00965DE7">
      <w:pPr>
        <w:spacing w:after="120"/>
        <w:rPr>
          <w:rFonts w:cs="Arial"/>
        </w:rPr>
      </w:pPr>
      <w:r w:rsidRPr="000737DA">
        <w:rPr>
          <w:rFonts w:cs="Arial"/>
        </w:rPr>
        <w:t>This course is developed and quality controlled by Cisco</w:t>
      </w:r>
      <w:r>
        <w:rPr>
          <w:rFonts w:cs="Arial"/>
        </w:rPr>
        <w:t xml:space="preserve">.  </w:t>
      </w:r>
      <w:r w:rsidRPr="000737DA">
        <w:rPr>
          <w:rFonts w:cs="Arial"/>
        </w:rPr>
        <w:t>The weighting of the assessments is able to be localised, but the assessments themselves are controlled by Cisco.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965DE7" w:rsidRPr="000737DA" w:rsidTr="00276662">
        <w:tc>
          <w:tcPr>
            <w:tcW w:w="4917" w:type="dxa"/>
            <w:shd w:val="clear" w:color="auto" w:fill="auto"/>
          </w:tcPr>
          <w:p w:rsidR="00965DE7" w:rsidRPr="000737DA" w:rsidRDefault="00965DE7" w:rsidP="00276662">
            <w:pPr>
              <w:tabs>
                <w:tab w:val="left" w:pos="851"/>
              </w:tabs>
              <w:rPr>
                <w:rFonts w:cs="Arial"/>
                <w:b/>
              </w:rPr>
            </w:pPr>
            <w:r w:rsidRPr="000737DA">
              <w:rPr>
                <w:rFonts w:cs="Arial"/>
                <w:b/>
              </w:rPr>
              <w:t>Assessment Activity</w:t>
            </w:r>
          </w:p>
        </w:tc>
        <w:tc>
          <w:tcPr>
            <w:tcW w:w="1260" w:type="dxa"/>
            <w:shd w:val="clear" w:color="auto" w:fill="auto"/>
          </w:tcPr>
          <w:p w:rsidR="00965DE7" w:rsidRPr="000737DA" w:rsidRDefault="00965DE7" w:rsidP="00276662">
            <w:pPr>
              <w:tabs>
                <w:tab w:val="left" w:pos="851"/>
              </w:tabs>
              <w:jc w:val="center"/>
              <w:rPr>
                <w:rFonts w:cs="Arial"/>
                <w:b/>
              </w:rPr>
            </w:pPr>
            <w:r w:rsidRPr="000737DA">
              <w:rPr>
                <w:rFonts w:cs="Arial"/>
                <w:b/>
              </w:rPr>
              <w:t>Weighting</w:t>
            </w:r>
          </w:p>
        </w:tc>
        <w:tc>
          <w:tcPr>
            <w:tcW w:w="2152" w:type="dxa"/>
            <w:shd w:val="clear" w:color="auto" w:fill="auto"/>
          </w:tcPr>
          <w:p w:rsidR="00965DE7" w:rsidRPr="000737DA" w:rsidRDefault="00965DE7" w:rsidP="00276662">
            <w:pPr>
              <w:tabs>
                <w:tab w:val="left" w:pos="851"/>
              </w:tabs>
              <w:rPr>
                <w:rFonts w:cs="Arial"/>
                <w:b/>
              </w:rPr>
            </w:pPr>
            <w:r w:rsidRPr="000737DA">
              <w:rPr>
                <w:rFonts w:cs="Arial"/>
                <w:b/>
              </w:rPr>
              <w:t>Learning Outcomes</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Weekly quiz</w:t>
            </w:r>
          </w:p>
        </w:tc>
        <w:tc>
          <w:tcPr>
            <w:tcW w:w="1260" w:type="dxa"/>
            <w:shd w:val="clear" w:color="auto" w:fill="auto"/>
          </w:tcPr>
          <w:p w:rsidR="00965DE7" w:rsidRPr="000737DA" w:rsidRDefault="00777C2F" w:rsidP="00276662">
            <w:pPr>
              <w:tabs>
                <w:tab w:val="left" w:pos="851"/>
              </w:tabs>
              <w:jc w:val="center"/>
              <w:rPr>
                <w:rFonts w:cs="Arial"/>
              </w:rPr>
            </w:pPr>
            <w:r>
              <w:rPr>
                <w:rFonts w:cs="Arial"/>
              </w:rPr>
              <w:t>20</w:t>
            </w:r>
            <w:r w:rsidR="00965DE7" w:rsidRPr="000737DA">
              <w:rPr>
                <w:rFonts w:cs="Arial"/>
              </w:rPr>
              <w:t>%</w:t>
            </w:r>
          </w:p>
        </w:tc>
        <w:tc>
          <w:tcPr>
            <w:tcW w:w="2152" w:type="dxa"/>
            <w:shd w:val="clear" w:color="auto" w:fill="auto"/>
          </w:tcPr>
          <w:p w:rsidR="00965DE7" w:rsidRPr="000737DA" w:rsidRDefault="00965DE7" w:rsidP="00276662">
            <w:pPr>
              <w:tabs>
                <w:tab w:val="left" w:pos="851"/>
              </w:tabs>
              <w:rPr>
                <w:rFonts w:cs="Arial"/>
              </w:rPr>
            </w:pPr>
            <w:r w:rsidRPr="000737DA">
              <w:rPr>
                <w:rFonts w:cs="Arial"/>
              </w:rPr>
              <w:t>All</w:t>
            </w:r>
          </w:p>
        </w:tc>
      </w:tr>
      <w:tr w:rsidR="00777C2F" w:rsidRPr="000737DA" w:rsidTr="00276662">
        <w:tc>
          <w:tcPr>
            <w:tcW w:w="4917" w:type="dxa"/>
            <w:shd w:val="clear" w:color="auto" w:fill="auto"/>
          </w:tcPr>
          <w:p w:rsidR="00777C2F" w:rsidRPr="000737DA" w:rsidRDefault="00777C2F" w:rsidP="00276662">
            <w:pPr>
              <w:tabs>
                <w:tab w:val="left" w:pos="851"/>
              </w:tabs>
              <w:rPr>
                <w:rFonts w:cs="Arial"/>
              </w:rPr>
            </w:pPr>
            <w:r>
              <w:rPr>
                <w:rFonts w:cs="Arial"/>
              </w:rPr>
              <w:t>Case Study</w:t>
            </w:r>
          </w:p>
        </w:tc>
        <w:tc>
          <w:tcPr>
            <w:tcW w:w="1260" w:type="dxa"/>
            <w:shd w:val="clear" w:color="auto" w:fill="auto"/>
          </w:tcPr>
          <w:p w:rsidR="00777C2F" w:rsidRPr="000737DA" w:rsidRDefault="00777C2F" w:rsidP="00276662">
            <w:pPr>
              <w:tabs>
                <w:tab w:val="left" w:pos="851"/>
              </w:tabs>
              <w:jc w:val="center"/>
              <w:rPr>
                <w:rFonts w:cs="Arial"/>
              </w:rPr>
            </w:pPr>
            <w:r>
              <w:rPr>
                <w:rFonts w:cs="Arial"/>
              </w:rPr>
              <w:t>30%</w:t>
            </w:r>
          </w:p>
        </w:tc>
        <w:tc>
          <w:tcPr>
            <w:tcW w:w="2152" w:type="dxa"/>
            <w:shd w:val="clear" w:color="auto" w:fill="auto"/>
          </w:tcPr>
          <w:p w:rsidR="00777C2F" w:rsidRPr="000737DA" w:rsidRDefault="00777C2F" w:rsidP="00276662">
            <w:pPr>
              <w:tabs>
                <w:tab w:val="left" w:pos="851"/>
              </w:tabs>
              <w:rPr>
                <w:rFonts w:cs="Arial"/>
              </w:rPr>
            </w:pPr>
            <w:r>
              <w:rPr>
                <w:rFonts w:cs="Arial"/>
              </w:rPr>
              <w:t>All</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Skills Based Assessment</w:t>
            </w:r>
          </w:p>
        </w:tc>
        <w:tc>
          <w:tcPr>
            <w:tcW w:w="1260" w:type="dxa"/>
            <w:shd w:val="clear" w:color="auto" w:fill="auto"/>
          </w:tcPr>
          <w:p w:rsidR="00965DE7" w:rsidRPr="000737DA" w:rsidRDefault="00777C2F" w:rsidP="00276662">
            <w:pPr>
              <w:tabs>
                <w:tab w:val="left" w:pos="851"/>
              </w:tabs>
              <w:jc w:val="center"/>
              <w:rPr>
                <w:rFonts w:cs="Arial"/>
              </w:rPr>
            </w:pPr>
            <w:r>
              <w:rPr>
                <w:rFonts w:cs="Arial"/>
              </w:rPr>
              <w:t>30</w:t>
            </w:r>
            <w:r w:rsidR="00965DE7" w:rsidRPr="000737DA">
              <w:rPr>
                <w:rFonts w:cs="Arial"/>
              </w:rPr>
              <w:t>%</w:t>
            </w:r>
          </w:p>
        </w:tc>
        <w:tc>
          <w:tcPr>
            <w:tcW w:w="2152" w:type="dxa"/>
            <w:shd w:val="clear" w:color="auto" w:fill="auto"/>
          </w:tcPr>
          <w:p w:rsidR="00965DE7" w:rsidRPr="000737DA" w:rsidRDefault="00712451" w:rsidP="00276662">
            <w:pPr>
              <w:tabs>
                <w:tab w:val="left" w:pos="851"/>
              </w:tabs>
              <w:rPr>
                <w:rFonts w:cs="Arial"/>
              </w:rPr>
            </w:pPr>
            <w:r>
              <w:rPr>
                <w:rFonts w:cs="Arial"/>
              </w:rPr>
              <w:t>1,2,4</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Theory Exam</w:t>
            </w:r>
          </w:p>
        </w:tc>
        <w:tc>
          <w:tcPr>
            <w:tcW w:w="1260" w:type="dxa"/>
            <w:shd w:val="clear" w:color="auto" w:fill="auto"/>
          </w:tcPr>
          <w:p w:rsidR="00965DE7" w:rsidRPr="000737DA" w:rsidRDefault="00777C2F" w:rsidP="00276662">
            <w:pPr>
              <w:tabs>
                <w:tab w:val="left" w:pos="851"/>
              </w:tabs>
              <w:jc w:val="center"/>
              <w:rPr>
                <w:rFonts w:cs="Arial"/>
              </w:rPr>
            </w:pPr>
            <w:r>
              <w:rPr>
                <w:rFonts w:cs="Arial"/>
              </w:rPr>
              <w:t>20</w:t>
            </w:r>
            <w:r w:rsidR="00965DE7" w:rsidRPr="000737DA">
              <w:rPr>
                <w:rFonts w:cs="Arial"/>
              </w:rPr>
              <w:t>%</w:t>
            </w:r>
          </w:p>
        </w:tc>
        <w:tc>
          <w:tcPr>
            <w:tcW w:w="2152" w:type="dxa"/>
            <w:shd w:val="clear" w:color="auto" w:fill="auto"/>
          </w:tcPr>
          <w:p w:rsidR="00965DE7" w:rsidRPr="000737DA" w:rsidRDefault="00965DE7" w:rsidP="00276662">
            <w:pPr>
              <w:tabs>
                <w:tab w:val="left" w:pos="851"/>
              </w:tabs>
              <w:rPr>
                <w:rFonts w:cs="Arial"/>
              </w:rPr>
            </w:pPr>
            <w:r w:rsidRPr="000737DA">
              <w:rPr>
                <w:rFonts w:cs="Arial"/>
              </w:rPr>
              <w:t>All</w:t>
            </w:r>
          </w:p>
        </w:tc>
      </w:tr>
    </w:tbl>
    <w:p w:rsidR="00965DE7" w:rsidRPr="00F40356" w:rsidRDefault="00965DE7" w:rsidP="00965DE7">
      <w:pPr>
        <w:pStyle w:val="BodyTextIndent"/>
        <w:spacing w:before="120"/>
        <w:ind w:left="0"/>
        <w:rPr>
          <w:rFonts w:cs="Arial"/>
        </w:rPr>
      </w:pPr>
      <w:proofErr w:type="gramStart"/>
      <w:r>
        <w:rPr>
          <w:rFonts w:cs="Arial"/>
        </w:rPr>
        <w:t>A single final result to be entered in SMS at completion.</w:t>
      </w:r>
      <w:proofErr w:type="gramEnd"/>
    </w:p>
    <w:p w:rsidR="00965DE7" w:rsidRPr="000737DA" w:rsidRDefault="00965DE7" w:rsidP="00965DE7">
      <w:pPr>
        <w:tabs>
          <w:tab w:val="left" w:pos="851"/>
        </w:tabs>
        <w:spacing w:before="240" w:after="120"/>
        <w:rPr>
          <w:rFonts w:cs="Arial"/>
          <w:b/>
        </w:rPr>
      </w:pPr>
      <w:r w:rsidRPr="000737DA">
        <w:rPr>
          <w:rFonts w:cs="Arial"/>
          <w:b/>
          <w:i/>
          <w:sz w:val="22"/>
          <w:szCs w:val="22"/>
        </w:rPr>
        <w:t>Resources</w:t>
      </w:r>
      <w:r>
        <w:rPr>
          <w:rFonts w:cs="Arial"/>
          <w:b/>
          <w:i/>
          <w:sz w:val="22"/>
          <w:szCs w:val="22"/>
        </w:rPr>
        <w:t xml:space="preserve"> </w:t>
      </w:r>
      <w:r w:rsidRPr="000737DA">
        <w:rPr>
          <w:rFonts w:cs="Arial"/>
          <w:b/>
        </w:rPr>
        <w:t>Required:</w:t>
      </w:r>
    </w:p>
    <w:p w:rsidR="00890A38" w:rsidRPr="00C23FA8" w:rsidRDefault="00965DE7" w:rsidP="00B84F12">
      <w:pPr>
        <w:suppressAutoHyphens w:val="0"/>
        <w:autoSpaceDE w:val="0"/>
        <w:autoSpaceDN w:val="0"/>
        <w:adjustRightInd w:val="0"/>
        <w:spacing w:line="240" w:lineRule="auto"/>
        <w:rPr>
          <w:rFonts w:cs="Arial"/>
        </w:rPr>
      </w:pPr>
      <w:proofErr w:type="gramStart"/>
      <w:r w:rsidRPr="000737DA">
        <w:rPr>
          <w:rFonts w:cs="Arial"/>
        </w:rPr>
        <w:lastRenderedPageBreak/>
        <w:t>Cisco Network Academy Routing and Switching series</w:t>
      </w:r>
      <w:r>
        <w:rPr>
          <w:rFonts w:cs="Arial"/>
        </w:rPr>
        <w:t>.</w:t>
      </w:r>
      <w:proofErr w:type="gramEnd"/>
      <w:r>
        <w:rPr>
          <w:rFonts w:cs="Arial"/>
        </w:rPr>
        <w:t xml:space="preserve">  </w:t>
      </w:r>
      <w:proofErr w:type="gramStart"/>
      <w:r w:rsidRPr="000737DA">
        <w:rPr>
          <w:rFonts w:cs="Arial"/>
        </w:rPr>
        <w:t>“Scaling Networks”.</w:t>
      </w:r>
      <w:proofErr w:type="gramEnd"/>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A4C" w:rsidRDefault="00397A4C" w:rsidP="00C23FA8">
      <w:pPr>
        <w:spacing w:line="240" w:lineRule="auto"/>
      </w:pPr>
      <w:r>
        <w:separator/>
      </w:r>
    </w:p>
  </w:endnote>
  <w:endnote w:type="continuationSeparator" w:id="0">
    <w:p w:rsidR="00397A4C" w:rsidRDefault="00397A4C"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A4C" w:rsidRDefault="00397A4C" w:rsidP="00C23FA8">
      <w:pPr>
        <w:spacing w:line="240" w:lineRule="auto"/>
      </w:pPr>
      <w:r>
        <w:separator/>
      </w:r>
    </w:p>
  </w:footnote>
  <w:footnote w:type="continuationSeparator" w:id="0">
    <w:p w:rsidR="00397A4C" w:rsidRDefault="00397A4C"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69010A48"/>
    <w:multiLevelType w:val="hybridMultilevel"/>
    <w:tmpl w:val="2B12B7E8"/>
    <w:lvl w:ilvl="0" w:tplc="E3E20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7D"/>
    <w:rsid w:val="00397A4C"/>
    <w:rsid w:val="00592AEA"/>
    <w:rsid w:val="0067539C"/>
    <w:rsid w:val="00712451"/>
    <w:rsid w:val="00714E7D"/>
    <w:rsid w:val="00777C2F"/>
    <w:rsid w:val="00890A38"/>
    <w:rsid w:val="008C7199"/>
    <w:rsid w:val="00965DE7"/>
    <w:rsid w:val="00994B9B"/>
    <w:rsid w:val="00B50877"/>
    <w:rsid w:val="00B84F12"/>
    <w:rsid w:val="00B84FF9"/>
    <w:rsid w:val="00C22C7D"/>
    <w:rsid w:val="00C23FA8"/>
    <w:rsid w:val="00D027D0"/>
    <w:rsid w:val="00D67C2A"/>
    <w:rsid w:val="00FA6DA2"/>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DE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965DE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965DE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965DE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965DE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965DE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965DE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965DE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965DE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DE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965DE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965DE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965DE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965DE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965DE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965DE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965DE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965DE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Holtz</dc:creator>
  <cp:lastModifiedBy>Playtech</cp:lastModifiedBy>
  <cp:revision>9</cp:revision>
  <dcterms:created xsi:type="dcterms:W3CDTF">2017-01-30T02:15:00Z</dcterms:created>
  <dcterms:modified xsi:type="dcterms:W3CDTF">2017-01-30T03:26:00Z</dcterms:modified>
</cp:coreProperties>
</file>