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AA" w:rsidRDefault="00E56EAA" w:rsidP="00E56EAA">
      <w:pPr>
        <w:pStyle w:val="Heading2"/>
      </w:pPr>
      <w:bookmarkStart w:id="0" w:name="_Toc433018347"/>
      <w:r>
        <w:t>Developing Flexible IT Courses</w:t>
      </w:r>
      <w:bookmarkEnd w:id="0"/>
    </w:p>
    <w:tbl>
      <w:tblPr>
        <w:tblW w:w="0" w:type="auto"/>
        <w:tblLayout w:type="fixed"/>
        <w:tblCellMar>
          <w:top w:w="57" w:type="dxa"/>
          <w:left w:w="57" w:type="dxa"/>
          <w:bottom w:w="57" w:type="dxa"/>
          <w:right w:w="57" w:type="dxa"/>
        </w:tblCellMar>
        <w:tblLook w:val="04A0"/>
      </w:tblPr>
      <w:tblGrid>
        <w:gridCol w:w="1548"/>
        <w:gridCol w:w="1440"/>
        <w:gridCol w:w="3780"/>
        <w:gridCol w:w="1322"/>
      </w:tblGrid>
      <w:tr w:rsidR="00E56EAA" w:rsidTr="00A920F7">
        <w:trPr>
          <w:cantSplit/>
        </w:trPr>
        <w:tc>
          <w:tcPr>
            <w:tcW w:w="1548" w:type="dxa"/>
            <w:tcBorders>
              <w:top w:val="single" w:sz="2" w:space="0" w:color="000000"/>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56EAA" w:rsidRDefault="00E56EAA" w:rsidP="00A920F7">
            <w:pPr>
              <w:pStyle w:val="BodyTextIndent"/>
              <w:tabs>
                <w:tab w:val="left" w:pos="720"/>
              </w:tabs>
              <w:spacing w:after="0"/>
              <w:ind w:left="0"/>
              <w:rPr>
                <w:rFonts w:cs="Arial"/>
                <w:i/>
              </w:rPr>
            </w:pPr>
            <w:r>
              <w:rPr>
                <w:rFonts w:cs="Arial"/>
                <w:i/>
              </w:rPr>
              <w:t>IN703001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60</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7</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nil</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90</w:t>
            </w:r>
          </w:p>
        </w:tc>
      </w:tr>
      <w:tr w:rsidR="00E56EAA" w:rsidTr="00A920F7">
        <w:trPr>
          <w:cantSplit/>
        </w:trPr>
        <w:tc>
          <w:tcPr>
            <w:tcW w:w="1548"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IN501001</w:t>
            </w:r>
          </w:p>
        </w:tc>
        <w:tc>
          <w:tcPr>
            <w:tcW w:w="378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150</w:t>
            </w:r>
          </w:p>
        </w:tc>
      </w:tr>
      <w:tr w:rsidR="00E56EAA"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rsidR="00E56EAA" w:rsidRPr="003C080B" w:rsidRDefault="00E56EAA" w:rsidP="00A920F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IT207002 &amp; IT304002</w:t>
            </w:r>
          </w:p>
          <w:p w:rsidR="00E56EAA" w:rsidRDefault="00E56EAA" w:rsidP="00A920F7">
            <w:pPr>
              <w:pStyle w:val="BodyTextIndent"/>
              <w:tabs>
                <w:tab w:val="left" w:pos="720"/>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E56EAA" w:rsidRDefault="00E56EAA" w:rsidP="00E56EAA">
      <w:pPr>
        <w:pStyle w:val="BodyTextIndent"/>
        <w:spacing w:before="240"/>
        <w:ind w:left="0"/>
        <w:rPr>
          <w:rFonts w:cs="Arial"/>
          <w:b/>
          <w:i/>
          <w:sz w:val="22"/>
          <w:szCs w:val="22"/>
        </w:rPr>
      </w:pPr>
      <w:r>
        <w:rPr>
          <w:rFonts w:cs="Arial"/>
          <w:b/>
          <w:i/>
          <w:sz w:val="22"/>
          <w:szCs w:val="22"/>
        </w:rPr>
        <w:t>Aims</w:t>
      </w:r>
    </w:p>
    <w:p w:rsidR="00E56EAA" w:rsidRDefault="00E56EAA" w:rsidP="00E56EAA">
      <w:pPr>
        <w:pStyle w:val="BodyTextIndent"/>
        <w:ind w:left="0"/>
        <w:rPr>
          <w:rFonts w:cs="Arial"/>
          <w:lang w:val="en-NZ"/>
        </w:rPr>
      </w:pPr>
      <w:r>
        <w:rPr>
          <w:rFonts w:cs="Arial"/>
          <w:lang w:val="en-NZ"/>
        </w:rPr>
        <w:t>To prepare students for the training role that is often performed by informa</w:t>
      </w:r>
      <w:r w:rsidR="00144C4B">
        <w:rPr>
          <w:rFonts w:cs="Arial"/>
          <w:lang w:val="en-NZ"/>
        </w:rPr>
        <w:t xml:space="preserve">tion technology professionals. </w:t>
      </w:r>
    </w:p>
    <w:p w:rsidR="00E56EAA" w:rsidRDefault="00E56EAA" w:rsidP="00E56EAA">
      <w:pPr>
        <w:pStyle w:val="BodyTextIndent"/>
        <w:spacing w:before="240"/>
        <w:ind w:left="0"/>
        <w:rPr>
          <w:rFonts w:cs="Arial"/>
          <w:b/>
          <w:i/>
          <w:sz w:val="22"/>
          <w:szCs w:val="22"/>
        </w:rPr>
      </w:pPr>
      <w:r>
        <w:rPr>
          <w:rFonts w:cs="Arial"/>
          <w:b/>
          <w:i/>
          <w:sz w:val="22"/>
          <w:szCs w:val="22"/>
        </w:rPr>
        <w:t>Learning Outcomes</w:t>
      </w:r>
    </w:p>
    <w:p w:rsidR="00E56EAA" w:rsidRDefault="00E56EAA" w:rsidP="00E56EAA">
      <w:pPr>
        <w:pStyle w:val="BodyTextIndent"/>
        <w:ind w:left="0"/>
        <w:rPr>
          <w:rFonts w:cs="Arial"/>
        </w:rPr>
      </w:pPr>
      <w:r>
        <w:rPr>
          <w:rFonts w:cs="Arial"/>
        </w:rPr>
        <w:t>At the successful completion of this course, students will be able to:</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 xml:space="preserve">Evaluate </w:t>
      </w:r>
      <w:r w:rsidR="003F369B">
        <w:rPr>
          <w:rFonts w:ascii="Arial" w:hAnsi="Arial" w:cs="Arial"/>
          <w:sz w:val="20"/>
        </w:rPr>
        <w:t>existing t</w:t>
      </w:r>
      <w:r>
        <w:rPr>
          <w:rFonts w:ascii="Arial" w:hAnsi="Arial" w:cs="Arial"/>
          <w:sz w:val="20"/>
        </w:rPr>
        <w:t>raining material</w:t>
      </w:r>
      <w:r w:rsidR="00CE3663">
        <w:rPr>
          <w:rFonts w:ascii="Arial" w:hAnsi="Arial" w:cs="Arial"/>
          <w:sz w:val="20"/>
        </w:rPr>
        <w:t>.</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Create a variety of computer based training tools.</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Carry out a training needs analysis related to the introduction of a significant new system.</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Design a training programme to meet needs</w:t>
      </w:r>
      <w:r w:rsidR="00CE3663">
        <w:rPr>
          <w:rFonts w:ascii="Arial" w:hAnsi="Arial" w:cs="Arial"/>
          <w:sz w:val="20"/>
        </w:rPr>
        <w:t>,</w:t>
      </w:r>
      <w:r>
        <w:rPr>
          <w:rFonts w:ascii="Arial" w:hAnsi="Arial" w:cs="Arial"/>
          <w:sz w:val="20"/>
        </w:rPr>
        <w:t xml:space="preserve"> and conduct training sessions.</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Evaluate training sessions to ensure that learning objectives have been met.</w:t>
      </w:r>
    </w:p>
    <w:p w:rsidR="00E56EAA" w:rsidRDefault="00E56EAA" w:rsidP="00E56EAA">
      <w:pPr>
        <w:pStyle w:val="BodyTextIndent"/>
        <w:spacing w:before="240"/>
        <w:ind w:left="0"/>
        <w:rPr>
          <w:rFonts w:cs="Arial"/>
          <w:b/>
          <w:i/>
          <w:sz w:val="22"/>
          <w:szCs w:val="22"/>
        </w:rPr>
      </w:pPr>
      <w:r>
        <w:rPr>
          <w:rFonts w:cs="Arial"/>
          <w:b/>
          <w:i/>
          <w:sz w:val="22"/>
          <w:szCs w:val="22"/>
        </w:rPr>
        <w:t>Indicative Content</w:t>
      </w:r>
      <w:bookmarkStart w:id="1" w:name="_GoBack"/>
      <w:bookmarkEnd w:id="1"/>
    </w:p>
    <w:p w:rsidR="00E56EAA" w:rsidRDefault="00E56EAA" w:rsidP="00E56EAA">
      <w:pPr>
        <w:numPr>
          <w:ilvl w:val="0"/>
          <w:numId w:val="4"/>
        </w:numPr>
        <w:tabs>
          <w:tab w:val="clear" w:pos="360"/>
          <w:tab w:val="num" w:pos="426"/>
        </w:tabs>
        <w:spacing w:after="60"/>
        <w:ind w:left="426" w:hanging="426"/>
        <w:rPr>
          <w:rFonts w:cs="Arial"/>
        </w:rPr>
      </w:pPr>
      <w:r>
        <w:rPr>
          <w:rFonts w:cs="Arial"/>
        </w:rPr>
        <w:t>Evaluate training materials</w:t>
      </w:r>
    </w:p>
    <w:p w:rsidR="00E56EAA" w:rsidRDefault="00144C4B" w:rsidP="00E56EAA">
      <w:pPr>
        <w:numPr>
          <w:ilvl w:val="0"/>
          <w:numId w:val="4"/>
        </w:numPr>
        <w:tabs>
          <w:tab w:val="clear" w:pos="360"/>
          <w:tab w:val="num" w:pos="426"/>
        </w:tabs>
        <w:spacing w:after="60"/>
        <w:ind w:left="426" w:hanging="426"/>
        <w:rPr>
          <w:rFonts w:cs="Arial"/>
        </w:rPr>
      </w:pPr>
      <w:r>
        <w:rPr>
          <w:rFonts w:cs="Arial"/>
        </w:rPr>
        <w:t>Screen recording software</w:t>
      </w:r>
    </w:p>
    <w:p w:rsidR="00E56EAA" w:rsidRDefault="00E56EAA" w:rsidP="00E56EAA">
      <w:pPr>
        <w:numPr>
          <w:ilvl w:val="0"/>
          <w:numId w:val="4"/>
        </w:numPr>
        <w:tabs>
          <w:tab w:val="clear" w:pos="360"/>
          <w:tab w:val="num" w:pos="426"/>
        </w:tabs>
        <w:spacing w:after="60"/>
        <w:ind w:left="426" w:hanging="426"/>
        <w:rPr>
          <w:rFonts w:cs="Arial"/>
        </w:rPr>
      </w:pPr>
      <w:r>
        <w:rPr>
          <w:rFonts w:cs="Arial"/>
        </w:rPr>
        <w:t>Writing interactive quizzes</w:t>
      </w:r>
    </w:p>
    <w:p w:rsidR="00E56EAA" w:rsidRDefault="00E56EAA" w:rsidP="00E56EAA">
      <w:pPr>
        <w:numPr>
          <w:ilvl w:val="0"/>
          <w:numId w:val="4"/>
        </w:numPr>
        <w:tabs>
          <w:tab w:val="clear" w:pos="360"/>
          <w:tab w:val="num" w:pos="426"/>
        </w:tabs>
        <w:spacing w:after="60"/>
        <w:ind w:left="426" w:hanging="426"/>
        <w:rPr>
          <w:rFonts w:cs="Arial"/>
        </w:rPr>
      </w:pPr>
      <w:r>
        <w:rPr>
          <w:rFonts w:cs="Arial"/>
        </w:rPr>
        <w:t>Tutorial writing</w:t>
      </w:r>
    </w:p>
    <w:p w:rsidR="00E56EAA" w:rsidRDefault="00E56EAA" w:rsidP="00E56EAA">
      <w:pPr>
        <w:numPr>
          <w:ilvl w:val="0"/>
          <w:numId w:val="4"/>
        </w:numPr>
        <w:tabs>
          <w:tab w:val="clear" w:pos="360"/>
          <w:tab w:val="num" w:pos="426"/>
        </w:tabs>
        <w:spacing w:after="60"/>
        <w:ind w:left="426" w:hanging="426"/>
        <w:rPr>
          <w:rFonts w:cs="Arial"/>
        </w:rPr>
      </w:pPr>
      <w:r>
        <w:rPr>
          <w:rFonts w:cs="Arial"/>
        </w:rPr>
        <w:t xml:space="preserve">Learning </w:t>
      </w:r>
      <w:r w:rsidR="00144C4B">
        <w:rPr>
          <w:rFonts w:cs="Arial"/>
        </w:rPr>
        <w:t>t</w:t>
      </w:r>
      <w:r>
        <w:rPr>
          <w:rFonts w:cs="Arial"/>
        </w:rPr>
        <w:t>ools</w:t>
      </w:r>
    </w:p>
    <w:p w:rsidR="00E56EAA" w:rsidRDefault="00E56EAA" w:rsidP="00E56EAA">
      <w:pPr>
        <w:numPr>
          <w:ilvl w:val="0"/>
          <w:numId w:val="4"/>
        </w:numPr>
        <w:tabs>
          <w:tab w:val="clear" w:pos="360"/>
          <w:tab w:val="num" w:pos="426"/>
        </w:tabs>
        <w:spacing w:after="60"/>
        <w:ind w:left="426" w:hanging="426"/>
        <w:rPr>
          <w:rFonts w:cs="Arial"/>
        </w:rPr>
      </w:pPr>
      <w:r w:rsidRPr="001646B8">
        <w:rPr>
          <w:rFonts w:cs="Arial"/>
        </w:rPr>
        <w:t>Learning styles and adult learners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needs analysis for a new system</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methods</w:t>
      </w:r>
    </w:p>
    <w:p w:rsidR="00E56EAA" w:rsidRPr="001646B8" w:rsidRDefault="00144C4B" w:rsidP="00E56EAA">
      <w:pPr>
        <w:numPr>
          <w:ilvl w:val="0"/>
          <w:numId w:val="4"/>
        </w:numPr>
        <w:tabs>
          <w:tab w:val="clear" w:pos="360"/>
          <w:tab w:val="num" w:pos="426"/>
        </w:tabs>
        <w:spacing w:after="60"/>
        <w:ind w:left="426" w:hanging="426"/>
        <w:rPr>
          <w:rFonts w:cs="Arial"/>
        </w:rPr>
      </w:pPr>
      <w:r>
        <w:rPr>
          <w:rFonts w:cs="Arial"/>
        </w:rPr>
        <w:t>Conduct t</w:t>
      </w:r>
      <w:r w:rsidR="00E56EAA">
        <w:rPr>
          <w:rFonts w:cs="Arial"/>
        </w:rPr>
        <w:t>raining sessions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Evaluation</w:t>
      </w:r>
    </w:p>
    <w:p w:rsidR="00E56EAA" w:rsidRDefault="00E56EAA" w:rsidP="00E56EAA">
      <w:pPr>
        <w:numPr>
          <w:ilvl w:val="0"/>
          <w:numId w:val="4"/>
        </w:numPr>
        <w:tabs>
          <w:tab w:val="clear" w:pos="360"/>
          <w:tab w:val="num" w:pos="426"/>
        </w:tabs>
        <w:spacing w:after="60"/>
        <w:ind w:left="426" w:hanging="426"/>
        <w:rPr>
          <w:rFonts w:cs="Arial"/>
        </w:rPr>
      </w:pPr>
      <w:r>
        <w:rPr>
          <w:rFonts w:cs="Arial"/>
        </w:rPr>
        <w:t>Computer based training</w:t>
      </w:r>
    </w:p>
    <w:p w:rsidR="00E56EAA" w:rsidRDefault="00E56EAA" w:rsidP="00E56EAA">
      <w:pPr>
        <w:numPr>
          <w:ilvl w:val="0"/>
          <w:numId w:val="4"/>
        </w:numPr>
        <w:tabs>
          <w:tab w:val="clear" w:pos="360"/>
          <w:tab w:val="num" w:pos="426"/>
        </w:tabs>
        <w:spacing w:after="60"/>
        <w:ind w:left="426" w:hanging="426"/>
        <w:rPr>
          <w:rFonts w:cs="Arial"/>
        </w:rPr>
      </w:pPr>
      <w:r>
        <w:rPr>
          <w:rFonts w:cs="Arial"/>
        </w:rPr>
        <w:t>Interactive facilitation</w:t>
      </w:r>
    </w:p>
    <w:p w:rsidR="00E56EAA" w:rsidRDefault="00E56EAA" w:rsidP="00E56EAA">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56EAA" w:rsidTr="00A920F7">
        <w:tc>
          <w:tcPr>
            <w:tcW w:w="4917"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rPr>
                <w:rFonts w:cs="Arial"/>
                <w:b/>
              </w:rPr>
            </w:pPr>
            <w:r>
              <w:rPr>
                <w:rFonts w:cs="Arial"/>
                <w:b/>
              </w:rPr>
              <w:t>Learning Outcomes</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Tutorial Creation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1,2</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 xml:space="preserve">Teach </w:t>
            </w:r>
            <w:r w:rsidR="00144C4B">
              <w:rPr>
                <w:rFonts w:cs="Arial"/>
              </w:rPr>
              <w:t>and evaluate a lesson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144C4B" w:rsidP="00A920F7">
            <w:pPr>
              <w:pStyle w:val="BodyTextIndent"/>
              <w:spacing w:after="0"/>
              <w:ind w:left="0"/>
              <w:rPr>
                <w:rFonts w:cs="Arial"/>
              </w:rPr>
            </w:pPr>
            <w:r>
              <w:rPr>
                <w:rFonts w:cs="Arial"/>
              </w:rPr>
              <w:t>3, 4, 5</w:t>
            </w:r>
          </w:p>
        </w:tc>
      </w:tr>
    </w:tbl>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5411F" w15:done="0"/>
  <w15:commentEx w15:paraId="4390033A" w15:done="0"/>
  <w15:commentEx w15:paraId="06D88E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316" w:rsidRDefault="00D55316" w:rsidP="00C23FA8">
      <w:pPr>
        <w:spacing w:line="240" w:lineRule="auto"/>
      </w:pPr>
      <w:r>
        <w:separator/>
      </w:r>
    </w:p>
  </w:endnote>
  <w:endnote w:type="continuationSeparator" w:id="0">
    <w:p w:rsidR="00D55316" w:rsidRDefault="00D55316"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316" w:rsidRDefault="00D55316" w:rsidP="00C23FA8">
      <w:pPr>
        <w:spacing w:line="240" w:lineRule="auto"/>
      </w:pPr>
      <w:r>
        <w:separator/>
      </w:r>
    </w:p>
  </w:footnote>
  <w:footnote w:type="continuationSeparator" w:id="0">
    <w:p w:rsidR="00D55316" w:rsidRDefault="00D55316"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74D7015"/>
    <w:multiLevelType w:val="hybridMultilevel"/>
    <w:tmpl w:val="51127A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ECC0DCA"/>
    <w:multiLevelType w:val="multilevel"/>
    <w:tmpl w:val="874CE51A"/>
    <w:lvl w:ilvl="0">
      <w:start w:val="1"/>
      <w:numFmt w:val="decimal"/>
      <w:pStyle w:val="Style7"/>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56EAA"/>
    <w:rsid w:val="000B4ADC"/>
    <w:rsid w:val="00144C4B"/>
    <w:rsid w:val="001E160A"/>
    <w:rsid w:val="002D5714"/>
    <w:rsid w:val="003F369B"/>
    <w:rsid w:val="00582006"/>
    <w:rsid w:val="00890A38"/>
    <w:rsid w:val="008C7199"/>
    <w:rsid w:val="0090155F"/>
    <w:rsid w:val="00A569B3"/>
    <w:rsid w:val="00B5169F"/>
    <w:rsid w:val="00C23FA8"/>
    <w:rsid w:val="00CE3663"/>
    <w:rsid w:val="00CF6940"/>
    <w:rsid w:val="00D027D0"/>
    <w:rsid w:val="00D55316"/>
    <w:rsid w:val="00E56EA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A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56EA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56EA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56EA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E56EA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56EA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56EA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56EA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56EAA"/>
    <w:rPr>
      <w:rFonts w:ascii="Arial" w:eastAsia="Times New Roman" w:hAnsi="Arial" w:cs="Times New Roman"/>
      <w:sz w:val="20"/>
      <w:szCs w:val="20"/>
      <w:lang w:val="en-AU" w:eastAsia="ar-SA"/>
    </w:rPr>
  </w:style>
  <w:style w:type="paragraph" w:customStyle="1" w:styleId="Style7">
    <w:name w:val="Style7"/>
    <w:basedOn w:val="Normal"/>
    <w:rsid w:val="00E56EAA"/>
    <w:pPr>
      <w:numPr>
        <w:numId w:val="2"/>
      </w:numPr>
      <w:tabs>
        <w:tab w:val="left" w:pos="993"/>
        <w:tab w:val="left" w:pos="1843"/>
        <w:tab w:val="left" w:pos="3261"/>
        <w:tab w:val="right" w:leader="dot" w:pos="9071"/>
      </w:tabs>
      <w:suppressAutoHyphens w:val="0"/>
      <w:spacing w:line="240" w:lineRule="auto"/>
    </w:pPr>
    <w:rPr>
      <w:rFonts w:ascii="Times New Roman" w:hAnsi="Times New Roman"/>
      <w:sz w:val="24"/>
      <w:lang w:eastAsia="en-US"/>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pPr>
      <w:spacing w:line="240" w:lineRule="auto"/>
    </w:pPr>
  </w:style>
  <w:style w:type="character" w:customStyle="1" w:styleId="CommentTextChar">
    <w:name w:val="Comment Text Char"/>
    <w:basedOn w:val="DefaultParagraphFont"/>
    <w:link w:val="CommentText"/>
    <w:uiPriority w:val="99"/>
    <w:semiHidden/>
    <w:rsid w:val="00CF694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CF6940"/>
    <w:rPr>
      <w:b/>
      <w:bCs/>
    </w:rPr>
  </w:style>
  <w:style w:type="character" w:customStyle="1" w:styleId="CommentSubjectChar">
    <w:name w:val="Comment Subject Char"/>
    <w:basedOn w:val="CommentTextChar"/>
    <w:link w:val="CommentSubject"/>
    <w:uiPriority w:val="99"/>
    <w:semiHidden/>
    <w:rsid w:val="00CF694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CF69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94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Patricia Haden</cp:lastModifiedBy>
  <cp:revision>8</cp:revision>
  <dcterms:created xsi:type="dcterms:W3CDTF">2016-05-15T20:31:00Z</dcterms:created>
  <dcterms:modified xsi:type="dcterms:W3CDTF">2016-09-13T23:00:00Z</dcterms:modified>
</cp:coreProperties>
</file>