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6373"/>
      </w:tblGrid>
      <w:tr w:rsidR="00FB18EB" w:rsidRPr="00862FC9" w:rsidTr="00FB18EB">
        <w:trPr>
          <w:trHeight w:val="460"/>
          <w:jc w:val="center"/>
        </w:trPr>
        <w:tc>
          <w:tcPr>
            <w:tcW w:w="21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18EB" w:rsidRPr="00862FC9" w:rsidRDefault="00FB18EB" w:rsidP="00882F5B">
            <w:pPr>
              <w:rPr>
                <w:rFonts w:ascii="Calibri" w:eastAsia="Times New Roman" w:hAnsi="Calibri"/>
                <w:b/>
                <w:smallCaps/>
                <w:color w:val="0070C0"/>
                <w:szCs w:val="20"/>
                <w:lang w:val="en-NZ"/>
              </w:rPr>
            </w:pPr>
            <w:r w:rsidRPr="00862FC9">
              <w:rPr>
                <w:rFonts w:ascii="Calibri" w:eastAsia="Times New Roman" w:hAnsi="Calibri"/>
                <w:b/>
                <w:smallCaps/>
                <w:color w:val="0070C0"/>
                <w:szCs w:val="20"/>
                <w:lang w:val="en-NZ"/>
              </w:rPr>
              <w:t>Document Name</w:t>
            </w:r>
          </w:p>
        </w:tc>
        <w:tc>
          <w:tcPr>
            <w:tcW w:w="63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18EB" w:rsidRPr="00862FC9" w:rsidRDefault="00FB18EB" w:rsidP="00882F5B">
            <w:pPr>
              <w:rPr>
                <w:rFonts w:eastAsia="Times New Roman"/>
                <w:smallCaps/>
                <w:szCs w:val="20"/>
                <w:lang w:val="en-NZ"/>
              </w:rPr>
            </w:pPr>
            <w:r>
              <w:rPr>
                <w:rFonts w:eastAsia="Times New Roman"/>
                <w:smallCaps/>
                <w:szCs w:val="20"/>
                <w:lang w:val="en-NZ"/>
              </w:rPr>
              <w:t>Experiential Learning Definition</w:t>
            </w:r>
          </w:p>
        </w:tc>
      </w:tr>
      <w:tr w:rsidR="00FB18EB" w:rsidRPr="00862FC9" w:rsidTr="00FB18EB">
        <w:trPr>
          <w:trHeight w:val="460"/>
          <w:jc w:val="center"/>
        </w:trPr>
        <w:tc>
          <w:tcPr>
            <w:tcW w:w="21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18EB" w:rsidRPr="00862FC9" w:rsidRDefault="00FB18EB" w:rsidP="00882F5B">
            <w:pPr>
              <w:rPr>
                <w:rFonts w:ascii="Calibri" w:eastAsia="Times New Roman" w:hAnsi="Calibri"/>
                <w:b/>
                <w:smallCaps/>
                <w:color w:val="0070C0"/>
                <w:szCs w:val="20"/>
                <w:lang w:val="en-NZ"/>
              </w:rPr>
            </w:pPr>
            <w:r w:rsidRPr="00862FC9">
              <w:rPr>
                <w:rFonts w:ascii="Calibri" w:eastAsia="Times New Roman" w:hAnsi="Calibri"/>
                <w:b/>
                <w:smallCaps/>
                <w:color w:val="0070C0"/>
                <w:szCs w:val="20"/>
                <w:lang w:val="en-NZ"/>
              </w:rPr>
              <w:t>Description</w:t>
            </w:r>
          </w:p>
        </w:tc>
        <w:tc>
          <w:tcPr>
            <w:tcW w:w="63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18EB" w:rsidRPr="00862FC9" w:rsidRDefault="00FB18EB" w:rsidP="00882F5B">
            <w:pPr>
              <w:rPr>
                <w:rFonts w:eastAsia="Times New Roman"/>
                <w:szCs w:val="20"/>
                <w:lang w:val="en-NZ"/>
              </w:rPr>
            </w:pPr>
            <w:r>
              <w:rPr>
                <w:rFonts w:eastAsia="Times New Roman"/>
                <w:szCs w:val="20"/>
                <w:lang w:val="en-NZ"/>
              </w:rPr>
              <w:t xml:space="preserve">Explanation of the Experiential Learning definition adopted by </w:t>
            </w:r>
            <w:proofErr w:type="spellStart"/>
            <w:r>
              <w:rPr>
                <w:rFonts w:eastAsia="Times New Roman"/>
                <w:szCs w:val="20"/>
                <w:lang w:val="en-NZ"/>
              </w:rPr>
              <w:t>Otago</w:t>
            </w:r>
            <w:proofErr w:type="spellEnd"/>
            <w:r>
              <w:rPr>
                <w:rFonts w:eastAsia="Times New Roman"/>
                <w:szCs w:val="20"/>
                <w:lang w:val="en-NZ"/>
              </w:rPr>
              <w:t xml:space="preserve"> Polytechnic</w:t>
            </w:r>
          </w:p>
        </w:tc>
      </w:tr>
      <w:tr w:rsidR="00FB18EB" w:rsidRPr="00862FC9" w:rsidTr="00FB18EB">
        <w:trPr>
          <w:trHeight w:val="460"/>
          <w:jc w:val="center"/>
        </w:trPr>
        <w:tc>
          <w:tcPr>
            <w:tcW w:w="21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18EB" w:rsidRPr="00862FC9" w:rsidRDefault="00FB18EB" w:rsidP="00882F5B">
            <w:pPr>
              <w:rPr>
                <w:rFonts w:ascii="Calibri" w:eastAsia="Times New Roman" w:hAnsi="Calibri"/>
                <w:b/>
                <w:smallCaps/>
                <w:color w:val="0070C0"/>
                <w:szCs w:val="20"/>
                <w:lang w:val="en-NZ"/>
              </w:rPr>
            </w:pPr>
            <w:r w:rsidRPr="00862FC9">
              <w:rPr>
                <w:rFonts w:ascii="Calibri" w:eastAsia="Times New Roman" w:hAnsi="Calibri"/>
                <w:b/>
                <w:smallCaps/>
                <w:color w:val="0070C0"/>
                <w:szCs w:val="20"/>
                <w:lang w:val="en-NZ"/>
              </w:rPr>
              <w:t>Purpose</w:t>
            </w:r>
          </w:p>
        </w:tc>
        <w:tc>
          <w:tcPr>
            <w:tcW w:w="63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18EB" w:rsidRPr="00862FC9" w:rsidRDefault="00FB18EB" w:rsidP="00FB18EB">
            <w:pPr>
              <w:rPr>
                <w:rFonts w:cs="Cambria"/>
                <w:szCs w:val="20"/>
              </w:rPr>
            </w:pPr>
            <w:r>
              <w:rPr>
                <w:rFonts w:cs="Cambria"/>
                <w:szCs w:val="20"/>
              </w:rPr>
              <w:t xml:space="preserve">To define Experiential Learning as it applies to </w:t>
            </w:r>
            <w:proofErr w:type="spellStart"/>
            <w:r>
              <w:rPr>
                <w:rFonts w:cs="Cambria"/>
                <w:szCs w:val="20"/>
              </w:rPr>
              <w:t>Otago</w:t>
            </w:r>
            <w:proofErr w:type="spellEnd"/>
            <w:r>
              <w:rPr>
                <w:rFonts w:cs="Cambria"/>
                <w:szCs w:val="20"/>
              </w:rPr>
              <w:t xml:space="preserve"> Polytechnic</w:t>
            </w:r>
          </w:p>
        </w:tc>
      </w:tr>
      <w:tr w:rsidR="00FB18EB" w:rsidRPr="00862FC9" w:rsidTr="00FB18EB">
        <w:trPr>
          <w:trHeight w:val="460"/>
          <w:jc w:val="center"/>
        </w:trPr>
        <w:tc>
          <w:tcPr>
            <w:tcW w:w="21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18EB" w:rsidRPr="00862FC9" w:rsidRDefault="00FB18EB" w:rsidP="00882F5B">
            <w:pPr>
              <w:rPr>
                <w:rFonts w:ascii="Calibri" w:eastAsia="Times New Roman" w:hAnsi="Calibri"/>
                <w:b/>
                <w:smallCaps/>
                <w:color w:val="0070C0"/>
                <w:szCs w:val="20"/>
                <w:lang w:val="en-NZ"/>
              </w:rPr>
            </w:pPr>
            <w:r w:rsidRPr="00862FC9">
              <w:rPr>
                <w:rFonts w:ascii="Calibri" w:eastAsia="Times New Roman" w:hAnsi="Calibri"/>
                <w:b/>
                <w:smallCaps/>
                <w:color w:val="0070C0"/>
                <w:szCs w:val="20"/>
                <w:lang w:val="en-NZ"/>
              </w:rPr>
              <w:t>Audience</w:t>
            </w:r>
          </w:p>
        </w:tc>
        <w:tc>
          <w:tcPr>
            <w:tcW w:w="6373" w:type="dxa"/>
            <w:tcBorders>
              <w:top w:val="single" w:sz="4" w:space="0" w:color="auto"/>
              <w:left w:val="single" w:sz="4" w:space="0" w:color="auto"/>
              <w:bottom w:val="single" w:sz="4" w:space="0" w:color="auto"/>
              <w:right w:val="single" w:sz="4" w:space="0" w:color="auto"/>
            </w:tcBorders>
            <w:shd w:val="clear" w:color="auto" w:fill="auto"/>
            <w:vAlign w:val="center"/>
          </w:tcPr>
          <w:p w:rsidR="00FB18EB" w:rsidRPr="00862FC9" w:rsidRDefault="00FB18EB" w:rsidP="00882F5B">
            <w:pPr>
              <w:rPr>
                <w:rFonts w:cs="Cambria"/>
                <w:szCs w:val="20"/>
              </w:rPr>
            </w:pPr>
            <w:r>
              <w:rPr>
                <w:rFonts w:cs="Cambria"/>
                <w:szCs w:val="20"/>
              </w:rPr>
              <w:t>All staff</w:t>
            </w:r>
          </w:p>
        </w:tc>
      </w:tr>
      <w:tr w:rsidR="00FB18EB" w:rsidRPr="00862FC9" w:rsidTr="00FB18EB">
        <w:trPr>
          <w:trHeight w:val="460"/>
          <w:jc w:val="center"/>
        </w:trPr>
        <w:tc>
          <w:tcPr>
            <w:tcW w:w="21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18EB" w:rsidRPr="00862FC9" w:rsidRDefault="00FB18EB" w:rsidP="00882F5B">
            <w:pPr>
              <w:rPr>
                <w:rFonts w:ascii="Calibri" w:eastAsia="Times New Roman" w:hAnsi="Calibri"/>
                <w:b/>
                <w:smallCaps/>
                <w:color w:val="0070C0"/>
                <w:szCs w:val="20"/>
                <w:lang w:val="en-NZ"/>
              </w:rPr>
            </w:pPr>
            <w:r w:rsidRPr="00862FC9">
              <w:rPr>
                <w:rFonts w:ascii="Calibri" w:eastAsia="Times New Roman" w:hAnsi="Calibri"/>
                <w:b/>
                <w:smallCaps/>
                <w:color w:val="0070C0"/>
                <w:szCs w:val="20"/>
                <w:lang w:val="en-NZ"/>
              </w:rPr>
              <w:t>Owner</w:t>
            </w:r>
          </w:p>
        </w:tc>
        <w:tc>
          <w:tcPr>
            <w:tcW w:w="6373" w:type="dxa"/>
            <w:tcBorders>
              <w:top w:val="single" w:sz="4" w:space="0" w:color="auto"/>
              <w:left w:val="single" w:sz="4" w:space="0" w:color="auto"/>
              <w:bottom w:val="single" w:sz="4" w:space="0" w:color="auto"/>
              <w:right w:val="single" w:sz="4" w:space="0" w:color="auto"/>
            </w:tcBorders>
            <w:shd w:val="clear" w:color="auto" w:fill="auto"/>
            <w:vAlign w:val="center"/>
          </w:tcPr>
          <w:p w:rsidR="00FB18EB" w:rsidRPr="00862FC9" w:rsidRDefault="00FB18EB" w:rsidP="00882F5B">
            <w:pPr>
              <w:rPr>
                <w:rFonts w:cs="Cambria"/>
                <w:szCs w:val="20"/>
              </w:rPr>
            </w:pPr>
            <w:r>
              <w:rPr>
                <w:rFonts w:cs="Cambria"/>
                <w:szCs w:val="20"/>
              </w:rPr>
              <w:t>Learning and Teaching</w:t>
            </w:r>
          </w:p>
        </w:tc>
      </w:tr>
      <w:tr w:rsidR="00FB18EB" w:rsidRPr="00862FC9" w:rsidTr="00FB18EB">
        <w:trPr>
          <w:trHeight w:val="460"/>
          <w:jc w:val="center"/>
        </w:trPr>
        <w:tc>
          <w:tcPr>
            <w:tcW w:w="21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18EB" w:rsidRPr="00862FC9" w:rsidRDefault="00FB18EB" w:rsidP="00882F5B">
            <w:pPr>
              <w:rPr>
                <w:rFonts w:ascii="Calibri" w:eastAsia="Times New Roman" w:hAnsi="Calibri"/>
                <w:b/>
                <w:smallCaps/>
                <w:color w:val="0070C0"/>
                <w:szCs w:val="20"/>
                <w:lang w:val="en-NZ"/>
              </w:rPr>
            </w:pPr>
            <w:r w:rsidRPr="00862FC9">
              <w:rPr>
                <w:rFonts w:ascii="Calibri" w:eastAsia="Times New Roman" w:hAnsi="Calibri"/>
                <w:b/>
                <w:smallCaps/>
                <w:color w:val="0070C0"/>
                <w:szCs w:val="20"/>
                <w:lang w:val="en-NZ"/>
              </w:rPr>
              <w:t>Last Reviewed</w:t>
            </w:r>
          </w:p>
        </w:tc>
        <w:tc>
          <w:tcPr>
            <w:tcW w:w="6373" w:type="dxa"/>
            <w:tcBorders>
              <w:top w:val="single" w:sz="4" w:space="0" w:color="auto"/>
              <w:left w:val="single" w:sz="4" w:space="0" w:color="auto"/>
              <w:bottom w:val="single" w:sz="4" w:space="0" w:color="auto"/>
              <w:right w:val="single" w:sz="4" w:space="0" w:color="auto"/>
            </w:tcBorders>
            <w:shd w:val="clear" w:color="auto" w:fill="auto"/>
            <w:vAlign w:val="center"/>
          </w:tcPr>
          <w:p w:rsidR="00FB18EB" w:rsidRDefault="00FB18EB" w:rsidP="00882F5B">
            <w:pPr>
              <w:rPr>
                <w:rFonts w:eastAsia="Times New Roman"/>
                <w:szCs w:val="20"/>
                <w:lang w:val="en-NZ"/>
              </w:rPr>
            </w:pPr>
          </w:p>
          <w:p w:rsidR="00FB18EB" w:rsidRPr="00862FC9" w:rsidRDefault="00FB18EB" w:rsidP="00882F5B">
            <w:pPr>
              <w:rPr>
                <w:rFonts w:eastAsia="Times New Roman"/>
                <w:szCs w:val="20"/>
                <w:lang w:val="en-NZ"/>
              </w:rPr>
            </w:pPr>
            <w:r>
              <w:rPr>
                <w:rFonts w:eastAsia="Times New Roman"/>
                <w:szCs w:val="20"/>
                <w:lang w:val="en-NZ"/>
              </w:rPr>
              <w:t>23 June 2015</w:t>
            </w:r>
          </w:p>
        </w:tc>
      </w:tr>
      <w:tr w:rsidR="00FB18EB" w:rsidRPr="00862FC9" w:rsidTr="00FB18EB">
        <w:trPr>
          <w:trHeight w:val="460"/>
          <w:jc w:val="center"/>
        </w:trPr>
        <w:tc>
          <w:tcPr>
            <w:tcW w:w="21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18EB" w:rsidRPr="00862FC9" w:rsidRDefault="00FB18EB" w:rsidP="00882F5B">
            <w:pPr>
              <w:rPr>
                <w:rFonts w:ascii="Calibri" w:eastAsia="Times New Roman" w:hAnsi="Calibri"/>
                <w:b/>
                <w:smallCaps/>
                <w:color w:val="0070C0"/>
                <w:szCs w:val="20"/>
                <w:lang w:val="en-NZ"/>
              </w:rPr>
            </w:pPr>
            <w:r w:rsidRPr="00862FC9">
              <w:rPr>
                <w:rFonts w:ascii="Calibri" w:eastAsia="Times New Roman" w:hAnsi="Calibri"/>
                <w:b/>
                <w:smallCaps/>
                <w:color w:val="0070C0"/>
                <w:szCs w:val="20"/>
                <w:lang w:val="en-NZ"/>
              </w:rPr>
              <w:t>Next Review</w:t>
            </w:r>
          </w:p>
        </w:tc>
        <w:tc>
          <w:tcPr>
            <w:tcW w:w="6373" w:type="dxa"/>
            <w:tcBorders>
              <w:top w:val="single" w:sz="4" w:space="0" w:color="auto"/>
              <w:left w:val="single" w:sz="4" w:space="0" w:color="auto"/>
              <w:bottom w:val="single" w:sz="4" w:space="0" w:color="auto"/>
              <w:right w:val="single" w:sz="4" w:space="0" w:color="auto"/>
            </w:tcBorders>
            <w:shd w:val="clear" w:color="auto" w:fill="auto"/>
            <w:vAlign w:val="center"/>
          </w:tcPr>
          <w:p w:rsidR="00FB18EB" w:rsidRPr="00862FC9" w:rsidRDefault="00FB18EB" w:rsidP="00882F5B">
            <w:pPr>
              <w:rPr>
                <w:rFonts w:eastAsia="Times New Roman"/>
                <w:szCs w:val="20"/>
                <w:lang w:val="en-NZ"/>
              </w:rPr>
            </w:pPr>
            <w:r>
              <w:rPr>
                <w:rFonts w:eastAsia="Times New Roman"/>
                <w:szCs w:val="20"/>
                <w:lang w:val="en-NZ"/>
              </w:rPr>
              <w:t>_</w:t>
            </w:r>
          </w:p>
        </w:tc>
      </w:tr>
      <w:tr w:rsidR="00FB18EB" w:rsidRPr="00862FC9" w:rsidTr="00FB18EB">
        <w:trPr>
          <w:trHeight w:val="460"/>
          <w:jc w:val="center"/>
        </w:trPr>
        <w:tc>
          <w:tcPr>
            <w:tcW w:w="21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18EB" w:rsidRPr="00862FC9" w:rsidRDefault="00FB18EB" w:rsidP="00882F5B">
            <w:pPr>
              <w:rPr>
                <w:rFonts w:ascii="Calibri" w:eastAsia="Times New Roman" w:hAnsi="Calibri"/>
                <w:b/>
                <w:smallCaps/>
                <w:color w:val="0070C0"/>
                <w:szCs w:val="20"/>
                <w:lang w:val="en-NZ"/>
              </w:rPr>
            </w:pPr>
            <w:r w:rsidRPr="00862FC9">
              <w:rPr>
                <w:rFonts w:ascii="Calibri" w:eastAsia="Times New Roman" w:hAnsi="Calibri"/>
                <w:b/>
                <w:smallCaps/>
                <w:color w:val="0070C0"/>
                <w:szCs w:val="20"/>
                <w:lang w:val="en-NZ"/>
              </w:rPr>
              <w:t>Location</w:t>
            </w:r>
          </w:p>
        </w:tc>
        <w:tc>
          <w:tcPr>
            <w:tcW w:w="63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18EB" w:rsidRPr="00FF6549" w:rsidRDefault="00FF6549" w:rsidP="00FF6549">
            <w:pPr>
              <w:pStyle w:val="Footer"/>
            </w:pPr>
            <w:r>
              <w:fldChar w:fldCharType="begin"/>
            </w:r>
            <w:r>
              <w:instrText xml:space="preserve"> FILENAME \p \* MERGEFORMAT </w:instrText>
            </w:r>
            <w:r>
              <w:fldChar w:fldCharType="separate"/>
            </w:r>
            <w:r>
              <w:rPr>
                <w:noProof/>
              </w:rPr>
              <w:t>J:\Shared\Organisation Projects\Designing for Learner Success\03-TEAMS\Learning and Teaching\Experiential Learning\FINAL_Experiential Learning Definition_ABapproved_23 6 15.docx</w:t>
            </w:r>
            <w:r>
              <w:rPr>
                <w:noProof/>
              </w:rPr>
              <w:fldChar w:fldCharType="end"/>
            </w:r>
            <w:bookmarkStart w:id="0" w:name="_GoBack"/>
            <w:bookmarkEnd w:id="0"/>
          </w:p>
        </w:tc>
      </w:tr>
    </w:tbl>
    <w:p w:rsidR="00FB18EB" w:rsidRDefault="00FB18EB">
      <w:pPr>
        <w:spacing w:after="200" w:line="276" w:lineRule="auto"/>
        <w:rPr>
          <w:rFonts w:asciiTheme="minorHAnsi" w:eastAsiaTheme="minorEastAsia" w:hAnsiTheme="minorHAnsi"/>
          <w:b/>
          <w:bCs/>
          <w:i/>
          <w:iCs/>
          <w:sz w:val="28"/>
          <w:szCs w:val="28"/>
          <w:lang w:val="en-NZ" w:eastAsia="zh-CN"/>
        </w:rPr>
      </w:pPr>
      <w:r>
        <w:rPr>
          <w:b/>
          <w:bCs/>
          <w:i/>
          <w:iCs/>
          <w:sz w:val="28"/>
          <w:szCs w:val="28"/>
        </w:rPr>
        <w:br w:type="page"/>
      </w:r>
    </w:p>
    <w:p w:rsidR="00890A38" w:rsidRPr="002E51BE" w:rsidRDefault="00A23750" w:rsidP="00944147">
      <w:pPr>
        <w:pStyle w:val="NoSpacing"/>
        <w:jc w:val="both"/>
        <w:rPr>
          <w:b/>
          <w:bCs/>
          <w:i/>
          <w:iCs/>
          <w:sz w:val="28"/>
          <w:szCs w:val="28"/>
        </w:rPr>
      </w:pPr>
      <w:r>
        <w:rPr>
          <w:b/>
          <w:bCs/>
          <w:i/>
          <w:iCs/>
          <w:sz w:val="28"/>
          <w:szCs w:val="28"/>
        </w:rPr>
        <w:lastRenderedPageBreak/>
        <w:t>D</w:t>
      </w:r>
      <w:r w:rsidR="007F741A">
        <w:rPr>
          <w:b/>
          <w:bCs/>
          <w:i/>
          <w:iCs/>
          <w:sz w:val="28"/>
          <w:szCs w:val="28"/>
        </w:rPr>
        <w:t xml:space="preserve">efinitions </w:t>
      </w:r>
      <w:r w:rsidR="005F48AC" w:rsidRPr="002E51BE">
        <w:rPr>
          <w:b/>
          <w:bCs/>
          <w:i/>
          <w:iCs/>
          <w:sz w:val="28"/>
          <w:szCs w:val="28"/>
        </w:rPr>
        <w:t xml:space="preserve">for OP </w:t>
      </w:r>
      <w:r w:rsidR="007F741A">
        <w:rPr>
          <w:b/>
          <w:bCs/>
          <w:i/>
          <w:iCs/>
          <w:sz w:val="28"/>
          <w:szCs w:val="28"/>
        </w:rPr>
        <w:t>(</w:t>
      </w:r>
      <w:r>
        <w:rPr>
          <w:b/>
          <w:bCs/>
          <w:i/>
          <w:iCs/>
          <w:sz w:val="28"/>
          <w:szCs w:val="28"/>
        </w:rPr>
        <w:t>to attach to L &amp; T Strategic Framework</w:t>
      </w:r>
      <w:r w:rsidR="007F741A">
        <w:rPr>
          <w:b/>
          <w:bCs/>
          <w:i/>
          <w:iCs/>
          <w:sz w:val="28"/>
          <w:szCs w:val="28"/>
        </w:rPr>
        <w:t>)</w:t>
      </w:r>
    </w:p>
    <w:p w:rsidR="005F48AC" w:rsidRPr="005F48AC" w:rsidRDefault="005F48AC" w:rsidP="00944147">
      <w:pPr>
        <w:pStyle w:val="NoSpacing"/>
        <w:jc w:val="both"/>
        <w:rPr>
          <w:sz w:val="28"/>
          <w:szCs w:val="28"/>
        </w:rPr>
      </w:pPr>
    </w:p>
    <w:p w:rsidR="005F48AC" w:rsidRDefault="005F48AC" w:rsidP="00944147">
      <w:pPr>
        <w:pStyle w:val="NoSpacing"/>
        <w:jc w:val="both"/>
        <w:rPr>
          <w:b/>
          <w:bCs/>
          <w:sz w:val="28"/>
          <w:szCs w:val="28"/>
        </w:rPr>
      </w:pPr>
      <w:r w:rsidRPr="005F48AC">
        <w:rPr>
          <w:b/>
          <w:bCs/>
          <w:sz w:val="28"/>
          <w:szCs w:val="28"/>
        </w:rPr>
        <w:t>Experiential Learning</w:t>
      </w:r>
    </w:p>
    <w:p w:rsidR="00FD300F" w:rsidRDefault="00FD300F" w:rsidP="00944147">
      <w:pPr>
        <w:pStyle w:val="NormalWeb"/>
        <w:spacing w:before="0" w:beforeAutospacing="0" w:after="0" w:afterAutospacing="0"/>
        <w:jc w:val="both"/>
        <w:rPr>
          <w:color w:val="000000"/>
        </w:rPr>
      </w:pPr>
    </w:p>
    <w:p w:rsidR="00EC297D" w:rsidRPr="00B73DC8" w:rsidRDefault="00EC297D" w:rsidP="00944147">
      <w:pPr>
        <w:pStyle w:val="NormalWeb"/>
        <w:spacing w:before="0" w:beforeAutospacing="0" w:after="0" w:afterAutospacing="0"/>
        <w:jc w:val="both"/>
        <w:rPr>
          <w:color w:val="000000"/>
        </w:rPr>
      </w:pPr>
    </w:p>
    <w:p w:rsidR="008F0DD7" w:rsidRPr="007845DA" w:rsidRDefault="008F0DD7" w:rsidP="00944147">
      <w:pPr>
        <w:pStyle w:val="NoSpacing"/>
        <w:tabs>
          <w:tab w:val="left" w:pos="1410"/>
        </w:tabs>
        <w:jc w:val="both"/>
        <w:rPr>
          <w:b/>
          <w:i/>
          <w:sz w:val="24"/>
          <w:szCs w:val="24"/>
        </w:rPr>
      </w:pPr>
      <w:r w:rsidRPr="007845DA">
        <w:rPr>
          <w:b/>
          <w:i/>
          <w:sz w:val="24"/>
          <w:szCs w:val="24"/>
        </w:rPr>
        <w:t>Definition</w:t>
      </w:r>
      <w:r w:rsidR="000B0D37">
        <w:rPr>
          <w:b/>
          <w:i/>
          <w:sz w:val="24"/>
          <w:szCs w:val="24"/>
        </w:rPr>
        <w:tab/>
      </w:r>
    </w:p>
    <w:p w:rsidR="005F4CB0" w:rsidRPr="007845DA" w:rsidRDefault="00FD300F" w:rsidP="00944147">
      <w:pPr>
        <w:pStyle w:val="NoSpacing"/>
        <w:jc w:val="both"/>
      </w:pPr>
      <w:r w:rsidRPr="007845DA">
        <w:t>Experiential learning is l</w:t>
      </w:r>
      <w:r w:rsidR="00F22721" w:rsidRPr="007845DA">
        <w:t>earning</w:t>
      </w:r>
      <w:r w:rsidR="00892B53" w:rsidRPr="007845DA">
        <w:t xml:space="preserve"> </w:t>
      </w:r>
      <w:r w:rsidR="0039325E" w:rsidRPr="007845DA">
        <w:t xml:space="preserve">through </w:t>
      </w:r>
      <w:r w:rsidR="003D5209" w:rsidRPr="007845DA">
        <w:rPr>
          <w:i/>
        </w:rPr>
        <w:t>reflecting</w:t>
      </w:r>
      <w:r w:rsidR="0039325E" w:rsidRPr="007845DA">
        <w:t xml:space="preserve"> on </w:t>
      </w:r>
      <w:r w:rsidR="00713E31" w:rsidRPr="007845DA">
        <w:t>experience</w:t>
      </w:r>
      <w:r w:rsidR="0039325E" w:rsidRPr="007845DA">
        <w:t xml:space="preserve"> </w:t>
      </w:r>
      <w:r w:rsidR="00713E31" w:rsidRPr="007845DA">
        <w:t>with</w:t>
      </w:r>
      <w:r w:rsidR="00506003" w:rsidRPr="007845DA">
        <w:t xml:space="preserve">in </w:t>
      </w:r>
      <w:r w:rsidR="00634235" w:rsidRPr="007845DA">
        <w:t xml:space="preserve">the context of programmes and courses, including the face-to-face activities, online activities, student-managed activities and authentic work experiences that have been designed to enable learning.  </w:t>
      </w:r>
    </w:p>
    <w:p w:rsidR="005F4CB0" w:rsidRDefault="005F4CB0" w:rsidP="00944147">
      <w:pPr>
        <w:pStyle w:val="NoSpacing"/>
        <w:jc w:val="both"/>
        <w:rPr>
          <w:sz w:val="28"/>
          <w:szCs w:val="28"/>
        </w:rPr>
      </w:pPr>
    </w:p>
    <w:p w:rsidR="00826A11" w:rsidRPr="007845DA" w:rsidRDefault="00826A11" w:rsidP="00944147">
      <w:pPr>
        <w:pStyle w:val="NoSpacing"/>
        <w:jc w:val="both"/>
        <w:rPr>
          <w:b/>
          <w:i/>
          <w:sz w:val="24"/>
          <w:szCs w:val="24"/>
          <w:lang w:val="en-US"/>
        </w:rPr>
      </w:pPr>
      <w:r w:rsidRPr="007845DA">
        <w:rPr>
          <w:b/>
          <w:i/>
          <w:sz w:val="24"/>
          <w:szCs w:val="24"/>
          <w:lang w:val="en-US"/>
        </w:rPr>
        <w:t xml:space="preserve">Further explanation: </w:t>
      </w:r>
    </w:p>
    <w:p w:rsidR="00826A11" w:rsidRPr="007845DA" w:rsidRDefault="00826A11" w:rsidP="00944147">
      <w:pPr>
        <w:pStyle w:val="NoSpacing"/>
        <w:jc w:val="both"/>
      </w:pPr>
      <w:r w:rsidRPr="007845DA">
        <w:t xml:space="preserve">Experiential learning experiences are </w:t>
      </w:r>
      <w:r w:rsidRPr="007845DA">
        <w:rPr>
          <w:i/>
        </w:rPr>
        <w:t xml:space="preserve">designed </w:t>
      </w:r>
      <w:r w:rsidRPr="007845DA">
        <w:t xml:space="preserve">to engage learners in an activity and to initiate the reflection process. </w:t>
      </w:r>
      <w:r w:rsidR="0035013B" w:rsidRPr="007845DA">
        <w:t xml:space="preserve">Learning takes place through a cycle whereby </w:t>
      </w:r>
      <w:r w:rsidRPr="007845DA">
        <w:t>learners reflect on the activity (think</w:t>
      </w:r>
      <w:r w:rsidR="00634235" w:rsidRPr="007845DA">
        <w:t xml:space="preserve"> about it; asking ‘what?’</w:t>
      </w:r>
      <w:r w:rsidRPr="007845DA">
        <w:t>), explore abstract concepts</w:t>
      </w:r>
      <w:r w:rsidR="00634235" w:rsidRPr="007845DA">
        <w:t xml:space="preserve"> (ideas, theories, beliefs; asking ‘so what?’</w:t>
      </w:r>
      <w:r w:rsidRPr="007845DA">
        <w:t>) and make connections between theory and the learner’s actual experiences (linking, correlations, relationships</w:t>
      </w:r>
      <w:r w:rsidR="00634235" w:rsidRPr="007845DA">
        <w:t>; asking ‘now what?’</w:t>
      </w:r>
      <w:r w:rsidRPr="007845DA">
        <w:t>) and apply this learning to new activities or work contexts (</w:t>
      </w:r>
      <w:r w:rsidR="00634235" w:rsidRPr="007845DA">
        <w:t xml:space="preserve">take </w:t>
      </w:r>
      <w:r w:rsidRPr="007845DA">
        <w:t xml:space="preserve">action). </w:t>
      </w:r>
    </w:p>
    <w:p w:rsidR="00826A11" w:rsidRPr="007845DA" w:rsidRDefault="00826A11" w:rsidP="00944147">
      <w:pPr>
        <w:pStyle w:val="NoSpacing"/>
        <w:jc w:val="both"/>
      </w:pPr>
    </w:p>
    <w:p w:rsidR="00826A11" w:rsidRDefault="00826A11" w:rsidP="00944147">
      <w:pPr>
        <w:pStyle w:val="NoSpacing"/>
        <w:jc w:val="both"/>
        <w:rPr>
          <w:rFonts w:cs="Helvetica"/>
          <w:color w:val="1C1C1C"/>
        </w:rPr>
      </w:pPr>
      <w:r w:rsidRPr="007845DA">
        <w:t xml:space="preserve">The experiential learning cycle encourages learners to think more deeply, </w:t>
      </w:r>
      <w:r w:rsidR="00634235" w:rsidRPr="007845DA">
        <w:t xml:space="preserve">reflect, </w:t>
      </w:r>
      <w:r w:rsidRPr="007845DA">
        <w:t xml:space="preserve">develop critical-thinking skills, transfer their learning into action and apply what they learned in one situation into another. </w:t>
      </w:r>
      <w:r w:rsidRPr="007845DA">
        <w:rPr>
          <w:rFonts w:cs="Helvetica"/>
          <w:color w:val="1C1C1C"/>
        </w:rPr>
        <w:t>Experiential learning happens through the learner’s reflection “in” and “on” experiences using analytic skills (investigation and questioning).  The cycle includes more than one reflection point.  It involves constant reflecting, reinforcing and re-examining to gain a deep understanding.  It can occur with or without facilitation by a teacher.</w:t>
      </w:r>
      <w:r w:rsidR="007845DA">
        <w:rPr>
          <w:rFonts w:cs="Helvetica"/>
          <w:color w:val="1C1C1C"/>
        </w:rPr>
        <w:t xml:space="preserve"> See diagram below.</w:t>
      </w:r>
    </w:p>
    <w:p w:rsidR="008014B4" w:rsidRDefault="008014B4" w:rsidP="00944147">
      <w:pPr>
        <w:pStyle w:val="NoSpacing"/>
        <w:jc w:val="both"/>
        <w:rPr>
          <w:rFonts w:cs="Helvetica"/>
          <w:color w:val="1C1C1C"/>
        </w:rPr>
      </w:pPr>
    </w:p>
    <w:p w:rsidR="007845DA" w:rsidRDefault="008014B4" w:rsidP="00944147">
      <w:pPr>
        <w:pStyle w:val="NoSpacing"/>
        <w:jc w:val="both"/>
        <w:rPr>
          <w:rFonts w:cs="Helvetica"/>
          <w:color w:val="1C1C1C"/>
        </w:rPr>
      </w:pPr>
      <w:r>
        <w:rPr>
          <w:rFonts w:cs="Helvetica"/>
          <w:noProof/>
          <w:color w:val="1C1C1C"/>
          <w:lang w:eastAsia="en-NZ"/>
        </w:rPr>
        <w:drawing>
          <wp:inline distT="0" distB="0" distL="0" distR="0">
            <wp:extent cx="5731510" cy="3794297"/>
            <wp:effectExtent l="0" t="0" r="2540" b="0"/>
            <wp:docPr id="4" name="Picture 4" descr="C:\Users\etumilty\Desktop\Experiential 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umilty\Desktop\Experiential Learn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94297"/>
                    </a:xfrm>
                    <a:prstGeom prst="rect">
                      <a:avLst/>
                    </a:prstGeom>
                    <a:noFill/>
                    <a:ln>
                      <a:noFill/>
                    </a:ln>
                  </pic:spPr>
                </pic:pic>
              </a:graphicData>
            </a:graphic>
          </wp:inline>
        </w:drawing>
      </w:r>
    </w:p>
    <w:p w:rsidR="00826A11" w:rsidRPr="008014B4" w:rsidRDefault="00C3413B" w:rsidP="00944147">
      <w:pPr>
        <w:pStyle w:val="NoSpacing"/>
        <w:jc w:val="both"/>
        <w:rPr>
          <w:i/>
          <w:sz w:val="20"/>
          <w:szCs w:val="20"/>
        </w:rPr>
      </w:pPr>
      <w:r w:rsidRPr="008014B4">
        <w:rPr>
          <w:rFonts w:cs="Helvetica"/>
          <w:i/>
          <w:color w:val="1C1C1C"/>
          <w:sz w:val="20"/>
          <w:szCs w:val="20"/>
        </w:rPr>
        <w:t>Lancaster, D. (2015) adapted from Kolb, D. (1984) and Driscoll, J.  (1994)</w:t>
      </w:r>
    </w:p>
    <w:p w:rsidR="00C3413B" w:rsidRDefault="00C3413B" w:rsidP="00944147">
      <w:pPr>
        <w:pStyle w:val="NoSpacing"/>
        <w:jc w:val="both"/>
      </w:pPr>
    </w:p>
    <w:p w:rsidR="00AC5454" w:rsidRDefault="00506003" w:rsidP="00944147">
      <w:pPr>
        <w:pStyle w:val="NoSpacing"/>
        <w:jc w:val="both"/>
        <w:rPr>
          <w:szCs w:val="24"/>
        </w:rPr>
      </w:pPr>
      <w:r w:rsidRPr="007845DA">
        <w:lastRenderedPageBreak/>
        <w:t xml:space="preserve">Learning through everyday experience is not enough; it is the </w:t>
      </w:r>
      <w:r w:rsidR="007845DA" w:rsidRPr="007845DA">
        <w:t>on-going</w:t>
      </w:r>
      <w:r w:rsidRPr="007845DA">
        <w:t xml:space="preserve"> reflective process of </w:t>
      </w:r>
      <w:r w:rsidR="00664A13" w:rsidRPr="007845DA">
        <w:t>multiple</w:t>
      </w:r>
      <w:r w:rsidR="0083122E" w:rsidRPr="007845DA">
        <w:t xml:space="preserve"> </w:t>
      </w:r>
      <w:r w:rsidR="00F22721" w:rsidRPr="007845DA">
        <w:t>cycl</w:t>
      </w:r>
      <w:r w:rsidR="0083122E" w:rsidRPr="007845DA">
        <w:t xml:space="preserve">es </w:t>
      </w:r>
      <w:r w:rsidR="00F22721" w:rsidRPr="007845DA">
        <w:t xml:space="preserve">of action, reflection and </w:t>
      </w:r>
      <w:r w:rsidR="00DF64A0" w:rsidRPr="007845DA">
        <w:t>taking action as a result of the reflection</w:t>
      </w:r>
      <w:r w:rsidRPr="007845DA">
        <w:t xml:space="preserve"> that facilitate</w:t>
      </w:r>
      <w:r w:rsidR="00596C0A" w:rsidRPr="007845DA">
        <w:t>s</w:t>
      </w:r>
      <w:r w:rsidRPr="007845DA">
        <w:t xml:space="preserve"> an individual’s learning.</w:t>
      </w:r>
      <w:r w:rsidR="003D5209" w:rsidRPr="007845DA">
        <w:t xml:space="preserve">  Through this process</w:t>
      </w:r>
      <w:r w:rsidR="005F4CB0" w:rsidRPr="007845DA">
        <w:t xml:space="preserve"> </w:t>
      </w:r>
      <w:r w:rsidR="003D5209" w:rsidRPr="007845DA">
        <w:t>learners will develop their own understandings and conclusions relevant to them.</w:t>
      </w:r>
      <w:r w:rsidRPr="007845DA">
        <w:t xml:space="preserve">  </w:t>
      </w:r>
      <w:r w:rsidR="00AC5454" w:rsidRPr="007845DA">
        <w:t>The learning will be personal to each learner</w:t>
      </w:r>
      <w:r w:rsidR="003D5209" w:rsidRPr="007845DA">
        <w:t xml:space="preserve"> and the teacher </w:t>
      </w:r>
      <w:r w:rsidR="0023118E" w:rsidRPr="007845DA">
        <w:t>cannot</w:t>
      </w:r>
      <w:r w:rsidR="003D5209" w:rsidRPr="007845DA">
        <w:t xml:space="preserve"> predict the learning an individual will take from the experience</w:t>
      </w:r>
      <w:r w:rsidR="00AC5454" w:rsidRPr="007845DA">
        <w:t>.</w:t>
      </w:r>
      <w:r w:rsidR="0023118E" w:rsidRPr="007845DA">
        <w:t xml:space="preserve"> Individuals may take very different messages from a single event.</w:t>
      </w:r>
      <w:r w:rsidR="007845DA" w:rsidRPr="007845DA">
        <w:t xml:space="preserve"> When students engage in </w:t>
      </w:r>
      <w:r w:rsidR="007845DA">
        <w:t>on-</w:t>
      </w:r>
      <w:r w:rsidR="007845DA" w:rsidRPr="007845DA">
        <w:t>going cycles of experience/activity, reflection, conceptual thinking and identification</w:t>
      </w:r>
      <w:r w:rsidR="007845DA">
        <w:rPr>
          <w:szCs w:val="24"/>
        </w:rPr>
        <w:t xml:space="preserve"> and application of learning their learning is enhanced.  See diagram below showing the repeated cycles of experience, reflection, conceptual thinking and identification and application of learning. </w:t>
      </w:r>
    </w:p>
    <w:p w:rsidR="00C3413B" w:rsidRDefault="00C3413B" w:rsidP="00944147">
      <w:pPr>
        <w:pStyle w:val="NoSpacing"/>
        <w:jc w:val="both"/>
        <w:rPr>
          <w:szCs w:val="24"/>
        </w:rPr>
      </w:pPr>
    </w:p>
    <w:p w:rsidR="00C3413B" w:rsidRDefault="00F737AC" w:rsidP="00944147">
      <w:pPr>
        <w:tabs>
          <w:tab w:val="left" w:pos="1735"/>
          <w:tab w:val="right" w:pos="7221"/>
        </w:tabs>
        <w:spacing w:line="264" w:lineRule="auto"/>
        <w:ind w:left="1735"/>
        <w:jc w:val="both"/>
        <w:rPr>
          <w:sz w:val="28"/>
          <w:szCs w:val="28"/>
        </w:rPr>
      </w:pPr>
      <w:r>
        <w:rPr>
          <w:rFonts w:cs="Arial"/>
        </w:rPr>
        <w:tab/>
      </w:r>
      <w:r>
        <w:rPr>
          <w:noProof/>
          <w:lang w:val="en-NZ" w:eastAsia="en-NZ"/>
        </w:rPr>
        <w:drawing>
          <wp:inline distT="0" distB="0" distL="0" distR="0" wp14:anchorId="6C1F770A" wp14:editId="76C15C0D">
            <wp:extent cx="4683470" cy="6640830"/>
            <wp:effectExtent l="0" t="0" r="3175" b="7620"/>
            <wp:docPr id="1" name="Picture 1" descr="C:\Users\sallyp\AppData\Local\Microsoft\Windows\INetCache\Content.Word\Experiential_Educa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lyp\AppData\Local\Microsoft\Windows\INetCache\Content.Word\Experiential_Education diagra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86014" cy="6644437"/>
                    </a:xfrm>
                    <a:prstGeom prst="rect">
                      <a:avLst/>
                    </a:prstGeom>
                    <a:noFill/>
                    <a:ln>
                      <a:noFill/>
                    </a:ln>
                  </pic:spPr>
                </pic:pic>
              </a:graphicData>
            </a:graphic>
          </wp:inline>
        </w:drawing>
      </w:r>
    </w:p>
    <w:p w:rsidR="00C3413B" w:rsidRPr="008014B4" w:rsidRDefault="00C3413B" w:rsidP="00944147">
      <w:pPr>
        <w:pStyle w:val="NoSpacing"/>
        <w:jc w:val="both"/>
        <w:rPr>
          <w:rFonts w:cs="Helvetica"/>
          <w:i/>
          <w:sz w:val="20"/>
          <w:szCs w:val="20"/>
        </w:rPr>
      </w:pPr>
      <w:r w:rsidRPr="008014B4">
        <w:rPr>
          <w:rFonts w:cs="Helvetica"/>
          <w:i/>
          <w:sz w:val="20"/>
          <w:szCs w:val="20"/>
        </w:rPr>
        <w:t>Law, B. (2006)</w:t>
      </w:r>
    </w:p>
    <w:p w:rsidR="00C3413B" w:rsidRDefault="00C3413B" w:rsidP="00944147">
      <w:pPr>
        <w:pStyle w:val="NoSpacing"/>
        <w:jc w:val="both"/>
        <w:rPr>
          <w:sz w:val="28"/>
          <w:szCs w:val="28"/>
        </w:rPr>
      </w:pPr>
    </w:p>
    <w:p w:rsidR="0039325E" w:rsidRPr="007845DA" w:rsidRDefault="00B73DC8" w:rsidP="00944147">
      <w:pPr>
        <w:pStyle w:val="NoSpacing"/>
        <w:jc w:val="both"/>
        <w:rPr>
          <w:rFonts w:ascii="Tahoma" w:hAnsi="Tahoma" w:cs="Tahoma"/>
        </w:rPr>
      </w:pPr>
      <w:r w:rsidRPr="007845DA">
        <w:t xml:space="preserve">A learning experience is a means to an end, not an end in itself. </w:t>
      </w:r>
      <w:r w:rsidR="0039325E" w:rsidRPr="007845DA">
        <w:t>The essence of effective experiential learning is that the entire process is centred on the learner and not the task</w:t>
      </w:r>
      <w:r w:rsidR="0023118E" w:rsidRPr="007845DA">
        <w:t>,</w:t>
      </w:r>
      <w:r w:rsidR="00AC5454" w:rsidRPr="007845DA">
        <w:t xml:space="preserve"> allowing the learner to derive meaning from an experience and developing the learner as an individual</w:t>
      </w:r>
      <w:r w:rsidR="0039325E" w:rsidRPr="007845DA">
        <w:t xml:space="preserve">. </w:t>
      </w:r>
    </w:p>
    <w:p w:rsidR="00BE3E77" w:rsidRDefault="00BE3E77" w:rsidP="00944147">
      <w:pPr>
        <w:pStyle w:val="NoSpacing"/>
        <w:jc w:val="both"/>
        <w:rPr>
          <w:sz w:val="28"/>
          <w:szCs w:val="28"/>
        </w:rPr>
      </w:pPr>
    </w:p>
    <w:p w:rsidR="00BE3E77" w:rsidRPr="007845DA" w:rsidRDefault="00596C0A" w:rsidP="00944147">
      <w:pPr>
        <w:pStyle w:val="NoSpacing"/>
        <w:jc w:val="both"/>
      </w:pPr>
      <w:r w:rsidRPr="007845DA">
        <w:t>Teachers can support experiential learning by</w:t>
      </w:r>
      <w:r w:rsidR="00BE3E77" w:rsidRPr="007845DA">
        <w:t>:</w:t>
      </w:r>
    </w:p>
    <w:p w:rsidR="00BE3E77" w:rsidRPr="007845DA" w:rsidRDefault="00596C0A" w:rsidP="00944147">
      <w:pPr>
        <w:pStyle w:val="NoSpacing"/>
        <w:numPr>
          <w:ilvl w:val="0"/>
          <w:numId w:val="8"/>
        </w:numPr>
        <w:jc w:val="both"/>
      </w:pPr>
      <w:r w:rsidRPr="007845DA">
        <w:t>creating</w:t>
      </w:r>
      <w:r w:rsidR="00BE3E77" w:rsidRPr="007845DA">
        <w:t xml:space="preserve"> an appropriate learning environment where learners are a able to undertake each element of the experiential learning cycle safely</w:t>
      </w:r>
      <w:r w:rsidR="00700B03" w:rsidRPr="007845DA">
        <w:t xml:space="preserve"> to develop reflection skills and critical thinking skills</w:t>
      </w:r>
    </w:p>
    <w:p w:rsidR="00BE3E77" w:rsidRPr="007845DA" w:rsidRDefault="00596C0A" w:rsidP="00944147">
      <w:pPr>
        <w:pStyle w:val="NoSpacing"/>
        <w:numPr>
          <w:ilvl w:val="0"/>
          <w:numId w:val="8"/>
        </w:numPr>
        <w:jc w:val="both"/>
      </w:pPr>
      <w:r w:rsidRPr="007845DA">
        <w:t>designing</w:t>
      </w:r>
      <w:r w:rsidR="00BE3E77" w:rsidRPr="007845DA">
        <w:t xml:space="preserve"> a meaningful experience</w:t>
      </w:r>
      <w:r w:rsidRPr="007845DA">
        <w:t xml:space="preserve"> (activity) </w:t>
      </w:r>
      <w:r w:rsidR="00BE3E77" w:rsidRPr="007845DA">
        <w:t>that will initiate the experiential learning process</w:t>
      </w:r>
    </w:p>
    <w:p w:rsidR="003C7433" w:rsidRPr="007845DA" w:rsidRDefault="00596C0A" w:rsidP="00944147">
      <w:pPr>
        <w:pStyle w:val="NoSpacing"/>
        <w:numPr>
          <w:ilvl w:val="0"/>
          <w:numId w:val="8"/>
        </w:numPr>
        <w:jc w:val="both"/>
      </w:pPr>
      <w:r w:rsidRPr="007845DA">
        <w:t>guiding thinking</w:t>
      </w:r>
      <w:r w:rsidR="003E6B8E">
        <w:t>, purposefully questioning</w:t>
      </w:r>
      <w:r w:rsidRPr="007845DA">
        <w:t xml:space="preserve"> and challenging</w:t>
      </w:r>
      <w:r w:rsidR="003C7433" w:rsidRPr="007845DA">
        <w:t xml:space="preserve"> learners’ thinking to develop understanding</w:t>
      </w:r>
    </w:p>
    <w:p w:rsidR="00DD63E5" w:rsidRPr="00172F7E" w:rsidRDefault="00596C0A" w:rsidP="00944147">
      <w:pPr>
        <w:pStyle w:val="NoSpacing"/>
        <w:numPr>
          <w:ilvl w:val="0"/>
          <w:numId w:val="8"/>
        </w:numPr>
        <w:jc w:val="both"/>
        <w:rPr>
          <w:rFonts w:cs="Helvetica"/>
          <w:i/>
          <w:color w:val="1C1C1C"/>
          <w:sz w:val="28"/>
          <w:szCs w:val="28"/>
        </w:rPr>
      </w:pPr>
      <w:r w:rsidRPr="007845DA">
        <w:t>ensuring</w:t>
      </w:r>
      <w:r w:rsidR="003C7433" w:rsidRPr="007845DA">
        <w:t xml:space="preserve"> that any conceptual thinking is progressed to meaningful conclusion and opportuni</w:t>
      </w:r>
      <w:r w:rsidR="00172F7E">
        <w:t>ties for improvement identified</w:t>
      </w:r>
    </w:p>
    <w:p w:rsidR="00172F7E" w:rsidRPr="00C97990" w:rsidRDefault="00172F7E" w:rsidP="00944147">
      <w:pPr>
        <w:pStyle w:val="NoSpacing"/>
        <w:numPr>
          <w:ilvl w:val="0"/>
          <w:numId w:val="8"/>
        </w:numPr>
        <w:jc w:val="both"/>
        <w:rPr>
          <w:rFonts w:cs="Helvetica"/>
          <w:i/>
          <w:sz w:val="28"/>
          <w:szCs w:val="28"/>
        </w:rPr>
      </w:pPr>
      <w:proofErr w:type="gramStart"/>
      <w:r w:rsidRPr="00C97990">
        <w:t>where</w:t>
      </w:r>
      <w:proofErr w:type="gramEnd"/>
      <w:r w:rsidRPr="00C97990">
        <w:t xml:space="preserve"> appropriate, ensuring opportunities for students to plan their own learning outcomes within specific courses such as electives and within specific assessments, e.g. learner managed projects.</w:t>
      </w:r>
    </w:p>
    <w:p w:rsidR="005862A3" w:rsidRDefault="005862A3" w:rsidP="00944147">
      <w:pPr>
        <w:pStyle w:val="NoSpacing"/>
        <w:ind w:left="420"/>
        <w:jc w:val="both"/>
        <w:rPr>
          <w:rFonts w:cs="Helvetica"/>
          <w:i/>
          <w:color w:val="1C1C1C"/>
          <w:sz w:val="28"/>
          <w:szCs w:val="28"/>
        </w:rPr>
      </w:pPr>
    </w:p>
    <w:p w:rsidR="005862A3" w:rsidRPr="005862A3" w:rsidRDefault="005862A3" w:rsidP="00944147">
      <w:pPr>
        <w:pStyle w:val="NoSpacing"/>
        <w:ind w:left="420"/>
        <w:jc w:val="both"/>
        <w:rPr>
          <w:rFonts w:cs="Helvetica"/>
          <w:i/>
          <w:color w:val="1C1C1C"/>
          <w:sz w:val="28"/>
          <w:szCs w:val="28"/>
        </w:rPr>
      </w:pPr>
    </w:p>
    <w:p w:rsidR="0081289F" w:rsidRDefault="00F27C02" w:rsidP="00944147">
      <w:pPr>
        <w:pStyle w:val="NoSpacing"/>
        <w:jc w:val="both"/>
        <w:rPr>
          <w:rFonts w:cs="Helvetica"/>
          <w:b/>
          <w:sz w:val="28"/>
          <w:szCs w:val="28"/>
        </w:rPr>
      </w:pPr>
      <w:r>
        <w:rPr>
          <w:rFonts w:cs="Helvetica"/>
          <w:b/>
          <w:sz w:val="28"/>
          <w:szCs w:val="28"/>
        </w:rPr>
        <w:t>Blended learning</w:t>
      </w:r>
    </w:p>
    <w:p w:rsidR="003E6B8E" w:rsidRDefault="003E6B8E" w:rsidP="00944147">
      <w:pPr>
        <w:pStyle w:val="NoSpacing"/>
        <w:jc w:val="both"/>
        <w:rPr>
          <w:rFonts w:cs="Helvetica"/>
          <w:b/>
          <w:sz w:val="28"/>
          <w:szCs w:val="28"/>
        </w:rPr>
      </w:pPr>
    </w:p>
    <w:p w:rsidR="003E6B8E" w:rsidRPr="003E6B8E" w:rsidRDefault="003E6B8E" w:rsidP="00944147">
      <w:pPr>
        <w:pStyle w:val="NoSpacing"/>
        <w:jc w:val="both"/>
        <w:rPr>
          <w:rFonts w:cs="Helvetica"/>
          <w:b/>
          <w:i/>
          <w:sz w:val="24"/>
          <w:szCs w:val="24"/>
        </w:rPr>
      </w:pPr>
      <w:r>
        <w:rPr>
          <w:rFonts w:cs="Helvetica"/>
          <w:b/>
          <w:i/>
          <w:sz w:val="24"/>
          <w:szCs w:val="24"/>
        </w:rPr>
        <w:t>Definition</w:t>
      </w:r>
    </w:p>
    <w:p w:rsidR="003E6B8E" w:rsidRPr="00212964" w:rsidRDefault="00E9313D" w:rsidP="00944147">
      <w:pPr>
        <w:pStyle w:val="Header"/>
        <w:jc w:val="both"/>
        <w:rPr>
          <w:rFonts w:asciiTheme="minorHAnsi" w:hAnsiTheme="minorHAnsi"/>
          <w:sz w:val="22"/>
        </w:rPr>
      </w:pPr>
      <w:r w:rsidRPr="00212964">
        <w:rPr>
          <w:rFonts w:asciiTheme="minorHAnsi" w:hAnsiTheme="minorHAnsi"/>
          <w:sz w:val="22"/>
        </w:rPr>
        <w:t>Learning through a</w:t>
      </w:r>
      <w:r w:rsidR="003E6B8E" w:rsidRPr="00212964">
        <w:rPr>
          <w:rFonts w:asciiTheme="minorHAnsi" w:hAnsiTheme="minorHAnsi"/>
          <w:sz w:val="22"/>
        </w:rPr>
        <w:t xml:space="preserve"> blend of modes including face-to-face</w:t>
      </w:r>
      <w:r w:rsidRPr="00212964">
        <w:rPr>
          <w:rFonts w:asciiTheme="minorHAnsi" w:hAnsiTheme="minorHAnsi"/>
          <w:sz w:val="22"/>
        </w:rPr>
        <w:t>, online</w:t>
      </w:r>
      <w:r w:rsidR="003E6B8E" w:rsidRPr="00212964">
        <w:rPr>
          <w:rFonts w:asciiTheme="minorHAnsi" w:hAnsiTheme="minorHAnsi"/>
          <w:sz w:val="22"/>
        </w:rPr>
        <w:t>, authentic work experiences and student-managed learning.</w:t>
      </w:r>
    </w:p>
    <w:p w:rsidR="0081289F" w:rsidRDefault="0081289F" w:rsidP="00944147">
      <w:pPr>
        <w:pStyle w:val="NoSpacing"/>
        <w:jc w:val="both"/>
        <w:rPr>
          <w:rFonts w:cs="Helvetica"/>
          <w:b/>
          <w:sz w:val="28"/>
          <w:szCs w:val="28"/>
        </w:rPr>
      </w:pPr>
    </w:p>
    <w:p w:rsidR="00E9313D" w:rsidRPr="00E9313D" w:rsidRDefault="00E9313D" w:rsidP="00944147">
      <w:pPr>
        <w:pStyle w:val="NoSpacing"/>
        <w:jc w:val="both"/>
        <w:rPr>
          <w:rFonts w:cs="Helvetica"/>
          <w:b/>
          <w:i/>
          <w:sz w:val="24"/>
          <w:szCs w:val="24"/>
        </w:rPr>
      </w:pPr>
      <w:r>
        <w:rPr>
          <w:rFonts w:cs="Helvetica"/>
          <w:b/>
          <w:i/>
          <w:sz w:val="24"/>
          <w:szCs w:val="24"/>
        </w:rPr>
        <w:t>Further explanation</w:t>
      </w:r>
    </w:p>
    <w:p w:rsidR="00FA1E1C" w:rsidRPr="00E9313D" w:rsidRDefault="00132204" w:rsidP="00944147">
      <w:pPr>
        <w:pStyle w:val="NoSpacing"/>
        <w:jc w:val="both"/>
        <w:rPr>
          <w:rFonts w:cs="Helvetica"/>
        </w:rPr>
      </w:pPr>
      <w:r w:rsidRPr="00E9313D">
        <w:rPr>
          <w:rFonts w:cs="Helvetica"/>
        </w:rPr>
        <w:t xml:space="preserve">All </w:t>
      </w:r>
      <w:proofErr w:type="spellStart"/>
      <w:r w:rsidRPr="00E9313D">
        <w:rPr>
          <w:rFonts w:cs="Helvetica"/>
        </w:rPr>
        <w:t>Otago</w:t>
      </w:r>
      <w:proofErr w:type="spellEnd"/>
      <w:r w:rsidRPr="00E9313D">
        <w:rPr>
          <w:rFonts w:cs="Helvetica"/>
        </w:rPr>
        <w:t xml:space="preserve"> </w:t>
      </w:r>
      <w:r w:rsidR="0074086D" w:rsidRPr="00E9313D">
        <w:rPr>
          <w:rFonts w:cs="Helvetica"/>
        </w:rPr>
        <w:t>Polytechnic on</w:t>
      </w:r>
      <w:r w:rsidRPr="00E9313D">
        <w:rPr>
          <w:rFonts w:cs="Helvetica"/>
        </w:rPr>
        <w:t>-campus programmes will be designed to</w:t>
      </w:r>
      <w:r w:rsidR="00B9757B" w:rsidRPr="00E9313D">
        <w:rPr>
          <w:rFonts w:cs="Helvetica"/>
        </w:rPr>
        <w:t xml:space="preserve"> ensure </w:t>
      </w:r>
      <w:r w:rsidR="00104E51" w:rsidRPr="00E9313D">
        <w:rPr>
          <w:rFonts w:cs="Helvetica"/>
        </w:rPr>
        <w:t>l</w:t>
      </w:r>
      <w:r w:rsidR="003C6B3F" w:rsidRPr="00E9313D">
        <w:rPr>
          <w:rFonts w:cs="Helvetica"/>
        </w:rPr>
        <w:t xml:space="preserve">earning </w:t>
      </w:r>
      <w:r w:rsidR="00B9757B" w:rsidRPr="00E9313D">
        <w:rPr>
          <w:rFonts w:cs="Helvetica"/>
        </w:rPr>
        <w:t xml:space="preserve">opportunities that </w:t>
      </w:r>
      <w:r w:rsidR="00B27154" w:rsidRPr="00E9313D">
        <w:rPr>
          <w:rFonts w:cs="Helvetica"/>
        </w:rPr>
        <w:t>blend face</w:t>
      </w:r>
      <w:r w:rsidR="003A60C5" w:rsidRPr="00E9313D">
        <w:rPr>
          <w:rFonts w:cs="Helvetica"/>
        </w:rPr>
        <w:t>-to-</w:t>
      </w:r>
      <w:r w:rsidR="003C6B3F" w:rsidRPr="00E9313D">
        <w:rPr>
          <w:rFonts w:cs="Helvetica"/>
        </w:rPr>
        <w:t xml:space="preserve">face learning, </w:t>
      </w:r>
      <w:r w:rsidR="00FA1E1C" w:rsidRPr="00E9313D">
        <w:rPr>
          <w:rFonts w:cs="Helvetica"/>
        </w:rPr>
        <w:t>on</w:t>
      </w:r>
      <w:r w:rsidR="00CF0D04" w:rsidRPr="00E9313D">
        <w:rPr>
          <w:rFonts w:cs="Helvetica"/>
        </w:rPr>
        <w:t>-</w:t>
      </w:r>
      <w:r w:rsidR="00FA1E1C" w:rsidRPr="00E9313D">
        <w:rPr>
          <w:rFonts w:cs="Helvetica"/>
        </w:rPr>
        <w:t xml:space="preserve">line </w:t>
      </w:r>
      <w:r w:rsidR="00E9313D" w:rsidRPr="00E9313D">
        <w:rPr>
          <w:rFonts w:cs="Helvetica"/>
        </w:rPr>
        <w:t xml:space="preserve">learning, </w:t>
      </w:r>
      <w:r w:rsidR="00FA1E1C" w:rsidRPr="00E9313D">
        <w:rPr>
          <w:rFonts w:cs="Helvetica"/>
        </w:rPr>
        <w:t>authentic work experience</w:t>
      </w:r>
      <w:r w:rsidR="00B9757B" w:rsidRPr="00E9313D">
        <w:rPr>
          <w:rFonts w:cs="Helvetica"/>
        </w:rPr>
        <w:t>s</w:t>
      </w:r>
      <w:r w:rsidR="005F4CB0" w:rsidRPr="00E9313D">
        <w:rPr>
          <w:rFonts w:cs="Helvetica"/>
        </w:rPr>
        <w:t xml:space="preserve"> </w:t>
      </w:r>
      <w:r w:rsidR="00E9313D" w:rsidRPr="00E9313D">
        <w:rPr>
          <w:rFonts w:cs="Helvetica"/>
        </w:rPr>
        <w:t>and student-managed learning</w:t>
      </w:r>
      <w:r w:rsidR="00FA1E1C" w:rsidRPr="00C225F0">
        <w:rPr>
          <w:rFonts w:cs="Helvetica"/>
        </w:rPr>
        <w:t>.</w:t>
      </w:r>
      <w:r w:rsidR="003C6B3F" w:rsidRPr="00C225F0">
        <w:rPr>
          <w:rFonts w:cs="Helvetica"/>
        </w:rPr>
        <w:t xml:space="preserve">  </w:t>
      </w:r>
      <w:r w:rsidR="003C6B3F" w:rsidRPr="00E9313D">
        <w:rPr>
          <w:rFonts w:cs="Helvetica"/>
        </w:rPr>
        <w:t xml:space="preserve">While programmes </w:t>
      </w:r>
      <w:r w:rsidR="00B9757B" w:rsidRPr="00E9313D">
        <w:rPr>
          <w:rFonts w:cs="Helvetica"/>
        </w:rPr>
        <w:t>must</w:t>
      </w:r>
      <w:r w:rsidR="003C6B3F" w:rsidRPr="00E9313D">
        <w:rPr>
          <w:rFonts w:cs="Helvetica"/>
        </w:rPr>
        <w:t xml:space="preserve"> </w:t>
      </w:r>
      <w:r w:rsidR="00E9313D" w:rsidRPr="00E9313D">
        <w:rPr>
          <w:rFonts w:cs="Helvetica"/>
        </w:rPr>
        <w:t>blend</w:t>
      </w:r>
      <w:r w:rsidR="003C6B3F" w:rsidRPr="00E9313D">
        <w:rPr>
          <w:rFonts w:cs="Helvetica"/>
        </w:rPr>
        <w:t xml:space="preserve"> the</w:t>
      </w:r>
      <w:r w:rsidR="0074086D" w:rsidRPr="00E9313D">
        <w:rPr>
          <w:rFonts w:cs="Helvetica"/>
        </w:rPr>
        <w:t>se</w:t>
      </w:r>
      <w:r w:rsidR="003C6B3F" w:rsidRPr="00E9313D">
        <w:rPr>
          <w:rFonts w:cs="Helvetica"/>
        </w:rPr>
        <w:t xml:space="preserve"> </w:t>
      </w:r>
      <w:r w:rsidR="00E9313D" w:rsidRPr="00E9313D">
        <w:rPr>
          <w:rFonts w:cs="Helvetica"/>
        </w:rPr>
        <w:t>four</w:t>
      </w:r>
      <w:r w:rsidR="003C6B3F" w:rsidRPr="00E9313D">
        <w:rPr>
          <w:rFonts w:cs="Helvetica"/>
        </w:rPr>
        <w:t xml:space="preserve"> </w:t>
      </w:r>
      <w:r w:rsidR="005C6AE6" w:rsidRPr="00E9313D">
        <w:rPr>
          <w:rFonts w:cs="Helvetica"/>
        </w:rPr>
        <w:t>modes</w:t>
      </w:r>
      <w:r w:rsidR="003C6B3F" w:rsidRPr="00E9313D">
        <w:rPr>
          <w:rFonts w:cs="Helvetica"/>
        </w:rPr>
        <w:t xml:space="preserve">, </w:t>
      </w:r>
      <w:r w:rsidR="00B9757B" w:rsidRPr="00E9313D">
        <w:rPr>
          <w:rFonts w:cs="Helvetica"/>
        </w:rPr>
        <w:t xml:space="preserve">individual courses may use </w:t>
      </w:r>
      <w:r w:rsidR="004116CE" w:rsidRPr="00E9313D">
        <w:rPr>
          <w:rFonts w:cs="Helvetica"/>
        </w:rPr>
        <w:t>single modes</w:t>
      </w:r>
      <w:r w:rsidR="00B9757B" w:rsidRPr="00E9313D">
        <w:rPr>
          <w:rFonts w:cs="Helvetica"/>
        </w:rPr>
        <w:t xml:space="preserve"> or a combination of </w:t>
      </w:r>
      <w:r w:rsidR="004116CE" w:rsidRPr="00E9313D">
        <w:rPr>
          <w:rFonts w:cs="Helvetica"/>
        </w:rPr>
        <w:t>modes</w:t>
      </w:r>
      <w:r w:rsidR="003A60C5" w:rsidRPr="00E9313D">
        <w:rPr>
          <w:rFonts w:cs="Helvetica"/>
        </w:rPr>
        <w:t xml:space="preserve"> </w:t>
      </w:r>
      <w:r w:rsidR="00E9313D" w:rsidRPr="00E9313D">
        <w:rPr>
          <w:rFonts w:cs="Helvetica"/>
        </w:rPr>
        <w:t>to best facilitate student learning within the course</w:t>
      </w:r>
      <w:r w:rsidR="00860FFB" w:rsidRPr="00E9313D">
        <w:rPr>
          <w:rFonts w:cs="Helvetica"/>
        </w:rPr>
        <w:t>.</w:t>
      </w:r>
      <w:r w:rsidR="00B9757B" w:rsidRPr="00E9313D">
        <w:rPr>
          <w:rFonts w:cs="Helvetica"/>
        </w:rPr>
        <w:t xml:space="preserve"> </w:t>
      </w:r>
      <w:r w:rsidR="00C225F0" w:rsidRPr="00C225F0">
        <w:rPr>
          <w:rFonts w:cs="Helvetica"/>
        </w:rPr>
        <w:t xml:space="preserve">All learning opportunities </w:t>
      </w:r>
      <w:r w:rsidR="00C225F0">
        <w:rPr>
          <w:rFonts w:cs="Helvetica"/>
        </w:rPr>
        <w:t>will</w:t>
      </w:r>
      <w:r w:rsidR="00C225F0" w:rsidRPr="00C225F0">
        <w:rPr>
          <w:rFonts w:cs="Helvetica"/>
        </w:rPr>
        <w:t xml:space="preserve"> be underpinned by experiential learning.</w:t>
      </w:r>
    </w:p>
    <w:p w:rsidR="00B17F06" w:rsidRPr="00E9313D" w:rsidRDefault="00B17F06" w:rsidP="00944147">
      <w:pPr>
        <w:pStyle w:val="NoSpacing"/>
        <w:jc w:val="both"/>
        <w:rPr>
          <w:rFonts w:cs="Helvetica"/>
        </w:rPr>
      </w:pPr>
    </w:p>
    <w:p w:rsidR="00FA1E1C" w:rsidRPr="00E9313D" w:rsidRDefault="00FA1E1C" w:rsidP="00944147">
      <w:pPr>
        <w:pStyle w:val="NoSpacing"/>
        <w:jc w:val="both"/>
        <w:rPr>
          <w:rFonts w:cs="Helvetica"/>
        </w:rPr>
      </w:pPr>
      <w:r w:rsidRPr="007B51BB">
        <w:rPr>
          <w:rFonts w:cs="Helvetica"/>
          <w:b/>
        </w:rPr>
        <w:t>Fac</w:t>
      </w:r>
      <w:r w:rsidR="00B17F06" w:rsidRPr="007B51BB">
        <w:rPr>
          <w:rFonts w:cs="Helvetica"/>
          <w:b/>
        </w:rPr>
        <w:t>e</w:t>
      </w:r>
      <w:r w:rsidR="003A60C5" w:rsidRPr="007B51BB">
        <w:rPr>
          <w:rFonts w:cs="Helvetica"/>
          <w:b/>
        </w:rPr>
        <w:t>-to-</w:t>
      </w:r>
      <w:r w:rsidRPr="007B51BB">
        <w:rPr>
          <w:rFonts w:cs="Helvetica"/>
          <w:b/>
        </w:rPr>
        <w:t>face</w:t>
      </w:r>
      <w:r w:rsidRPr="00E9313D">
        <w:rPr>
          <w:rFonts w:cs="Helvetica"/>
        </w:rPr>
        <w:t xml:space="preserve"> </w:t>
      </w:r>
      <w:r w:rsidR="00B17F06" w:rsidRPr="00E9313D">
        <w:rPr>
          <w:rFonts w:cs="Helvetica"/>
        </w:rPr>
        <w:t>learning is where students are physically present with others involved in the learning process.  For example</w:t>
      </w:r>
      <w:r w:rsidRPr="00E9313D">
        <w:rPr>
          <w:rFonts w:cs="Helvetica"/>
        </w:rPr>
        <w:t>:</w:t>
      </w:r>
    </w:p>
    <w:p w:rsidR="00B17F06" w:rsidRPr="00E9313D" w:rsidRDefault="00FA1E1C" w:rsidP="00944147">
      <w:pPr>
        <w:pStyle w:val="NoSpacing"/>
        <w:numPr>
          <w:ilvl w:val="0"/>
          <w:numId w:val="10"/>
        </w:numPr>
        <w:jc w:val="both"/>
        <w:rPr>
          <w:rFonts w:cs="Helvetica"/>
        </w:rPr>
      </w:pPr>
      <w:r w:rsidRPr="00E9313D">
        <w:rPr>
          <w:rFonts w:cs="Helvetica"/>
        </w:rPr>
        <w:t>classroom learning experiences</w:t>
      </w:r>
    </w:p>
    <w:p w:rsidR="00FA1E1C" w:rsidRPr="00E9313D" w:rsidRDefault="00B17F06" w:rsidP="00944147">
      <w:pPr>
        <w:pStyle w:val="NoSpacing"/>
        <w:numPr>
          <w:ilvl w:val="0"/>
          <w:numId w:val="10"/>
        </w:numPr>
        <w:jc w:val="both"/>
        <w:rPr>
          <w:rFonts w:cs="Helvetica"/>
        </w:rPr>
      </w:pPr>
      <w:r w:rsidRPr="00E9313D">
        <w:rPr>
          <w:rFonts w:cs="Helvetica"/>
        </w:rPr>
        <w:t>small group tutorials</w:t>
      </w:r>
    </w:p>
    <w:p w:rsidR="00B17F06" w:rsidRPr="00E9313D" w:rsidRDefault="00B17F06" w:rsidP="00944147">
      <w:pPr>
        <w:pStyle w:val="NoSpacing"/>
        <w:numPr>
          <w:ilvl w:val="0"/>
          <w:numId w:val="10"/>
        </w:numPr>
        <w:jc w:val="both"/>
        <w:rPr>
          <w:rFonts w:cs="Helvetica"/>
        </w:rPr>
      </w:pPr>
      <w:r w:rsidRPr="00E9313D">
        <w:rPr>
          <w:rFonts w:cs="Helvetica"/>
        </w:rPr>
        <w:t>laboratories</w:t>
      </w:r>
    </w:p>
    <w:p w:rsidR="00B9757B" w:rsidRPr="00E9313D" w:rsidRDefault="00B9757B" w:rsidP="00944147">
      <w:pPr>
        <w:pStyle w:val="NoSpacing"/>
        <w:numPr>
          <w:ilvl w:val="0"/>
          <w:numId w:val="10"/>
        </w:numPr>
        <w:jc w:val="both"/>
        <w:rPr>
          <w:rFonts w:cs="Helvetica"/>
        </w:rPr>
      </w:pPr>
      <w:r w:rsidRPr="00E9313D">
        <w:rPr>
          <w:rFonts w:cs="Helvetica"/>
        </w:rPr>
        <w:t>studios</w:t>
      </w:r>
    </w:p>
    <w:p w:rsidR="00B17F06" w:rsidRPr="00E9313D" w:rsidRDefault="00B17F06" w:rsidP="00944147">
      <w:pPr>
        <w:pStyle w:val="NoSpacing"/>
        <w:numPr>
          <w:ilvl w:val="0"/>
          <w:numId w:val="10"/>
        </w:numPr>
        <w:jc w:val="both"/>
        <w:rPr>
          <w:rFonts w:cs="Helvetica"/>
        </w:rPr>
      </w:pPr>
      <w:r w:rsidRPr="00E9313D">
        <w:rPr>
          <w:rFonts w:cs="Helvetica"/>
        </w:rPr>
        <w:t xml:space="preserve">community </w:t>
      </w:r>
      <w:r w:rsidR="004116CE" w:rsidRPr="00E9313D">
        <w:rPr>
          <w:rFonts w:cs="Helvetica"/>
        </w:rPr>
        <w:t>experiences</w:t>
      </w:r>
    </w:p>
    <w:p w:rsidR="00B17F06" w:rsidRPr="00E9313D" w:rsidRDefault="00E9313D" w:rsidP="00944147">
      <w:pPr>
        <w:pStyle w:val="NoSpacing"/>
        <w:numPr>
          <w:ilvl w:val="0"/>
          <w:numId w:val="10"/>
        </w:numPr>
        <w:jc w:val="both"/>
        <w:rPr>
          <w:rFonts w:cs="Helvetica"/>
        </w:rPr>
      </w:pPr>
      <w:r w:rsidRPr="00E9313D">
        <w:rPr>
          <w:rFonts w:cs="Helvetica"/>
        </w:rPr>
        <w:t xml:space="preserve">student </w:t>
      </w:r>
      <w:r w:rsidR="00B17F06" w:rsidRPr="00E9313D">
        <w:rPr>
          <w:rFonts w:cs="Helvetica"/>
        </w:rPr>
        <w:t xml:space="preserve">projects </w:t>
      </w:r>
    </w:p>
    <w:p w:rsidR="00B17F06" w:rsidRPr="00E9313D" w:rsidRDefault="00B17F06" w:rsidP="00944147">
      <w:pPr>
        <w:pStyle w:val="NoSpacing"/>
        <w:jc w:val="both"/>
        <w:rPr>
          <w:rFonts w:cs="Helvetica"/>
        </w:rPr>
      </w:pPr>
    </w:p>
    <w:p w:rsidR="00860FFB" w:rsidRPr="00E9313D" w:rsidRDefault="00B17F06" w:rsidP="00944147">
      <w:pPr>
        <w:pStyle w:val="NoSpacing"/>
        <w:jc w:val="both"/>
        <w:rPr>
          <w:rFonts w:cs="Helvetica"/>
        </w:rPr>
      </w:pPr>
      <w:r w:rsidRPr="007B51BB">
        <w:rPr>
          <w:rFonts w:cs="Helvetica"/>
          <w:b/>
        </w:rPr>
        <w:t>On-line</w:t>
      </w:r>
      <w:r w:rsidR="00B9757B" w:rsidRPr="00E9313D">
        <w:rPr>
          <w:rFonts w:cs="Helvetica"/>
        </w:rPr>
        <w:t xml:space="preserve"> learning </w:t>
      </w:r>
      <w:r w:rsidR="00E9313D" w:rsidRPr="00E9313D">
        <w:t xml:space="preserve">uses electronic technology to deliver learning materials and activities. Students can engage in online learning activities at the same time (synchronous), for example in online tutorials or discussion.  Student can engage with online activities in their own time (asynchronous), for example working through modules on Moodle, posting a blog or engaging in a discussion forum.  All courses have a Moodle shell through which students access any planned online learning activities. </w:t>
      </w:r>
    </w:p>
    <w:p w:rsidR="00860FFB" w:rsidRDefault="00860FFB" w:rsidP="00944147">
      <w:pPr>
        <w:pStyle w:val="NoSpacing"/>
        <w:ind w:left="720"/>
        <w:jc w:val="both"/>
        <w:rPr>
          <w:rFonts w:cs="Helvetica"/>
          <w:sz w:val="28"/>
          <w:szCs w:val="28"/>
        </w:rPr>
      </w:pPr>
    </w:p>
    <w:p w:rsidR="007B51BB" w:rsidRPr="007B51BB" w:rsidRDefault="007B51BB" w:rsidP="00944147">
      <w:pPr>
        <w:pStyle w:val="NoSpacing"/>
        <w:jc w:val="both"/>
        <w:rPr>
          <w:rFonts w:cs="Helvetica"/>
        </w:rPr>
      </w:pPr>
      <w:r w:rsidRPr="007B51BB">
        <w:rPr>
          <w:b/>
          <w:szCs w:val="24"/>
        </w:rPr>
        <w:lastRenderedPageBreak/>
        <w:t>Authentic work experiences</w:t>
      </w:r>
      <w:r>
        <w:rPr>
          <w:szCs w:val="24"/>
        </w:rPr>
        <w:t xml:space="preserve"> cover a wide range of learning opportunities focussed on work. These might be real work experiences or they might be interactive learning activities that have been designed to replicate as much as possible the tasks or activities or settings of real world work. In other words activities </w:t>
      </w:r>
      <w:r w:rsidRPr="007B51BB">
        <w:t xml:space="preserve">that are </w:t>
      </w:r>
      <w:r w:rsidR="00634235" w:rsidRPr="007B51BB">
        <w:t>designed to ‘feel’ like a real work place situation</w:t>
      </w:r>
      <w:r w:rsidRPr="007B51BB">
        <w:t>. Examples of authentic work experiences include one or more of the following:</w:t>
      </w:r>
      <w:r w:rsidR="00634235" w:rsidRPr="007B51BB">
        <w:rPr>
          <w:rFonts w:cs="Helvetica"/>
        </w:rPr>
        <w:t xml:space="preserve"> </w:t>
      </w:r>
    </w:p>
    <w:p w:rsidR="00E068AB" w:rsidRPr="007B51BB" w:rsidRDefault="003A60C5" w:rsidP="00944147">
      <w:pPr>
        <w:pStyle w:val="NoSpacing"/>
        <w:numPr>
          <w:ilvl w:val="0"/>
          <w:numId w:val="16"/>
        </w:numPr>
        <w:jc w:val="both"/>
        <w:rPr>
          <w:rFonts w:cs="Helvetica"/>
        </w:rPr>
      </w:pPr>
      <w:r w:rsidRPr="007B51BB">
        <w:rPr>
          <w:rFonts w:cs="Helvetica"/>
        </w:rPr>
        <w:t>S</w:t>
      </w:r>
      <w:r w:rsidR="00B9757B" w:rsidRPr="007B51BB">
        <w:rPr>
          <w:rFonts w:cs="Helvetica"/>
        </w:rPr>
        <w:t xml:space="preserve">upervised </w:t>
      </w:r>
      <w:r w:rsidR="0010038F" w:rsidRPr="007B51BB">
        <w:rPr>
          <w:rFonts w:cs="Helvetica"/>
        </w:rPr>
        <w:t>placements in workplaces</w:t>
      </w:r>
      <w:r w:rsidR="005C6AE6" w:rsidRPr="007B51BB">
        <w:rPr>
          <w:rFonts w:cs="Helvetica"/>
        </w:rPr>
        <w:t xml:space="preserve"> (for example in Health, Social </w:t>
      </w:r>
      <w:r w:rsidR="004116CE" w:rsidRPr="007B51BB">
        <w:rPr>
          <w:rFonts w:cs="Helvetica"/>
        </w:rPr>
        <w:t xml:space="preserve">Services </w:t>
      </w:r>
      <w:r w:rsidRPr="007B51BB">
        <w:rPr>
          <w:rFonts w:cs="Helvetica"/>
        </w:rPr>
        <w:t>or Engineering/</w:t>
      </w:r>
      <w:r w:rsidR="005C6AE6" w:rsidRPr="007B51BB">
        <w:rPr>
          <w:rFonts w:cs="Helvetica"/>
        </w:rPr>
        <w:t>Trades</w:t>
      </w:r>
      <w:r w:rsidR="004116CE" w:rsidRPr="007B51BB">
        <w:rPr>
          <w:rFonts w:cs="Helvetica"/>
        </w:rPr>
        <w:t xml:space="preserve"> programmes</w:t>
      </w:r>
      <w:r w:rsidR="005C6AE6" w:rsidRPr="007B51BB">
        <w:rPr>
          <w:rFonts w:cs="Helvetica"/>
        </w:rPr>
        <w:t>)</w:t>
      </w:r>
    </w:p>
    <w:p w:rsidR="005C6AE6" w:rsidRPr="007B51BB" w:rsidRDefault="003A60C5" w:rsidP="00944147">
      <w:pPr>
        <w:pStyle w:val="NoSpacing"/>
        <w:numPr>
          <w:ilvl w:val="0"/>
          <w:numId w:val="13"/>
        </w:numPr>
        <w:jc w:val="both"/>
        <w:rPr>
          <w:rFonts w:cs="Helvetica"/>
        </w:rPr>
      </w:pPr>
      <w:r w:rsidRPr="007B51BB">
        <w:rPr>
          <w:rFonts w:cs="Helvetica"/>
        </w:rPr>
        <w:t>I</w:t>
      </w:r>
      <w:r w:rsidR="005C6AE6" w:rsidRPr="007B51BB">
        <w:rPr>
          <w:rFonts w:cs="Helvetica"/>
        </w:rPr>
        <w:t>nternships</w:t>
      </w:r>
    </w:p>
    <w:p w:rsidR="00B9757B" w:rsidRPr="007B51BB" w:rsidRDefault="003A60C5" w:rsidP="00944147">
      <w:pPr>
        <w:pStyle w:val="NoSpacing"/>
        <w:numPr>
          <w:ilvl w:val="0"/>
          <w:numId w:val="13"/>
        </w:numPr>
        <w:jc w:val="both"/>
        <w:rPr>
          <w:rFonts w:cs="Helvetica"/>
        </w:rPr>
      </w:pPr>
      <w:r w:rsidRPr="007B51BB">
        <w:rPr>
          <w:rFonts w:cs="Helvetica"/>
        </w:rPr>
        <w:t>V</w:t>
      </w:r>
      <w:r w:rsidR="00B9757B" w:rsidRPr="007B51BB">
        <w:rPr>
          <w:rFonts w:cs="Helvetica"/>
        </w:rPr>
        <w:t>olunteer experiences in the community</w:t>
      </w:r>
      <w:r w:rsidR="005C6AE6" w:rsidRPr="007B51BB">
        <w:rPr>
          <w:rFonts w:cs="Helvetica"/>
        </w:rPr>
        <w:t xml:space="preserve"> (for example in Art or Occupational Health)</w:t>
      </w:r>
    </w:p>
    <w:p w:rsidR="004116CE" w:rsidRPr="007B51BB" w:rsidRDefault="000670E8" w:rsidP="00944147">
      <w:pPr>
        <w:pStyle w:val="NoSpacing"/>
        <w:numPr>
          <w:ilvl w:val="0"/>
          <w:numId w:val="13"/>
        </w:numPr>
        <w:jc w:val="both"/>
        <w:rPr>
          <w:rFonts w:cs="Helvetica"/>
        </w:rPr>
      </w:pPr>
      <w:r w:rsidRPr="007B51BB">
        <w:rPr>
          <w:rFonts w:cs="Helvetica"/>
        </w:rPr>
        <w:t>Industry projects (</w:t>
      </w:r>
      <w:r w:rsidR="007B51BB" w:rsidRPr="007B51BB">
        <w:rPr>
          <w:rFonts w:cs="Helvetica"/>
        </w:rPr>
        <w:t>for example</w:t>
      </w:r>
      <w:r w:rsidRPr="007B51BB">
        <w:rPr>
          <w:rFonts w:cs="Helvetica"/>
        </w:rPr>
        <w:t xml:space="preserve"> in </w:t>
      </w:r>
      <w:r w:rsidR="003A60C5" w:rsidRPr="007B51BB">
        <w:rPr>
          <w:rFonts w:cs="Helvetica"/>
        </w:rPr>
        <w:t>IT</w:t>
      </w:r>
      <w:r w:rsidRPr="007B51BB">
        <w:rPr>
          <w:rFonts w:cs="Helvetica"/>
        </w:rPr>
        <w:t xml:space="preserve"> and </w:t>
      </w:r>
      <w:r w:rsidR="003A60C5" w:rsidRPr="007B51BB">
        <w:rPr>
          <w:rFonts w:cs="Helvetica"/>
        </w:rPr>
        <w:t>Engineering)</w:t>
      </w:r>
    </w:p>
    <w:p w:rsidR="000670E8" w:rsidRPr="007B51BB" w:rsidRDefault="007B51BB" w:rsidP="00944147">
      <w:pPr>
        <w:pStyle w:val="NoSpacing"/>
        <w:numPr>
          <w:ilvl w:val="0"/>
          <w:numId w:val="13"/>
        </w:numPr>
        <w:jc w:val="both"/>
        <w:rPr>
          <w:rFonts w:cs="Helvetica"/>
        </w:rPr>
      </w:pPr>
      <w:r w:rsidRPr="007B51BB">
        <w:rPr>
          <w:rFonts w:cs="Helvetica"/>
        </w:rPr>
        <w:t>Work-based learning</w:t>
      </w:r>
      <w:r w:rsidR="000670E8" w:rsidRPr="007B51BB">
        <w:rPr>
          <w:rFonts w:cs="Helvetica"/>
        </w:rPr>
        <w:t xml:space="preserve"> (</w:t>
      </w:r>
      <w:r w:rsidRPr="007B51BB">
        <w:rPr>
          <w:rFonts w:cs="Helvetica"/>
        </w:rPr>
        <w:t>for example in Capable NZ</w:t>
      </w:r>
      <w:r w:rsidR="000670E8" w:rsidRPr="007B51BB">
        <w:rPr>
          <w:rFonts w:cs="Helvetica"/>
        </w:rPr>
        <w:t>)</w:t>
      </w:r>
    </w:p>
    <w:p w:rsidR="007B51BB" w:rsidRPr="007B51BB" w:rsidRDefault="007B51BB" w:rsidP="00944147">
      <w:pPr>
        <w:pStyle w:val="NoSpacing"/>
        <w:numPr>
          <w:ilvl w:val="0"/>
          <w:numId w:val="13"/>
        </w:numPr>
        <w:jc w:val="both"/>
        <w:rPr>
          <w:rFonts w:cs="Helvetica"/>
        </w:rPr>
      </w:pPr>
      <w:r w:rsidRPr="007B51BB">
        <w:rPr>
          <w:rFonts w:cs="Helvetica"/>
        </w:rPr>
        <w:t>Work place learning (for example in VET nursing)</w:t>
      </w:r>
    </w:p>
    <w:p w:rsidR="007B51BB" w:rsidRPr="007B51BB" w:rsidRDefault="007B51BB" w:rsidP="00944147">
      <w:pPr>
        <w:pStyle w:val="NoSpacing"/>
        <w:numPr>
          <w:ilvl w:val="0"/>
          <w:numId w:val="13"/>
        </w:numPr>
        <w:jc w:val="both"/>
        <w:rPr>
          <w:rFonts w:cs="Helvetica"/>
        </w:rPr>
      </w:pPr>
      <w:r w:rsidRPr="007B51BB">
        <w:rPr>
          <w:rFonts w:cs="Helvetica"/>
        </w:rPr>
        <w:t>Apprenticeships (for example in Carpentry, Electrical Technology)</w:t>
      </w:r>
    </w:p>
    <w:p w:rsidR="0010038F" w:rsidRPr="007B51BB" w:rsidRDefault="00C07B13" w:rsidP="00944147">
      <w:pPr>
        <w:pStyle w:val="NoSpacing"/>
        <w:numPr>
          <w:ilvl w:val="0"/>
          <w:numId w:val="13"/>
        </w:numPr>
        <w:jc w:val="both"/>
        <w:rPr>
          <w:rFonts w:cs="Helvetica"/>
        </w:rPr>
      </w:pPr>
      <w:r w:rsidRPr="007B51BB">
        <w:rPr>
          <w:rFonts w:cs="Helvetica"/>
        </w:rPr>
        <w:t xml:space="preserve">Student-delivered services </w:t>
      </w:r>
      <w:r w:rsidR="0010038F" w:rsidRPr="007B51BB">
        <w:rPr>
          <w:rFonts w:cs="Helvetica"/>
        </w:rPr>
        <w:t xml:space="preserve">at </w:t>
      </w:r>
      <w:proofErr w:type="spellStart"/>
      <w:r w:rsidR="0010038F" w:rsidRPr="007B51BB">
        <w:rPr>
          <w:rFonts w:cs="Helvetica"/>
        </w:rPr>
        <w:t>O</w:t>
      </w:r>
      <w:r w:rsidR="00B9757B" w:rsidRPr="007B51BB">
        <w:rPr>
          <w:rFonts w:cs="Helvetica"/>
        </w:rPr>
        <w:t>tago</w:t>
      </w:r>
      <w:proofErr w:type="spellEnd"/>
      <w:r w:rsidR="00B9757B" w:rsidRPr="007B51BB">
        <w:rPr>
          <w:rFonts w:cs="Helvetica"/>
        </w:rPr>
        <w:t xml:space="preserve"> </w:t>
      </w:r>
      <w:r w:rsidR="0010038F" w:rsidRPr="007B51BB">
        <w:rPr>
          <w:rFonts w:cs="Helvetica"/>
        </w:rPr>
        <w:t>P</w:t>
      </w:r>
      <w:r w:rsidR="00B9757B" w:rsidRPr="007B51BB">
        <w:rPr>
          <w:rFonts w:cs="Helvetica"/>
        </w:rPr>
        <w:t>olytechnic</w:t>
      </w:r>
      <w:r w:rsidR="0010038F" w:rsidRPr="007B51BB">
        <w:rPr>
          <w:rFonts w:cs="Helvetica"/>
        </w:rPr>
        <w:t xml:space="preserve"> (</w:t>
      </w:r>
      <w:proofErr w:type="spellStart"/>
      <w:r w:rsidR="0010038F" w:rsidRPr="007B51BB">
        <w:rPr>
          <w:rFonts w:cs="Helvetica"/>
        </w:rPr>
        <w:t>eg</w:t>
      </w:r>
      <w:proofErr w:type="spellEnd"/>
      <w:r w:rsidR="0010038F" w:rsidRPr="007B51BB">
        <w:rPr>
          <w:rFonts w:cs="Helvetica"/>
        </w:rPr>
        <w:t>. Kowhai Centre</w:t>
      </w:r>
      <w:r w:rsidR="004116CE" w:rsidRPr="007B51BB">
        <w:rPr>
          <w:rFonts w:cs="Helvetica"/>
        </w:rPr>
        <w:t xml:space="preserve"> for counselling students; </w:t>
      </w:r>
      <w:r w:rsidR="0010038F" w:rsidRPr="007B51BB">
        <w:rPr>
          <w:rFonts w:cs="Helvetica"/>
        </w:rPr>
        <w:t>house building</w:t>
      </w:r>
      <w:r w:rsidR="004116CE" w:rsidRPr="007B51BB">
        <w:rPr>
          <w:rFonts w:cs="Helvetica"/>
        </w:rPr>
        <w:t xml:space="preserve"> for carpentry students; </w:t>
      </w:r>
      <w:r w:rsidR="00B9757B" w:rsidRPr="007B51BB">
        <w:rPr>
          <w:rFonts w:cs="Helvetica"/>
        </w:rPr>
        <w:t>automotive workshops</w:t>
      </w:r>
      <w:r w:rsidR="004116CE" w:rsidRPr="007B51BB">
        <w:rPr>
          <w:rFonts w:cs="Helvetica"/>
        </w:rPr>
        <w:t xml:space="preserve"> for automotive engineering students; </w:t>
      </w:r>
      <w:r w:rsidR="003C6B3F" w:rsidRPr="007B51BB">
        <w:rPr>
          <w:rFonts w:cs="Helvetica"/>
        </w:rPr>
        <w:t>Technique</w:t>
      </w:r>
      <w:r w:rsidR="004116CE" w:rsidRPr="007B51BB">
        <w:rPr>
          <w:rFonts w:cs="Helvetica"/>
        </w:rPr>
        <w:t xml:space="preserve">, and other OP restaurants and cafes for cookery, hospitality and culinary arts students; </w:t>
      </w:r>
      <w:r w:rsidR="00B9757B" w:rsidRPr="007B51BB">
        <w:rPr>
          <w:rFonts w:cs="Helvetica"/>
        </w:rPr>
        <w:t xml:space="preserve"> </w:t>
      </w:r>
      <w:r w:rsidRPr="007B51BB">
        <w:rPr>
          <w:rFonts w:cs="Helvetica"/>
        </w:rPr>
        <w:t>gardens and nurseries for horticulture; and landscaping projects for internal and external clients)</w:t>
      </w:r>
      <w:r w:rsidR="004116CE" w:rsidRPr="007B51BB">
        <w:rPr>
          <w:rFonts w:cs="Helvetica"/>
        </w:rPr>
        <w:t>.</w:t>
      </w:r>
    </w:p>
    <w:p w:rsidR="00C07B13" w:rsidRPr="007B51BB" w:rsidRDefault="00227110" w:rsidP="00944147">
      <w:pPr>
        <w:pStyle w:val="NoSpacing"/>
        <w:numPr>
          <w:ilvl w:val="0"/>
          <w:numId w:val="13"/>
        </w:numPr>
        <w:jc w:val="both"/>
        <w:rPr>
          <w:rFonts w:cs="Helvetica"/>
        </w:rPr>
      </w:pPr>
      <w:r>
        <w:rPr>
          <w:rFonts w:cs="Helvetica"/>
        </w:rPr>
        <w:t xml:space="preserve">Simulations, </w:t>
      </w:r>
      <w:r w:rsidR="00C07B13" w:rsidRPr="007B51BB">
        <w:rPr>
          <w:rFonts w:cs="Helvetica"/>
        </w:rPr>
        <w:t xml:space="preserve">role plays </w:t>
      </w:r>
      <w:r>
        <w:rPr>
          <w:rFonts w:cs="Helvetica"/>
        </w:rPr>
        <w:t xml:space="preserve">and case studies (for example in health, </w:t>
      </w:r>
      <w:r w:rsidR="00C07B13" w:rsidRPr="007B51BB">
        <w:rPr>
          <w:rFonts w:cs="Helvetica"/>
        </w:rPr>
        <w:t>engineering trade</w:t>
      </w:r>
      <w:r>
        <w:rPr>
          <w:rFonts w:cs="Helvetica"/>
        </w:rPr>
        <w:t>s or business</w:t>
      </w:r>
      <w:r w:rsidR="00C07B13" w:rsidRPr="007B51BB">
        <w:rPr>
          <w:rFonts w:cs="Helvetica"/>
        </w:rPr>
        <w:t>)</w:t>
      </w:r>
    </w:p>
    <w:p w:rsidR="00C07B13" w:rsidRPr="007B51BB" w:rsidRDefault="00C07B13" w:rsidP="00944147">
      <w:pPr>
        <w:pStyle w:val="NoSpacing"/>
        <w:numPr>
          <w:ilvl w:val="0"/>
          <w:numId w:val="13"/>
        </w:numPr>
        <w:jc w:val="both"/>
        <w:rPr>
          <w:rFonts w:cs="Helvetica"/>
        </w:rPr>
      </w:pPr>
      <w:r w:rsidRPr="007B51BB">
        <w:rPr>
          <w:rFonts w:cs="Helvetica"/>
        </w:rPr>
        <w:t>Practical outdoor learning (for example in avalanche, outdoor education and sports programmes)</w:t>
      </w:r>
    </w:p>
    <w:p w:rsidR="002C505B" w:rsidRDefault="002C505B" w:rsidP="00944147">
      <w:pPr>
        <w:pStyle w:val="NoSpacing"/>
        <w:numPr>
          <w:ilvl w:val="0"/>
          <w:numId w:val="13"/>
        </w:numPr>
        <w:jc w:val="both"/>
        <w:rPr>
          <w:rFonts w:cs="Helvetica"/>
        </w:rPr>
      </w:pPr>
      <w:r w:rsidRPr="007B51BB">
        <w:rPr>
          <w:rFonts w:cs="Helvetica"/>
        </w:rPr>
        <w:t>Using authentic industry-based documents (</w:t>
      </w:r>
      <w:proofErr w:type="spellStart"/>
      <w:r w:rsidRPr="007B51BB">
        <w:rPr>
          <w:rFonts w:cs="Helvetica"/>
        </w:rPr>
        <w:t>eg</w:t>
      </w:r>
      <w:proofErr w:type="spellEnd"/>
      <w:r w:rsidRPr="007B51BB">
        <w:rPr>
          <w:rFonts w:cs="Helvetica"/>
        </w:rPr>
        <w:t>. In health or business administration)</w:t>
      </w:r>
    </w:p>
    <w:p w:rsidR="00227110" w:rsidRPr="007B51BB" w:rsidRDefault="00227110" w:rsidP="00944147">
      <w:pPr>
        <w:pStyle w:val="NoSpacing"/>
        <w:numPr>
          <w:ilvl w:val="0"/>
          <w:numId w:val="13"/>
        </w:numPr>
        <w:jc w:val="both"/>
        <w:rPr>
          <w:rFonts w:cs="Helvetica"/>
        </w:rPr>
      </w:pPr>
      <w:r>
        <w:rPr>
          <w:rFonts w:cs="Helvetica"/>
        </w:rPr>
        <w:t>Problem or project-based learning (</w:t>
      </w:r>
      <w:proofErr w:type="spellStart"/>
      <w:r>
        <w:rPr>
          <w:rFonts w:cs="Helvetica"/>
        </w:rPr>
        <w:t>eg</w:t>
      </w:r>
      <w:proofErr w:type="spellEnd"/>
      <w:r>
        <w:rPr>
          <w:rFonts w:cs="Helvetica"/>
        </w:rPr>
        <w:t xml:space="preserve"> electric car project in engineering, Year One Bachelor of Applied Management projects)</w:t>
      </w:r>
    </w:p>
    <w:p w:rsidR="000670E8" w:rsidRPr="007B51BB" w:rsidRDefault="007B51BB" w:rsidP="00944147">
      <w:pPr>
        <w:pStyle w:val="NoSpacing"/>
        <w:numPr>
          <w:ilvl w:val="0"/>
          <w:numId w:val="13"/>
        </w:numPr>
        <w:jc w:val="both"/>
        <w:rPr>
          <w:rFonts w:cs="Helvetica"/>
        </w:rPr>
      </w:pPr>
      <w:r w:rsidRPr="007B51BB">
        <w:rPr>
          <w:rFonts w:cs="Helvetica"/>
        </w:rPr>
        <w:t xml:space="preserve">Student </w:t>
      </w:r>
      <w:r w:rsidR="000670E8" w:rsidRPr="007B51BB">
        <w:rPr>
          <w:rFonts w:cs="Helvetica"/>
        </w:rPr>
        <w:t>projects</w:t>
      </w:r>
    </w:p>
    <w:p w:rsidR="00B17F06" w:rsidRDefault="00B17F06" w:rsidP="00944147">
      <w:pPr>
        <w:pStyle w:val="NoSpacing"/>
        <w:ind w:left="1080"/>
        <w:jc w:val="both"/>
        <w:rPr>
          <w:rFonts w:cs="Helvetica"/>
          <w:sz w:val="28"/>
          <w:szCs w:val="28"/>
        </w:rPr>
      </w:pPr>
    </w:p>
    <w:p w:rsidR="00F12D4A" w:rsidRPr="00C225F0" w:rsidRDefault="007B51BB" w:rsidP="00944147">
      <w:pPr>
        <w:pStyle w:val="NoSpacing"/>
        <w:jc w:val="both"/>
        <w:rPr>
          <w:rFonts w:cs="Helvetica"/>
        </w:rPr>
      </w:pPr>
      <w:r w:rsidRPr="00C225F0">
        <w:rPr>
          <w:rFonts w:cs="Helvetica"/>
        </w:rPr>
        <w:t>Any specific learning activity</w:t>
      </w:r>
      <w:r w:rsidR="00B9757B" w:rsidRPr="00C225F0">
        <w:rPr>
          <w:rFonts w:cs="Helvetica"/>
        </w:rPr>
        <w:t xml:space="preserve"> may combine </w:t>
      </w:r>
      <w:r w:rsidR="000670E8" w:rsidRPr="00C225F0">
        <w:rPr>
          <w:rFonts w:cs="Helvetica"/>
        </w:rPr>
        <w:t>one or more modes of learning. For example</w:t>
      </w:r>
      <w:r w:rsidR="00F12D4A" w:rsidRPr="00C225F0">
        <w:rPr>
          <w:rFonts w:cs="Helvetica"/>
        </w:rPr>
        <w:t>:</w:t>
      </w:r>
      <w:r w:rsidR="000670E8" w:rsidRPr="00C225F0">
        <w:rPr>
          <w:rFonts w:cs="Helvetica"/>
        </w:rPr>
        <w:t xml:space="preserve"> </w:t>
      </w:r>
    </w:p>
    <w:p w:rsidR="00F12D4A" w:rsidRPr="00C225F0" w:rsidRDefault="000670E8" w:rsidP="00944147">
      <w:pPr>
        <w:pStyle w:val="NoSpacing"/>
        <w:numPr>
          <w:ilvl w:val="0"/>
          <w:numId w:val="15"/>
        </w:numPr>
        <w:jc w:val="both"/>
        <w:rPr>
          <w:rFonts w:cs="Helvetica"/>
        </w:rPr>
      </w:pPr>
      <w:r w:rsidRPr="00C225F0">
        <w:rPr>
          <w:rFonts w:cs="Helvetica"/>
        </w:rPr>
        <w:t>‘</w:t>
      </w:r>
      <w:r w:rsidR="007B51BB" w:rsidRPr="00C225F0">
        <w:rPr>
          <w:rFonts w:cs="Helvetica"/>
        </w:rPr>
        <w:t>Flipped</w:t>
      </w:r>
      <w:r w:rsidRPr="00C225F0">
        <w:rPr>
          <w:rFonts w:cs="Helvetica"/>
        </w:rPr>
        <w:t xml:space="preserve"> classrooms’ combine </w:t>
      </w:r>
      <w:r w:rsidR="005C6AE6" w:rsidRPr="00C225F0">
        <w:rPr>
          <w:rFonts w:cs="Helvetica"/>
        </w:rPr>
        <w:t>face-to-</w:t>
      </w:r>
      <w:r w:rsidR="00B17F06" w:rsidRPr="00C225F0">
        <w:rPr>
          <w:rFonts w:cs="Helvetica"/>
        </w:rPr>
        <w:t>face and on-line learning</w:t>
      </w:r>
      <w:r w:rsidR="00B9757B" w:rsidRPr="00C225F0">
        <w:rPr>
          <w:rFonts w:cs="Helvetica"/>
        </w:rPr>
        <w:t xml:space="preserve">. </w:t>
      </w:r>
      <w:r w:rsidR="007B51BB" w:rsidRPr="00C225F0">
        <w:rPr>
          <w:rFonts w:cs="Helvetica"/>
        </w:rPr>
        <w:t>Students are required to engage with online resources on a topic before coming to class to engage in learning activities that help them apply the knowledge and understanding they gained online to the activity they</w:t>
      </w:r>
      <w:r w:rsidR="00D5594C" w:rsidRPr="00C225F0">
        <w:rPr>
          <w:rFonts w:cs="Helvetica"/>
        </w:rPr>
        <w:t xml:space="preserve"> are doing in the classroom. </w:t>
      </w:r>
      <w:r w:rsidR="007B51BB" w:rsidRPr="00C225F0">
        <w:rPr>
          <w:rFonts w:cs="Helvetica"/>
        </w:rPr>
        <w:t xml:space="preserve"> </w:t>
      </w:r>
    </w:p>
    <w:p w:rsidR="00F12D4A" w:rsidRPr="00C225F0" w:rsidRDefault="000670E8" w:rsidP="00944147">
      <w:pPr>
        <w:pStyle w:val="NoSpacing"/>
        <w:numPr>
          <w:ilvl w:val="0"/>
          <w:numId w:val="15"/>
        </w:numPr>
        <w:jc w:val="both"/>
        <w:rPr>
          <w:rFonts w:cs="Helvetica"/>
        </w:rPr>
      </w:pPr>
      <w:r w:rsidRPr="00C225F0">
        <w:rPr>
          <w:rFonts w:cs="Helvetica"/>
        </w:rPr>
        <w:t xml:space="preserve">Synchronous online learning within a computer laboratory </w:t>
      </w:r>
      <w:r w:rsidR="00D5594C" w:rsidRPr="00C225F0">
        <w:rPr>
          <w:rFonts w:cs="Helvetica"/>
        </w:rPr>
        <w:t>enables students to engage with online materials in a classroom setting with others and gives them immediate access to peer support and discussion.</w:t>
      </w:r>
    </w:p>
    <w:p w:rsidR="00E068AB" w:rsidRPr="00C225F0" w:rsidRDefault="000670E8" w:rsidP="00944147">
      <w:pPr>
        <w:pStyle w:val="NoSpacing"/>
        <w:numPr>
          <w:ilvl w:val="0"/>
          <w:numId w:val="15"/>
        </w:numPr>
        <w:jc w:val="both"/>
        <w:rPr>
          <w:rFonts w:cs="Helvetica"/>
        </w:rPr>
      </w:pPr>
      <w:r w:rsidRPr="00C225F0">
        <w:rPr>
          <w:rFonts w:cs="Helvetica"/>
        </w:rPr>
        <w:t>Simulations (nursing and welding) combine</w:t>
      </w:r>
      <w:r w:rsidR="00D5594C" w:rsidRPr="00C225F0">
        <w:rPr>
          <w:rFonts w:cs="Helvetica"/>
        </w:rPr>
        <w:t xml:space="preserve"> face-to-face activity in clinical laboratories with electronic technologies that </w:t>
      </w:r>
      <w:r w:rsidR="00C225F0" w:rsidRPr="00C225F0">
        <w:rPr>
          <w:rFonts w:cs="Helvetica"/>
        </w:rPr>
        <w:t xml:space="preserve">replicate real workplace activities such as assessment of a patient or using a welding machine. Simulations enable students to learn and practice skills in a safe environment. </w:t>
      </w:r>
    </w:p>
    <w:p w:rsidR="00F12D4A" w:rsidRPr="00F12D4A" w:rsidRDefault="00F12D4A" w:rsidP="00944147">
      <w:pPr>
        <w:pStyle w:val="NoSpacing"/>
        <w:jc w:val="both"/>
        <w:rPr>
          <w:rFonts w:cs="Helvetica"/>
          <w:sz w:val="28"/>
          <w:szCs w:val="28"/>
        </w:rPr>
      </w:pPr>
    </w:p>
    <w:p w:rsidR="00F12D4A" w:rsidRPr="001D13F9" w:rsidRDefault="00C225F0" w:rsidP="00944147">
      <w:pPr>
        <w:pStyle w:val="NoSpacing"/>
        <w:jc w:val="both"/>
        <w:rPr>
          <w:bCs/>
          <w:lang w:val="en-US"/>
        </w:rPr>
      </w:pPr>
      <w:r w:rsidRPr="001D13F9">
        <w:rPr>
          <w:b/>
          <w:bCs/>
          <w:lang w:val="en-US"/>
        </w:rPr>
        <w:t xml:space="preserve">Student-managed learning </w:t>
      </w:r>
      <w:r w:rsidRPr="001D13F9">
        <w:rPr>
          <w:bCs/>
          <w:lang w:val="en-US"/>
        </w:rPr>
        <w:t>can be in any mode. It is where the student engages in learning activities without the presence of the teacher</w:t>
      </w:r>
      <w:r w:rsidR="001D13F9" w:rsidRPr="001D13F9">
        <w:rPr>
          <w:bCs/>
          <w:lang w:val="en-US"/>
        </w:rPr>
        <w:t xml:space="preserve"> and the student is required to self-manage to complete the activity within the expected timeframe</w:t>
      </w:r>
      <w:r w:rsidRPr="001D13F9">
        <w:rPr>
          <w:bCs/>
          <w:lang w:val="en-US"/>
        </w:rPr>
        <w:t>. The learning activities may be designed by the teacher</w:t>
      </w:r>
      <w:r w:rsidR="001D13F9" w:rsidRPr="001D13F9">
        <w:rPr>
          <w:bCs/>
          <w:lang w:val="en-US"/>
        </w:rPr>
        <w:t xml:space="preserve"> but carried out by the student alone or in groups, for example in a student-managed project, asynchronous online learning or preparation of an assessment task. Student-managed learning can also be student-directed whereby the student chooses to explore topics of interest to them as an adjunct to the formal learning designed by the teacher. </w:t>
      </w:r>
    </w:p>
    <w:p w:rsidR="001D13F9" w:rsidRDefault="001D13F9" w:rsidP="00944147">
      <w:pPr>
        <w:pStyle w:val="NoSpacing"/>
        <w:jc w:val="both"/>
        <w:rPr>
          <w:bCs/>
          <w:sz w:val="24"/>
          <w:szCs w:val="24"/>
          <w:lang w:val="en-US"/>
        </w:rPr>
        <w:sectPr w:rsidR="001D13F9" w:rsidSect="00C23FA8">
          <w:footerReference w:type="default" r:id="rId14"/>
          <w:pgSz w:w="11906" w:h="16838"/>
          <w:pgMar w:top="1440" w:right="1440" w:bottom="1440" w:left="1440" w:header="567" w:footer="567" w:gutter="0"/>
          <w:cols w:space="708"/>
          <w:docGrid w:linePitch="360"/>
        </w:sectPr>
      </w:pPr>
    </w:p>
    <w:p w:rsidR="001D13F9" w:rsidRDefault="001D13F9" w:rsidP="00944147">
      <w:pPr>
        <w:pStyle w:val="NoSpacing"/>
        <w:jc w:val="both"/>
        <w:rPr>
          <w:bCs/>
          <w:sz w:val="24"/>
          <w:szCs w:val="24"/>
          <w:lang w:val="en-US"/>
        </w:rPr>
      </w:pPr>
    </w:p>
    <w:p w:rsidR="008F0130" w:rsidRPr="00686016" w:rsidRDefault="00901577" w:rsidP="00944147">
      <w:pPr>
        <w:pStyle w:val="NoSpacing"/>
        <w:jc w:val="both"/>
        <w:rPr>
          <w:b/>
          <w:bCs/>
          <w:sz w:val="28"/>
          <w:szCs w:val="28"/>
          <w:lang w:val="en-US"/>
        </w:rPr>
      </w:pPr>
      <w:r>
        <w:rPr>
          <w:b/>
          <w:bCs/>
          <w:sz w:val="28"/>
          <w:szCs w:val="28"/>
          <w:lang w:val="en-US"/>
        </w:rPr>
        <w:t>Assessment</w:t>
      </w:r>
    </w:p>
    <w:p w:rsidR="00901577" w:rsidRDefault="00901577" w:rsidP="00944147">
      <w:pPr>
        <w:ind w:left="720"/>
        <w:jc w:val="both"/>
        <w:rPr>
          <w:rFonts w:asciiTheme="minorHAnsi" w:hAnsiTheme="minorHAnsi"/>
          <w:sz w:val="28"/>
          <w:szCs w:val="28"/>
        </w:rPr>
      </w:pPr>
    </w:p>
    <w:p w:rsidR="00901577" w:rsidRPr="00901577" w:rsidRDefault="00901577" w:rsidP="00944147">
      <w:pPr>
        <w:jc w:val="both"/>
        <w:rPr>
          <w:rFonts w:asciiTheme="minorHAnsi" w:hAnsiTheme="minorHAnsi"/>
          <w:b/>
          <w:i/>
          <w:sz w:val="22"/>
        </w:rPr>
      </w:pPr>
      <w:r>
        <w:rPr>
          <w:rFonts w:asciiTheme="minorHAnsi" w:hAnsiTheme="minorHAnsi"/>
          <w:b/>
          <w:i/>
          <w:sz w:val="22"/>
        </w:rPr>
        <w:t>Definition</w:t>
      </w:r>
    </w:p>
    <w:p w:rsidR="00901577" w:rsidRDefault="008F0130" w:rsidP="00944147">
      <w:pPr>
        <w:jc w:val="both"/>
        <w:rPr>
          <w:rFonts w:asciiTheme="minorHAnsi" w:hAnsiTheme="minorHAnsi"/>
          <w:sz w:val="22"/>
        </w:rPr>
      </w:pPr>
      <w:r w:rsidRPr="00901577">
        <w:rPr>
          <w:rFonts w:asciiTheme="minorHAnsi" w:hAnsiTheme="minorHAnsi"/>
          <w:sz w:val="22"/>
        </w:rPr>
        <w:t xml:space="preserve">Assessment </w:t>
      </w:r>
      <w:r w:rsidR="00E81D7C">
        <w:rPr>
          <w:rFonts w:asciiTheme="minorHAnsi" w:hAnsiTheme="minorHAnsi"/>
          <w:sz w:val="22"/>
        </w:rPr>
        <w:t xml:space="preserve">is at the heart of the learning and teaching process. It </w:t>
      </w:r>
      <w:r w:rsidRPr="00901577">
        <w:rPr>
          <w:rFonts w:asciiTheme="minorHAnsi" w:hAnsiTheme="minorHAnsi"/>
          <w:sz w:val="22"/>
        </w:rPr>
        <w:t xml:space="preserve">is </w:t>
      </w:r>
      <w:r w:rsidR="00F12D4A" w:rsidRPr="00901577">
        <w:rPr>
          <w:rFonts w:asciiTheme="minorHAnsi" w:hAnsiTheme="minorHAnsi"/>
          <w:sz w:val="22"/>
        </w:rPr>
        <w:t xml:space="preserve">the </w:t>
      </w:r>
      <w:r w:rsidR="00901577" w:rsidRPr="00901577">
        <w:rPr>
          <w:rFonts w:asciiTheme="minorHAnsi" w:hAnsiTheme="minorHAnsi"/>
          <w:sz w:val="22"/>
        </w:rPr>
        <w:t xml:space="preserve">process of documenting, usually in measurable terms, a student’s </w:t>
      </w:r>
      <w:r w:rsidR="00E81D7C">
        <w:rPr>
          <w:rFonts w:asciiTheme="minorHAnsi" w:hAnsiTheme="minorHAnsi"/>
          <w:sz w:val="22"/>
        </w:rPr>
        <w:t>performance</w:t>
      </w:r>
      <w:r w:rsidR="00901577" w:rsidRPr="00901577">
        <w:rPr>
          <w:rFonts w:asciiTheme="minorHAnsi" w:hAnsiTheme="minorHAnsi"/>
          <w:sz w:val="22"/>
        </w:rPr>
        <w:t xml:space="preserve"> against </w:t>
      </w:r>
      <w:r w:rsidR="00E81D7C">
        <w:rPr>
          <w:rFonts w:asciiTheme="minorHAnsi" w:hAnsiTheme="minorHAnsi"/>
          <w:sz w:val="22"/>
        </w:rPr>
        <w:t xml:space="preserve">explicit </w:t>
      </w:r>
      <w:r w:rsidR="00901577" w:rsidRPr="00901577">
        <w:rPr>
          <w:rFonts w:asciiTheme="minorHAnsi" w:hAnsiTheme="minorHAnsi"/>
          <w:sz w:val="22"/>
        </w:rPr>
        <w:t>learning outcomes</w:t>
      </w:r>
      <w:r w:rsidR="00E81D7C">
        <w:rPr>
          <w:rFonts w:asciiTheme="minorHAnsi" w:hAnsiTheme="minorHAnsi"/>
          <w:sz w:val="22"/>
        </w:rPr>
        <w:t xml:space="preserve"> and levels of achievement</w:t>
      </w:r>
      <w:r w:rsidR="00901577" w:rsidRPr="00901577">
        <w:rPr>
          <w:rFonts w:asciiTheme="minorHAnsi" w:hAnsiTheme="minorHAnsi"/>
          <w:sz w:val="22"/>
        </w:rPr>
        <w:t xml:space="preserve">. It involves gathering, </w:t>
      </w:r>
      <w:proofErr w:type="spellStart"/>
      <w:r w:rsidRPr="00901577">
        <w:rPr>
          <w:rFonts w:asciiTheme="minorHAnsi" w:hAnsiTheme="minorHAnsi"/>
          <w:sz w:val="22"/>
        </w:rPr>
        <w:t>analysing</w:t>
      </w:r>
      <w:proofErr w:type="spellEnd"/>
      <w:r w:rsidRPr="00901577">
        <w:rPr>
          <w:rFonts w:asciiTheme="minorHAnsi" w:hAnsiTheme="minorHAnsi"/>
          <w:sz w:val="22"/>
        </w:rPr>
        <w:t xml:space="preserve">, interpreting and using </w:t>
      </w:r>
      <w:r w:rsidR="00901577" w:rsidRPr="00901577">
        <w:rPr>
          <w:rFonts w:asciiTheme="minorHAnsi" w:hAnsiTheme="minorHAnsi"/>
          <w:sz w:val="22"/>
        </w:rPr>
        <w:t xml:space="preserve">a range of </w:t>
      </w:r>
      <w:r w:rsidRPr="00901577">
        <w:rPr>
          <w:rFonts w:asciiTheme="minorHAnsi" w:hAnsiTheme="minorHAnsi"/>
          <w:sz w:val="22"/>
        </w:rPr>
        <w:t xml:space="preserve">information </w:t>
      </w:r>
      <w:r w:rsidR="002A1558">
        <w:rPr>
          <w:rFonts w:asciiTheme="minorHAnsi" w:hAnsiTheme="minorHAnsi"/>
          <w:sz w:val="22"/>
        </w:rPr>
        <w:t>that provides evidence of</w:t>
      </w:r>
      <w:r w:rsidRPr="00901577">
        <w:rPr>
          <w:rFonts w:asciiTheme="minorHAnsi" w:hAnsiTheme="minorHAnsi"/>
          <w:sz w:val="22"/>
        </w:rPr>
        <w:t xml:space="preserve"> </w:t>
      </w:r>
      <w:r w:rsidR="002A1558">
        <w:rPr>
          <w:rFonts w:asciiTheme="minorHAnsi" w:hAnsiTheme="minorHAnsi"/>
          <w:sz w:val="22"/>
        </w:rPr>
        <w:t>a</w:t>
      </w:r>
      <w:r w:rsidR="00901577" w:rsidRPr="00901577">
        <w:rPr>
          <w:rFonts w:asciiTheme="minorHAnsi" w:hAnsiTheme="minorHAnsi"/>
          <w:sz w:val="22"/>
        </w:rPr>
        <w:t xml:space="preserve"> student’s knowledge, skills, attitudes and beliefs</w:t>
      </w:r>
      <w:r w:rsidR="002A1558">
        <w:rPr>
          <w:rFonts w:asciiTheme="minorHAnsi" w:hAnsiTheme="minorHAnsi"/>
          <w:sz w:val="22"/>
        </w:rPr>
        <w:t>, in order</w:t>
      </w:r>
      <w:r w:rsidR="00901577" w:rsidRPr="00901577">
        <w:rPr>
          <w:rFonts w:asciiTheme="minorHAnsi" w:hAnsiTheme="minorHAnsi"/>
          <w:sz w:val="22"/>
        </w:rPr>
        <w:t xml:space="preserve"> to make a </w:t>
      </w:r>
      <w:r w:rsidR="00E81D7C">
        <w:rPr>
          <w:rFonts w:asciiTheme="minorHAnsi" w:hAnsiTheme="minorHAnsi"/>
          <w:sz w:val="22"/>
        </w:rPr>
        <w:t xml:space="preserve">valid and reliable </w:t>
      </w:r>
      <w:r w:rsidR="00901577" w:rsidRPr="00901577">
        <w:rPr>
          <w:rFonts w:asciiTheme="minorHAnsi" w:hAnsiTheme="minorHAnsi"/>
          <w:sz w:val="22"/>
        </w:rPr>
        <w:t xml:space="preserve">judgment about </w:t>
      </w:r>
      <w:r w:rsidR="00901577">
        <w:rPr>
          <w:rFonts w:asciiTheme="minorHAnsi" w:hAnsiTheme="minorHAnsi"/>
          <w:sz w:val="22"/>
        </w:rPr>
        <w:t>their</w:t>
      </w:r>
      <w:r w:rsidRPr="00901577">
        <w:rPr>
          <w:rFonts w:asciiTheme="minorHAnsi" w:hAnsiTheme="minorHAnsi"/>
          <w:sz w:val="22"/>
        </w:rPr>
        <w:t xml:space="preserve"> </w:t>
      </w:r>
      <w:r w:rsidR="005658F4">
        <w:rPr>
          <w:rFonts w:asciiTheme="minorHAnsi" w:hAnsiTheme="minorHAnsi"/>
          <w:sz w:val="22"/>
        </w:rPr>
        <w:t xml:space="preserve">performance </w:t>
      </w:r>
      <w:r w:rsidRPr="00901577">
        <w:rPr>
          <w:rFonts w:asciiTheme="minorHAnsi" w:hAnsiTheme="minorHAnsi"/>
          <w:sz w:val="22"/>
        </w:rPr>
        <w:t xml:space="preserve">and achievement.  </w:t>
      </w:r>
    </w:p>
    <w:p w:rsidR="001A05A7" w:rsidRDefault="001A05A7" w:rsidP="00944147">
      <w:pPr>
        <w:ind w:left="720"/>
        <w:jc w:val="both"/>
        <w:rPr>
          <w:rFonts w:asciiTheme="minorHAnsi" w:hAnsiTheme="minorHAnsi"/>
          <w:sz w:val="22"/>
        </w:rPr>
      </w:pPr>
    </w:p>
    <w:p w:rsidR="001A05A7" w:rsidRDefault="001A05A7" w:rsidP="00944147">
      <w:pPr>
        <w:spacing w:line="240" w:lineRule="auto"/>
        <w:jc w:val="both"/>
        <w:rPr>
          <w:rFonts w:asciiTheme="minorHAnsi" w:hAnsiTheme="minorHAnsi"/>
          <w:b/>
          <w:i/>
          <w:sz w:val="22"/>
        </w:rPr>
      </w:pPr>
      <w:r>
        <w:rPr>
          <w:rFonts w:asciiTheme="minorHAnsi" w:hAnsiTheme="minorHAnsi"/>
          <w:b/>
          <w:i/>
          <w:sz w:val="22"/>
        </w:rPr>
        <w:t>Further explanation</w:t>
      </w:r>
    </w:p>
    <w:p w:rsidR="00E81D7C" w:rsidRDefault="001A05A7" w:rsidP="00944147">
      <w:pPr>
        <w:spacing w:line="240" w:lineRule="auto"/>
        <w:jc w:val="both"/>
        <w:rPr>
          <w:rFonts w:asciiTheme="minorHAnsi" w:hAnsiTheme="minorHAnsi"/>
          <w:sz w:val="22"/>
        </w:rPr>
      </w:pPr>
      <w:r>
        <w:rPr>
          <w:rFonts w:asciiTheme="minorHAnsi" w:hAnsiTheme="minorHAnsi"/>
          <w:sz w:val="22"/>
        </w:rPr>
        <w:t xml:space="preserve">The primary purpose of assessment is to improve student’s learning and both students and teachers respond to the information it provides. </w:t>
      </w:r>
      <w:r w:rsidR="00081F58">
        <w:rPr>
          <w:rFonts w:asciiTheme="minorHAnsi" w:hAnsiTheme="minorHAnsi"/>
          <w:sz w:val="22"/>
        </w:rPr>
        <w:t xml:space="preserve">Good quality teaching practices including clear assessment criteria and standards influence the effectiveness of student learning. </w:t>
      </w:r>
      <w:r w:rsidR="0077525A">
        <w:rPr>
          <w:rFonts w:asciiTheme="minorHAnsi" w:hAnsiTheme="minorHAnsi"/>
          <w:sz w:val="22"/>
        </w:rPr>
        <w:t>Systematic analysis of student performance on assessed tasks can help identify areas of the curriculum that need improvement</w:t>
      </w:r>
      <w:r w:rsidR="00AB2654">
        <w:rPr>
          <w:rFonts w:asciiTheme="minorHAnsi" w:hAnsiTheme="minorHAnsi"/>
          <w:sz w:val="22"/>
        </w:rPr>
        <w:t xml:space="preserve"> (CSHS, 2002)</w:t>
      </w:r>
      <w:r w:rsidR="0077525A">
        <w:rPr>
          <w:rFonts w:asciiTheme="minorHAnsi" w:hAnsiTheme="minorHAnsi"/>
          <w:sz w:val="22"/>
        </w:rPr>
        <w:t xml:space="preserve">. </w:t>
      </w:r>
    </w:p>
    <w:p w:rsidR="00081F58" w:rsidRDefault="00081F58" w:rsidP="00944147">
      <w:pPr>
        <w:spacing w:line="240" w:lineRule="auto"/>
        <w:ind w:left="720"/>
        <w:jc w:val="both"/>
        <w:rPr>
          <w:rFonts w:asciiTheme="minorHAnsi" w:hAnsiTheme="minorHAnsi"/>
          <w:sz w:val="22"/>
        </w:rPr>
      </w:pPr>
    </w:p>
    <w:p w:rsidR="001A05A7" w:rsidRDefault="0077525A" w:rsidP="00944147">
      <w:pPr>
        <w:spacing w:line="240" w:lineRule="auto"/>
        <w:jc w:val="both"/>
        <w:rPr>
          <w:rFonts w:asciiTheme="minorHAnsi" w:hAnsiTheme="minorHAnsi"/>
          <w:sz w:val="22"/>
        </w:rPr>
      </w:pPr>
      <w:r>
        <w:rPr>
          <w:rFonts w:asciiTheme="minorHAnsi" w:hAnsiTheme="minorHAnsi"/>
          <w:sz w:val="22"/>
        </w:rPr>
        <w:t xml:space="preserve">Most students are strongly motivated by assessment and it is therefore a powerful strategic tool for educators to spell out the learning that will be rewarded through effective study (CSHE, 2002). </w:t>
      </w:r>
      <w:r w:rsidR="000A62BF">
        <w:rPr>
          <w:rFonts w:asciiTheme="minorHAnsi" w:hAnsiTheme="minorHAnsi"/>
          <w:sz w:val="22"/>
        </w:rPr>
        <w:t>Course l</w:t>
      </w:r>
      <w:r w:rsidR="001A05A7">
        <w:rPr>
          <w:rFonts w:asciiTheme="minorHAnsi" w:hAnsiTheme="minorHAnsi"/>
          <w:sz w:val="22"/>
        </w:rPr>
        <w:t xml:space="preserve">earning outcomes </w:t>
      </w:r>
      <w:r w:rsidR="000A62BF">
        <w:rPr>
          <w:rFonts w:asciiTheme="minorHAnsi" w:hAnsiTheme="minorHAnsi"/>
          <w:sz w:val="22"/>
        </w:rPr>
        <w:t xml:space="preserve">should explicitly </w:t>
      </w:r>
      <w:r w:rsidR="001A05A7">
        <w:rPr>
          <w:rFonts w:asciiTheme="minorHAnsi" w:hAnsiTheme="minorHAnsi"/>
          <w:sz w:val="22"/>
        </w:rPr>
        <w:t>define what knowledge, understanding or skills students</w:t>
      </w:r>
      <w:r w:rsidR="000A62BF">
        <w:rPr>
          <w:rFonts w:asciiTheme="minorHAnsi" w:hAnsiTheme="minorHAnsi"/>
          <w:sz w:val="22"/>
        </w:rPr>
        <w:t xml:space="preserve"> need and the criteria and level they need to achieve. </w:t>
      </w:r>
      <w:r w:rsidR="001A05A7">
        <w:rPr>
          <w:rFonts w:asciiTheme="minorHAnsi" w:hAnsiTheme="minorHAnsi"/>
          <w:sz w:val="22"/>
        </w:rPr>
        <w:t xml:space="preserve">Assessment </w:t>
      </w:r>
      <w:r w:rsidR="000A62BF">
        <w:rPr>
          <w:rFonts w:asciiTheme="minorHAnsi" w:hAnsiTheme="minorHAnsi"/>
          <w:sz w:val="22"/>
        </w:rPr>
        <w:t>tasks should match the learning outcomes and enable valid and reliable</w:t>
      </w:r>
      <w:r w:rsidR="00E81D7C">
        <w:rPr>
          <w:rFonts w:asciiTheme="minorHAnsi" w:hAnsiTheme="minorHAnsi"/>
          <w:sz w:val="22"/>
        </w:rPr>
        <w:t xml:space="preserve"> assessment of student performance and achievement. Through the process</w:t>
      </w:r>
      <w:r w:rsidR="001A05A7">
        <w:rPr>
          <w:rFonts w:asciiTheme="minorHAnsi" w:hAnsiTheme="minorHAnsi"/>
          <w:sz w:val="22"/>
        </w:rPr>
        <w:t xml:space="preserve"> </w:t>
      </w:r>
      <w:r w:rsidR="00E81D7C">
        <w:rPr>
          <w:rFonts w:asciiTheme="minorHAnsi" w:hAnsiTheme="minorHAnsi"/>
          <w:sz w:val="22"/>
        </w:rPr>
        <w:t xml:space="preserve">of </w:t>
      </w:r>
      <w:r w:rsidR="001A05A7">
        <w:rPr>
          <w:rFonts w:asciiTheme="minorHAnsi" w:hAnsiTheme="minorHAnsi"/>
          <w:sz w:val="22"/>
        </w:rPr>
        <w:t xml:space="preserve">gathering information to find out what students currently </w:t>
      </w:r>
      <w:r w:rsidR="00E81D7C">
        <w:rPr>
          <w:rFonts w:asciiTheme="minorHAnsi" w:hAnsiTheme="minorHAnsi"/>
          <w:sz w:val="22"/>
        </w:rPr>
        <w:t>know, understand and can do, g</w:t>
      </w:r>
      <w:r w:rsidR="001A05A7">
        <w:rPr>
          <w:rFonts w:asciiTheme="minorHAnsi" w:hAnsiTheme="minorHAnsi"/>
          <w:sz w:val="22"/>
        </w:rPr>
        <w:t xml:space="preserve">aps may be identified between the </w:t>
      </w:r>
      <w:r w:rsidR="00E81D7C">
        <w:rPr>
          <w:rFonts w:asciiTheme="minorHAnsi" w:hAnsiTheme="minorHAnsi"/>
          <w:sz w:val="22"/>
        </w:rPr>
        <w:t>expected and actual level of achievement. L</w:t>
      </w:r>
      <w:r w:rsidR="00A05D96">
        <w:rPr>
          <w:rFonts w:asciiTheme="minorHAnsi" w:hAnsiTheme="minorHAnsi"/>
          <w:sz w:val="22"/>
        </w:rPr>
        <w:t xml:space="preserve">earning activities can be designed or undertaken to reduce the gap. </w:t>
      </w:r>
      <w:r>
        <w:rPr>
          <w:rFonts w:asciiTheme="minorHAnsi" w:hAnsiTheme="minorHAnsi"/>
          <w:sz w:val="22"/>
        </w:rPr>
        <w:t>Carefully designed assessments influence how students approach their study and therefore contribute to the quality of their learning (CSHE, 2002).</w:t>
      </w:r>
    </w:p>
    <w:p w:rsidR="00E81D7C" w:rsidRDefault="00E81D7C" w:rsidP="00944147">
      <w:pPr>
        <w:spacing w:line="240" w:lineRule="auto"/>
        <w:jc w:val="both"/>
        <w:rPr>
          <w:rFonts w:asciiTheme="minorHAnsi" w:hAnsiTheme="minorHAnsi"/>
          <w:sz w:val="22"/>
        </w:rPr>
      </w:pPr>
    </w:p>
    <w:p w:rsidR="00743200" w:rsidRDefault="00743200" w:rsidP="00944147">
      <w:pPr>
        <w:spacing w:line="240" w:lineRule="auto"/>
        <w:jc w:val="both"/>
        <w:rPr>
          <w:rFonts w:asciiTheme="minorHAnsi" w:hAnsiTheme="minorHAnsi"/>
          <w:sz w:val="22"/>
        </w:rPr>
      </w:pPr>
      <w:r>
        <w:rPr>
          <w:rFonts w:asciiTheme="minorHAnsi" w:hAnsiTheme="minorHAnsi"/>
          <w:sz w:val="22"/>
        </w:rPr>
        <w:t>Effective assessment should:</w:t>
      </w:r>
    </w:p>
    <w:p w:rsidR="00743200" w:rsidRDefault="00743200" w:rsidP="00944147">
      <w:pPr>
        <w:pStyle w:val="ListParagraph"/>
        <w:numPr>
          <w:ilvl w:val="0"/>
          <w:numId w:val="25"/>
        </w:numPr>
        <w:spacing w:line="240" w:lineRule="auto"/>
        <w:ind w:left="851" w:hanging="567"/>
        <w:jc w:val="both"/>
        <w:rPr>
          <w:rFonts w:asciiTheme="minorHAnsi" w:hAnsiTheme="minorHAnsi"/>
          <w:sz w:val="22"/>
        </w:rPr>
      </w:pPr>
      <w:r>
        <w:rPr>
          <w:rFonts w:asciiTheme="minorHAnsi" w:hAnsiTheme="minorHAnsi"/>
          <w:sz w:val="22"/>
        </w:rPr>
        <w:t>Help students to learn</w:t>
      </w:r>
    </w:p>
    <w:p w:rsidR="00743200" w:rsidRDefault="00743200" w:rsidP="00944147">
      <w:pPr>
        <w:pStyle w:val="ListParagraph"/>
        <w:numPr>
          <w:ilvl w:val="0"/>
          <w:numId w:val="25"/>
        </w:numPr>
        <w:spacing w:line="240" w:lineRule="auto"/>
        <w:ind w:left="851" w:hanging="567"/>
        <w:jc w:val="both"/>
        <w:rPr>
          <w:rFonts w:asciiTheme="minorHAnsi" w:hAnsiTheme="minorHAnsi"/>
          <w:sz w:val="22"/>
        </w:rPr>
      </w:pPr>
      <w:r>
        <w:rPr>
          <w:rFonts w:asciiTheme="minorHAnsi" w:hAnsiTheme="minorHAnsi"/>
          <w:sz w:val="22"/>
        </w:rPr>
        <w:t>Be consistent with learning outcomes and learning activities</w:t>
      </w:r>
    </w:p>
    <w:p w:rsidR="00743200" w:rsidRDefault="00743200" w:rsidP="00944147">
      <w:pPr>
        <w:pStyle w:val="ListParagraph"/>
        <w:numPr>
          <w:ilvl w:val="0"/>
          <w:numId w:val="25"/>
        </w:numPr>
        <w:spacing w:line="240" w:lineRule="auto"/>
        <w:ind w:left="851" w:hanging="567"/>
        <w:jc w:val="both"/>
        <w:rPr>
          <w:rFonts w:asciiTheme="minorHAnsi" w:hAnsiTheme="minorHAnsi"/>
          <w:sz w:val="22"/>
        </w:rPr>
      </w:pPr>
      <w:r>
        <w:rPr>
          <w:rFonts w:asciiTheme="minorHAnsi" w:hAnsiTheme="minorHAnsi"/>
          <w:sz w:val="22"/>
        </w:rPr>
        <w:t>Encourage effective approaches to learning</w:t>
      </w:r>
    </w:p>
    <w:p w:rsidR="00944147" w:rsidRDefault="00743200" w:rsidP="00944147">
      <w:pPr>
        <w:pStyle w:val="ListParagraph"/>
        <w:numPr>
          <w:ilvl w:val="0"/>
          <w:numId w:val="25"/>
        </w:numPr>
        <w:spacing w:line="240" w:lineRule="auto"/>
        <w:ind w:left="851" w:hanging="567"/>
        <w:jc w:val="both"/>
        <w:rPr>
          <w:rFonts w:asciiTheme="minorHAnsi" w:hAnsiTheme="minorHAnsi"/>
          <w:sz w:val="22"/>
        </w:rPr>
      </w:pPr>
      <w:r>
        <w:rPr>
          <w:rFonts w:asciiTheme="minorHAnsi" w:hAnsiTheme="minorHAnsi"/>
          <w:sz w:val="22"/>
        </w:rPr>
        <w:t>Be diverse to assess a range of different learning outcomes</w:t>
      </w:r>
    </w:p>
    <w:p w:rsidR="00743200" w:rsidRPr="00944147" w:rsidRDefault="00743200" w:rsidP="00944147">
      <w:pPr>
        <w:pStyle w:val="ListParagraph"/>
        <w:numPr>
          <w:ilvl w:val="0"/>
          <w:numId w:val="25"/>
        </w:numPr>
        <w:spacing w:line="240" w:lineRule="auto"/>
        <w:ind w:left="851" w:hanging="567"/>
        <w:jc w:val="both"/>
        <w:rPr>
          <w:rFonts w:asciiTheme="minorHAnsi" w:hAnsiTheme="minorHAnsi"/>
          <w:sz w:val="22"/>
        </w:rPr>
      </w:pPr>
      <w:r w:rsidRPr="00944147">
        <w:rPr>
          <w:rFonts w:asciiTheme="minorHAnsi" w:hAnsiTheme="minorHAnsi"/>
          <w:sz w:val="22"/>
        </w:rPr>
        <w:t xml:space="preserve">Set clear expectations </w:t>
      </w:r>
      <w:r w:rsidR="00AE5FC7" w:rsidRPr="00944147">
        <w:rPr>
          <w:rFonts w:asciiTheme="minorHAnsi" w:hAnsiTheme="minorHAnsi"/>
          <w:sz w:val="22"/>
        </w:rPr>
        <w:t xml:space="preserve">in advance </w:t>
      </w:r>
      <w:r w:rsidRPr="00944147">
        <w:rPr>
          <w:rFonts w:asciiTheme="minorHAnsi" w:hAnsiTheme="minorHAnsi"/>
          <w:sz w:val="22"/>
        </w:rPr>
        <w:t xml:space="preserve">for students and staff about what </w:t>
      </w:r>
      <w:r w:rsidR="00AE5FC7" w:rsidRPr="00944147">
        <w:rPr>
          <w:rFonts w:asciiTheme="minorHAnsi" w:hAnsiTheme="minorHAnsi"/>
          <w:sz w:val="22"/>
        </w:rPr>
        <w:t>is expected in assessment tasks</w:t>
      </w:r>
    </w:p>
    <w:p w:rsidR="00743200" w:rsidRDefault="00743200" w:rsidP="00944147">
      <w:pPr>
        <w:pStyle w:val="ListParagraph"/>
        <w:numPr>
          <w:ilvl w:val="0"/>
          <w:numId w:val="25"/>
        </w:numPr>
        <w:spacing w:line="240" w:lineRule="auto"/>
        <w:ind w:left="851" w:hanging="567"/>
        <w:jc w:val="both"/>
        <w:rPr>
          <w:rFonts w:asciiTheme="minorHAnsi" w:hAnsiTheme="minorHAnsi"/>
          <w:sz w:val="22"/>
        </w:rPr>
      </w:pPr>
      <w:r>
        <w:rPr>
          <w:rFonts w:asciiTheme="minorHAnsi" w:hAnsiTheme="minorHAnsi"/>
          <w:sz w:val="22"/>
        </w:rPr>
        <w:t>Use assessment tasks that validly and reliably determine the</w:t>
      </w:r>
      <w:r w:rsidR="00AE5FC7">
        <w:rPr>
          <w:rFonts w:asciiTheme="minorHAnsi" w:hAnsiTheme="minorHAnsi"/>
          <w:sz w:val="22"/>
        </w:rPr>
        <w:t xml:space="preserve"> valued learning outcomes</w:t>
      </w:r>
    </w:p>
    <w:p w:rsidR="00AE5FC7" w:rsidRDefault="00AE5FC7" w:rsidP="00944147">
      <w:pPr>
        <w:pStyle w:val="ListParagraph"/>
        <w:numPr>
          <w:ilvl w:val="0"/>
          <w:numId w:val="25"/>
        </w:numPr>
        <w:spacing w:line="240" w:lineRule="auto"/>
        <w:ind w:left="851" w:hanging="567"/>
        <w:jc w:val="both"/>
        <w:rPr>
          <w:rFonts w:asciiTheme="minorHAnsi" w:hAnsiTheme="minorHAnsi"/>
          <w:sz w:val="22"/>
        </w:rPr>
      </w:pPr>
      <w:r>
        <w:rPr>
          <w:rFonts w:asciiTheme="minorHAnsi" w:hAnsiTheme="minorHAnsi"/>
          <w:sz w:val="22"/>
        </w:rPr>
        <w:t>Provide detailed, transparent and justifiable criteria for assessment</w:t>
      </w:r>
    </w:p>
    <w:p w:rsidR="00AE5FC7" w:rsidRDefault="00AE5FC7" w:rsidP="00944147">
      <w:pPr>
        <w:pStyle w:val="ListParagraph"/>
        <w:numPr>
          <w:ilvl w:val="0"/>
          <w:numId w:val="25"/>
        </w:numPr>
        <w:spacing w:line="240" w:lineRule="auto"/>
        <w:ind w:left="851" w:hanging="567"/>
        <w:jc w:val="both"/>
        <w:rPr>
          <w:rFonts w:asciiTheme="minorHAnsi" w:hAnsiTheme="minorHAnsi"/>
          <w:sz w:val="22"/>
        </w:rPr>
      </w:pPr>
      <w:r>
        <w:rPr>
          <w:rFonts w:asciiTheme="minorHAnsi" w:hAnsiTheme="minorHAnsi"/>
          <w:sz w:val="22"/>
        </w:rPr>
        <w:t>Provide specific and timely feedback to students</w:t>
      </w:r>
    </w:p>
    <w:p w:rsidR="00AE5FC7" w:rsidRDefault="00AB2654" w:rsidP="00944147">
      <w:pPr>
        <w:pStyle w:val="ListParagraph"/>
        <w:numPr>
          <w:ilvl w:val="0"/>
          <w:numId w:val="25"/>
        </w:numPr>
        <w:spacing w:line="240" w:lineRule="auto"/>
        <w:ind w:left="851" w:hanging="567"/>
        <w:jc w:val="both"/>
        <w:rPr>
          <w:rFonts w:asciiTheme="minorHAnsi" w:hAnsiTheme="minorHAnsi"/>
          <w:sz w:val="22"/>
        </w:rPr>
      </w:pPr>
      <w:r>
        <w:rPr>
          <w:rFonts w:asciiTheme="minorHAnsi" w:hAnsiTheme="minorHAnsi"/>
          <w:sz w:val="22"/>
        </w:rPr>
        <w:t>Sample learning, n</w:t>
      </w:r>
      <w:r w:rsidR="00AE5FC7">
        <w:rPr>
          <w:rFonts w:asciiTheme="minorHAnsi" w:hAnsiTheme="minorHAnsi"/>
          <w:sz w:val="22"/>
        </w:rPr>
        <w:t>ot overload the student (too much assessment can be counter-productive)</w:t>
      </w:r>
      <w:r>
        <w:rPr>
          <w:rFonts w:asciiTheme="minorHAnsi" w:hAnsiTheme="minorHAnsi"/>
          <w:sz w:val="22"/>
        </w:rPr>
        <w:t xml:space="preserve"> but provide opportunities for students to self-monitor, practice and receive feedback</w:t>
      </w:r>
    </w:p>
    <w:p w:rsidR="00AE5FC7" w:rsidRDefault="00AE5FC7" w:rsidP="00944147">
      <w:pPr>
        <w:pStyle w:val="ListParagraph"/>
        <w:numPr>
          <w:ilvl w:val="0"/>
          <w:numId w:val="25"/>
        </w:numPr>
        <w:spacing w:line="240" w:lineRule="auto"/>
        <w:ind w:left="851" w:hanging="567"/>
        <w:jc w:val="both"/>
        <w:rPr>
          <w:rFonts w:asciiTheme="minorHAnsi" w:hAnsiTheme="minorHAnsi"/>
          <w:sz w:val="22"/>
        </w:rPr>
      </w:pPr>
      <w:r>
        <w:rPr>
          <w:rFonts w:asciiTheme="minorHAnsi" w:hAnsiTheme="minorHAnsi"/>
          <w:sz w:val="22"/>
        </w:rPr>
        <w:t>Be</w:t>
      </w:r>
      <w:r w:rsidR="0077525A">
        <w:rPr>
          <w:rFonts w:asciiTheme="minorHAnsi" w:hAnsiTheme="minorHAnsi"/>
          <w:sz w:val="22"/>
        </w:rPr>
        <w:t xml:space="preserve"> moderated by others </w:t>
      </w:r>
    </w:p>
    <w:p w:rsidR="00AB2654" w:rsidRDefault="00AB2654" w:rsidP="00944147">
      <w:pPr>
        <w:pStyle w:val="ListParagraph"/>
        <w:numPr>
          <w:ilvl w:val="0"/>
          <w:numId w:val="25"/>
        </w:numPr>
        <w:spacing w:line="240" w:lineRule="auto"/>
        <w:ind w:left="851" w:hanging="567"/>
        <w:jc w:val="both"/>
        <w:rPr>
          <w:rFonts w:asciiTheme="minorHAnsi" w:hAnsiTheme="minorHAnsi"/>
          <w:sz w:val="22"/>
        </w:rPr>
      </w:pPr>
      <w:r>
        <w:rPr>
          <w:rFonts w:asciiTheme="minorHAnsi" w:hAnsiTheme="minorHAnsi"/>
          <w:sz w:val="22"/>
        </w:rPr>
        <w:t>Be authentic (mirror the skills needed in the workplace)</w:t>
      </w:r>
    </w:p>
    <w:p w:rsidR="00AE5FC7" w:rsidRPr="00743200" w:rsidRDefault="00AE5FC7" w:rsidP="00944147">
      <w:pPr>
        <w:pStyle w:val="ListParagraph"/>
        <w:spacing w:line="240" w:lineRule="auto"/>
        <w:ind w:left="426" w:hanging="426"/>
        <w:jc w:val="both"/>
        <w:rPr>
          <w:rFonts w:asciiTheme="minorHAnsi" w:hAnsiTheme="minorHAnsi"/>
          <w:sz w:val="22"/>
        </w:rPr>
      </w:pPr>
      <w:r>
        <w:rPr>
          <w:rFonts w:asciiTheme="minorHAnsi" w:hAnsiTheme="minorHAnsi"/>
          <w:sz w:val="22"/>
        </w:rPr>
        <w:t>(Centre for Study of Higher Education, 2002)</w:t>
      </w:r>
    </w:p>
    <w:p w:rsidR="00A05D96" w:rsidRDefault="00A05D96" w:rsidP="00944147">
      <w:pPr>
        <w:spacing w:line="240" w:lineRule="auto"/>
        <w:jc w:val="both"/>
        <w:rPr>
          <w:rFonts w:asciiTheme="minorHAnsi" w:hAnsiTheme="minorHAnsi"/>
          <w:sz w:val="22"/>
        </w:rPr>
      </w:pPr>
    </w:p>
    <w:p w:rsidR="00A05D96" w:rsidRDefault="00A05D96" w:rsidP="00944147">
      <w:pPr>
        <w:spacing w:line="240" w:lineRule="auto"/>
        <w:jc w:val="both"/>
        <w:rPr>
          <w:rFonts w:asciiTheme="minorHAnsi" w:hAnsiTheme="minorHAnsi"/>
          <w:sz w:val="22"/>
        </w:rPr>
      </w:pPr>
      <w:r>
        <w:rPr>
          <w:rFonts w:asciiTheme="minorHAnsi" w:hAnsiTheme="minorHAnsi"/>
          <w:sz w:val="22"/>
        </w:rPr>
        <w:t xml:space="preserve">Assessment data can be gathered informally and ‘of the moment’. Formal assessment ensures consistency in the interpretation of student progress and achievement. </w:t>
      </w:r>
      <w:r w:rsidR="00C50632">
        <w:rPr>
          <w:rFonts w:asciiTheme="minorHAnsi" w:hAnsiTheme="minorHAnsi"/>
          <w:sz w:val="22"/>
        </w:rPr>
        <w:t>Assessments may also be formative or summative.</w:t>
      </w:r>
    </w:p>
    <w:p w:rsidR="00C50632" w:rsidRDefault="00C50632" w:rsidP="00944147">
      <w:pPr>
        <w:spacing w:line="240" w:lineRule="auto"/>
        <w:jc w:val="both"/>
        <w:rPr>
          <w:rFonts w:asciiTheme="minorHAnsi" w:hAnsiTheme="minorHAnsi"/>
          <w:sz w:val="22"/>
        </w:rPr>
      </w:pPr>
    </w:p>
    <w:p w:rsidR="007B60E2" w:rsidRDefault="00C50632" w:rsidP="00944147">
      <w:pPr>
        <w:spacing w:line="240" w:lineRule="auto"/>
        <w:jc w:val="both"/>
        <w:rPr>
          <w:rFonts w:asciiTheme="minorHAnsi" w:hAnsiTheme="minorHAnsi"/>
          <w:sz w:val="22"/>
        </w:rPr>
      </w:pPr>
      <w:r>
        <w:rPr>
          <w:rFonts w:asciiTheme="minorHAnsi" w:hAnsiTheme="minorHAnsi"/>
          <w:b/>
          <w:sz w:val="22"/>
        </w:rPr>
        <w:t xml:space="preserve">Formative assessment </w:t>
      </w:r>
      <w:r>
        <w:rPr>
          <w:rFonts w:asciiTheme="minorHAnsi" w:hAnsiTheme="minorHAnsi"/>
          <w:sz w:val="22"/>
        </w:rPr>
        <w:t xml:space="preserve">is developmental and is used to guide student learning and progression by giving feedback to help learning and promote further improvement during their ongoing educational </w:t>
      </w:r>
      <w:r>
        <w:rPr>
          <w:rFonts w:asciiTheme="minorHAnsi" w:hAnsiTheme="minorHAnsi"/>
          <w:sz w:val="22"/>
        </w:rPr>
        <w:lastRenderedPageBreak/>
        <w:t xml:space="preserve">journey. </w:t>
      </w:r>
      <w:r w:rsidR="007537DE">
        <w:rPr>
          <w:rFonts w:asciiTheme="minorHAnsi" w:hAnsiTheme="minorHAnsi"/>
          <w:sz w:val="22"/>
        </w:rPr>
        <w:t>Formative assessments do not count towards the final grade</w:t>
      </w:r>
      <w:r w:rsidR="00371374">
        <w:rPr>
          <w:rFonts w:asciiTheme="minorHAnsi" w:hAnsiTheme="minorHAnsi"/>
          <w:sz w:val="22"/>
        </w:rPr>
        <w:t xml:space="preserve"> and usually occur throughout the period of study. </w:t>
      </w:r>
      <w:r>
        <w:rPr>
          <w:rFonts w:asciiTheme="minorHAnsi" w:hAnsiTheme="minorHAnsi"/>
          <w:b/>
          <w:sz w:val="22"/>
        </w:rPr>
        <w:t>Summative assessment</w:t>
      </w:r>
      <w:r>
        <w:rPr>
          <w:rFonts w:asciiTheme="minorHAnsi" w:hAnsiTheme="minorHAnsi"/>
          <w:sz w:val="22"/>
        </w:rPr>
        <w:t xml:space="preserve"> </w:t>
      </w:r>
      <w:r w:rsidR="003B125A">
        <w:rPr>
          <w:rFonts w:asciiTheme="minorHAnsi" w:hAnsiTheme="minorHAnsi"/>
          <w:sz w:val="22"/>
        </w:rPr>
        <w:t>is the summary and judgment of</w:t>
      </w:r>
      <w:r>
        <w:rPr>
          <w:rFonts w:asciiTheme="minorHAnsi" w:hAnsiTheme="minorHAnsi"/>
          <w:sz w:val="22"/>
        </w:rPr>
        <w:t xml:space="preserve"> student achievement at a particular time</w:t>
      </w:r>
      <w:r w:rsidR="00371374">
        <w:rPr>
          <w:rFonts w:asciiTheme="minorHAnsi" w:hAnsiTheme="minorHAnsi"/>
          <w:sz w:val="22"/>
        </w:rPr>
        <w:t xml:space="preserve"> and it counts towards the final grade</w:t>
      </w:r>
      <w:r>
        <w:rPr>
          <w:rFonts w:asciiTheme="minorHAnsi" w:hAnsiTheme="minorHAnsi"/>
          <w:sz w:val="22"/>
        </w:rPr>
        <w:t xml:space="preserve">. It also guides student learning but its emphasis is on making decisions on satisfactory completion or readiness to progress to the next level of study. Summative assessments </w:t>
      </w:r>
      <w:r w:rsidR="00837B77">
        <w:rPr>
          <w:rFonts w:asciiTheme="minorHAnsi" w:hAnsiTheme="minorHAnsi"/>
          <w:sz w:val="22"/>
        </w:rPr>
        <w:t xml:space="preserve">ultimately protect and guarantee academic standards. </w:t>
      </w:r>
      <w:bookmarkStart w:id="1" w:name="16"/>
      <w:bookmarkStart w:id="2" w:name="value"/>
      <w:bookmarkStart w:id="3" w:name="reposition"/>
      <w:bookmarkEnd w:id="1"/>
      <w:bookmarkEnd w:id="2"/>
      <w:bookmarkEnd w:id="3"/>
    </w:p>
    <w:p w:rsidR="007537DE" w:rsidRDefault="007537DE" w:rsidP="00944147">
      <w:pPr>
        <w:spacing w:line="240" w:lineRule="auto"/>
        <w:jc w:val="both"/>
        <w:rPr>
          <w:rFonts w:asciiTheme="minorHAnsi" w:hAnsiTheme="minorHAnsi"/>
          <w:sz w:val="22"/>
        </w:rPr>
      </w:pPr>
    </w:p>
    <w:p w:rsidR="00371374" w:rsidRDefault="00371374" w:rsidP="00944147">
      <w:pPr>
        <w:spacing w:line="240" w:lineRule="auto"/>
        <w:jc w:val="both"/>
        <w:rPr>
          <w:rFonts w:asciiTheme="minorHAnsi" w:hAnsiTheme="minorHAnsi"/>
          <w:sz w:val="22"/>
        </w:rPr>
      </w:pPr>
      <w:r>
        <w:rPr>
          <w:rFonts w:asciiTheme="minorHAnsi" w:hAnsiTheme="minorHAnsi"/>
          <w:b/>
          <w:sz w:val="22"/>
        </w:rPr>
        <w:t xml:space="preserve">Valid </w:t>
      </w:r>
      <w:r>
        <w:rPr>
          <w:rFonts w:asciiTheme="minorHAnsi" w:hAnsiTheme="minorHAnsi"/>
          <w:sz w:val="22"/>
        </w:rPr>
        <w:t>assessments measure what they are supposed to measure.</w:t>
      </w:r>
    </w:p>
    <w:p w:rsidR="00371374" w:rsidRDefault="00371374" w:rsidP="00944147">
      <w:pPr>
        <w:spacing w:line="240" w:lineRule="auto"/>
        <w:jc w:val="both"/>
        <w:rPr>
          <w:rFonts w:asciiTheme="minorHAnsi" w:hAnsiTheme="minorHAnsi"/>
          <w:sz w:val="22"/>
        </w:rPr>
      </w:pPr>
      <w:r w:rsidRPr="00371374">
        <w:rPr>
          <w:rFonts w:asciiTheme="minorHAnsi" w:hAnsiTheme="minorHAnsi"/>
          <w:b/>
          <w:sz w:val="22"/>
        </w:rPr>
        <w:t xml:space="preserve">Reliable </w:t>
      </w:r>
      <w:r>
        <w:rPr>
          <w:rFonts w:asciiTheme="minorHAnsi" w:hAnsiTheme="minorHAnsi"/>
          <w:sz w:val="22"/>
        </w:rPr>
        <w:t>assessments can be repeated at another time and in another place and will still measure what they are intended to measure.</w:t>
      </w:r>
    </w:p>
    <w:p w:rsidR="00227110" w:rsidRDefault="00227110" w:rsidP="00944147">
      <w:pPr>
        <w:spacing w:line="240" w:lineRule="auto"/>
        <w:jc w:val="both"/>
        <w:rPr>
          <w:rFonts w:asciiTheme="minorHAnsi" w:hAnsiTheme="minorHAnsi"/>
          <w:sz w:val="22"/>
        </w:rPr>
      </w:pPr>
      <w:r>
        <w:rPr>
          <w:rFonts w:asciiTheme="minorHAnsi" w:hAnsiTheme="minorHAnsi"/>
          <w:sz w:val="22"/>
        </w:rPr>
        <w:t>Valid and reliable assessments can be achieved through self and peer assessment (formative and summative) as well as through teacher-led assessment process.</w:t>
      </w:r>
    </w:p>
    <w:p w:rsidR="00227110" w:rsidRDefault="00227110" w:rsidP="00944147">
      <w:pPr>
        <w:spacing w:line="240" w:lineRule="auto"/>
        <w:jc w:val="both"/>
        <w:rPr>
          <w:rFonts w:asciiTheme="minorHAnsi" w:hAnsiTheme="minorHAnsi"/>
          <w:sz w:val="22"/>
        </w:rPr>
      </w:pPr>
    </w:p>
    <w:p w:rsidR="00371374" w:rsidRDefault="00371374" w:rsidP="00944147">
      <w:pPr>
        <w:spacing w:line="240" w:lineRule="auto"/>
        <w:jc w:val="both"/>
        <w:rPr>
          <w:rFonts w:asciiTheme="minorHAnsi" w:hAnsiTheme="minorHAnsi"/>
          <w:sz w:val="22"/>
        </w:rPr>
      </w:pPr>
      <w:r>
        <w:rPr>
          <w:rFonts w:asciiTheme="minorHAnsi" w:hAnsiTheme="minorHAnsi"/>
          <w:b/>
          <w:sz w:val="22"/>
        </w:rPr>
        <w:t xml:space="preserve">Achievement-based </w:t>
      </w:r>
      <w:r>
        <w:rPr>
          <w:rFonts w:asciiTheme="minorHAnsi" w:hAnsiTheme="minorHAnsi"/>
          <w:sz w:val="22"/>
        </w:rPr>
        <w:t xml:space="preserve">assessments are measured against assessment criteria and students can achieve the same things at different levels of ability and are graded accordingly. </w:t>
      </w:r>
    </w:p>
    <w:p w:rsidR="00371374" w:rsidRDefault="00371374" w:rsidP="00944147">
      <w:pPr>
        <w:spacing w:line="240" w:lineRule="auto"/>
        <w:jc w:val="both"/>
        <w:rPr>
          <w:rFonts w:asciiTheme="minorHAnsi" w:hAnsiTheme="minorHAnsi"/>
          <w:sz w:val="22"/>
        </w:rPr>
      </w:pPr>
      <w:r>
        <w:rPr>
          <w:rFonts w:asciiTheme="minorHAnsi" w:hAnsiTheme="minorHAnsi"/>
          <w:b/>
          <w:sz w:val="22"/>
        </w:rPr>
        <w:t xml:space="preserve">Competency-based </w:t>
      </w:r>
      <w:r>
        <w:rPr>
          <w:rFonts w:asciiTheme="minorHAnsi" w:hAnsiTheme="minorHAnsi"/>
          <w:sz w:val="22"/>
        </w:rPr>
        <w:t xml:space="preserve">assessments are also measured against assessment criteria but no marks are awarded and students receive a pass/complete if they reach the minimum standard or a fail/incomplete if they do not. </w:t>
      </w:r>
    </w:p>
    <w:p w:rsidR="00371374" w:rsidRDefault="00371374" w:rsidP="00944147">
      <w:pPr>
        <w:pStyle w:val="Default"/>
        <w:jc w:val="both"/>
        <w:rPr>
          <w:color w:val="auto"/>
          <w:sz w:val="20"/>
          <w:szCs w:val="20"/>
        </w:rPr>
      </w:pPr>
      <w:r>
        <w:rPr>
          <w:rFonts w:asciiTheme="minorHAnsi" w:hAnsiTheme="minorHAnsi"/>
          <w:b/>
          <w:sz w:val="22"/>
        </w:rPr>
        <w:t xml:space="preserve">Moderation </w:t>
      </w:r>
      <w:r>
        <w:rPr>
          <w:color w:val="auto"/>
          <w:sz w:val="20"/>
          <w:szCs w:val="20"/>
        </w:rPr>
        <w:t xml:space="preserve">is a process that ensures assessments and grades are fair, valid and consistent. Moderation can be undertaken by a colleague of someone external to the organisation. </w:t>
      </w:r>
    </w:p>
    <w:p w:rsidR="00371374" w:rsidRPr="00371374" w:rsidRDefault="00371374" w:rsidP="00944147">
      <w:pPr>
        <w:spacing w:line="240" w:lineRule="auto"/>
        <w:jc w:val="both"/>
        <w:rPr>
          <w:rFonts w:asciiTheme="minorHAnsi" w:hAnsiTheme="minorHAnsi"/>
          <w:b/>
          <w:sz w:val="22"/>
        </w:rPr>
      </w:pPr>
    </w:p>
    <w:p w:rsidR="007537DE" w:rsidRPr="00837B77" w:rsidRDefault="007537DE" w:rsidP="00944147">
      <w:pPr>
        <w:spacing w:line="240" w:lineRule="auto"/>
        <w:jc w:val="both"/>
        <w:rPr>
          <w:rFonts w:asciiTheme="minorHAnsi" w:hAnsiTheme="minorHAnsi"/>
          <w:sz w:val="22"/>
        </w:rPr>
      </w:pPr>
    </w:p>
    <w:p w:rsidR="00B82695" w:rsidRDefault="00B82695" w:rsidP="00944147">
      <w:pPr>
        <w:pStyle w:val="NoSpacing"/>
        <w:jc w:val="both"/>
        <w:rPr>
          <w:sz w:val="28"/>
          <w:szCs w:val="28"/>
          <w:lang w:val="en-US"/>
        </w:rPr>
      </w:pPr>
    </w:p>
    <w:p w:rsidR="00856682" w:rsidRPr="00856682" w:rsidRDefault="00856682" w:rsidP="00944147">
      <w:pPr>
        <w:spacing w:after="120"/>
        <w:jc w:val="both"/>
        <w:rPr>
          <w:rFonts w:asciiTheme="minorHAnsi" w:hAnsiTheme="minorHAnsi"/>
          <w:b/>
          <w:sz w:val="28"/>
          <w:szCs w:val="28"/>
        </w:rPr>
      </w:pPr>
      <w:r w:rsidRPr="00856682">
        <w:rPr>
          <w:rFonts w:asciiTheme="minorHAnsi" w:hAnsiTheme="minorHAnsi"/>
          <w:b/>
          <w:sz w:val="28"/>
          <w:szCs w:val="28"/>
        </w:rPr>
        <w:t>Cultural Competence</w:t>
      </w:r>
    </w:p>
    <w:p w:rsidR="00D32439" w:rsidRDefault="00856682" w:rsidP="00944147">
      <w:pPr>
        <w:jc w:val="both"/>
        <w:rPr>
          <w:rFonts w:asciiTheme="minorHAnsi" w:hAnsiTheme="minorHAnsi"/>
          <w:sz w:val="22"/>
        </w:rPr>
      </w:pPr>
      <w:r w:rsidRPr="00856682">
        <w:rPr>
          <w:rFonts w:asciiTheme="minorHAnsi" w:hAnsiTheme="minorHAnsi"/>
          <w:sz w:val="22"/>
        </w:rPr>
        <w:t xml:space="preserve">The basis for our conscious commitment to cultural competence at </w:t>
      </w:r>
      <w:proofErr w:type="spellStart"/>
      <w:r w:rsidRPr="00856682">
        <w:rPr>
          <w:rFonts w:asciiTheme="minorHAnsi" w:hAnsiTheme="minorHAnsi"/>
          <w:sz w:val="22"/>
        </w:rPr>
        <w:t>Otago</w:t>
      </w:r>
      <w:proofErr w:type="spellEnd"/>
      <w:r w:rsidRPr="00856682">
        <w:rPr>
          <w:rFonts w:asciiTheme="minorHAnsi" w:hAnsiTheme="minorHAnsi"/>
          <w:sz w:val="22"/>
        </w:rPr>
        <w:t xml:space="preserve"> Polytechnic is in recognition of New Zealand’s founding agreement, the Treaty of Waitangi, and our partnership with local </w:t>
      </w:r>
      <w:proofErr w:type="spellStart"/>
      <w:r w:rsidRPr="00856682">
        <w:rPr>
          <w:rFonts w:asciiTheme="minorHAnsi" w:hAnsiTheme="minorHAnsi"/>
          <w:sz w:val="22"/>
        </w:rPr>
        <w:t>Rūnaka</w:t>
      </w:r>
      <w:proofErr w:type="spellEnd"/>
      <w:r w:rsidRPr="00856682">
        <w:rPr>
          <w:rFonts w:asciiTheme="minorHAnsi" w:hAnsiTheme="minorHAnsi"/>
          <w:sz w:val="22"/>
        </w:rPr>
        <w:t xml:space="preserve">. This commitment extends to all ethnicities and other definitions of cultures, and we are accepting of people from all cultural groups. </w:t>
      </w:r>
      <w:r w:rsidR="00D32439">
        <w:rPr>
          <w:rFonts w:asciiTheme="minorHAnsi" w:hAnsiTheme="minorHAnsi"/>
          <w:sz w:val="22"/>
        </w:rPr>
        <w:t>We use the word ‘culture’ because;</w:t>
      </w:r>
    </w:p>
    <w:p w:rsidR="00D32439" w:rsidRDefault="00D32439" w:rsidP="00944147">
      <w:pPr>
        <w:jc w:val="both"/>
        <w:rPr>
          <w:rFonts w:asciiTheme="minorHAnsi" w:hAnsiTheme="minorHAnsi"/>
          <w:sz w:val="22"/>
        </w:rPr>
      </w:pPr>
      <w:r>
        <w:rPr>
          <w:rFonts w:asciiTheme="minorHAnsi" w:hAnsiTheme="minorHAnsi"/>
          <w:sz w:val="22"/>
        </w:rPr>
        <w:t>I</w:t>
      </w:r>
      <w:r w:rsidRPr="00856682">
        <w:rPr>
          <w:rFonts w:asciiTheme="minorHAnsi" w:hAnsiTheme="minorHAnsi"/>
          <w:sz w:val="22"/>
        </w:rPr>
        <w:t>t implies the pattern of human behavior that includes thoughts, communications, actions, customs, beliefs, values and institutions of a racial, ethnic, religious or social group. The word competence is used because it implies having the ca</w:t>
      </w:r>
      <w:r>
        <w:rPr>
          <w:rFonts w:asciiTheme="minorHAnsi" w:hAnsiTheme="minorHAnsi"/>
          <w:sz w:val="22"/>
        </w:rPr>
        <w:t>pacity to function effectively</w:t>
      </w:r>
      <w:r w:rsidRPr="00856682">
        <w:rPr>
          <w:rFonts w:asciiTheme="minorHAnsi" w:hAnsiTheme="minorHAnsi"/>
          <w:sz w:val="22"/>
        </w:rPr>
        <w:t xml:space="preserve"> (Kelley, 2010, p.8.)</w:t>
      </w:r>
      <w:r>
        <w:rPr>
          <w:rFonts w:asciiTheme="minorHAnsi" w:hAnsiTheme="minorHAnsi"/>
          <w:sz w:val="22"/>
        </w:rPr>
        <w:t>.</w:t>
      </w:r>
    </w:p>
    <w:p w:rsidR="00D32439" w:rsidRDefault="00D32439" w:rsidP="00944147">
      <w:pPr>
        <w:jc w:val="both"/>
        <w:rPr>
          <w:rFonts w:asciiTheme="minorHAnsi" w:hAnsiTheme="minorHAnsi"/>
          <w:sz w:val="22"/>
        </w:rPr>
      </w:pPr>
    </w:p>
    <w:p w:rsidR="00856682" w:rsidRPr="00856682" w:rsidRDefault="00856682" w:rsidP="00944147">
      <w:pPr>
        <w:jc w:val="both"/>
        <w:rPr>
          <w:rFonts w:asciiTheme="minorHAnsi" w:hAnsiTheme="minorHAnsi"/>
          <w:sz w:val="22"/>
        </w:rPr>
      </w:pPr>
      <w:r w:rsidRPr="00856682">
        <w:rPr>
          <w:rFonts w:asciiTheme="minorHAnsi" w:hAnsiTheme="minorHAnsi"/>
          <w:sz w:val="22"/>
        </w:rPr>
        <w:t>We foster a safe learning environment which is inclusive of cultural diversity and supports all students irrespective of ethnicity and gender identity.</w:t>
      </w:r>
      <w:r w:rsidR="00D32439">
        <w:rPr>
          <w:rFonts w:asciiTheme="minorHAnsi" w:hAnsiTheme="minorHAnsi"/>
          <w:sz w:val="22"/>
        </w:rPr>
        <w:t xml:space="preserve"> </w:t>
      </w:r>
      <w:r w:rsidRPr="00856682">
        <w:rPr>
          <w:rFonts w:asciiTheme="minorHAnsi" w:hAnsiTheme="minorHAnsi"/>
          <w:sz w:val="22"/>
        </w:rPr>
        <w:t xml:space="preserve">Staff at </w:t>
      </w:r>
      <w:proofErr w:type="spellStart"/>
      <w:r w:rsidRPr="00856682">
        <w:rPr>
          <w:rFonts w:asciiTheme="minorHAnsi" w:hAnsiTheme="minorHAnsi"/>
          <w:sz w:val="22"/>
        </w:rPr>
        <w:t>Otago</w:t>
      </w:r>
      <w:proofErr w:type="spellEnd"/>
      <w:r w:rsidRPr="00856682">
        <w:rPr>
          <w:rFonts w:asciiTheme="minorHAnsi" w:hAnsiTheme="minorHAnsi"/>
          <w:sz w:val="22"/>
        </w:rPr>
        <w:t xml:space="preserve"> Polytechnic are cultural</w:t>
      </w:r>
      <w:r>
        <w:rPr>
          <w:rFonts w:asciiTheme="minorHAnsi" w:hAnsiTheme="minorHAnsi"/>
          <w:sz w:val="22"/>
        </w:rPr>
        <w:t>ly</w:t>
      </w:r>
      <w:r w:rsidRPr="00856682">
        <w:rPr>
          <w:rFonts w:asciiTheme="minorHAnsi" w:hAnsiTheme="minorHAnsi"/>
          <w:sz w:val="22"/>
        </w:rPr>
        <w:t xml:space="preserve"> competent, meaning </w:t>
      </w:r>
      <w:r>
        <w:rPr>
          <w:rFonts w:asciiTheme="minorHAnsi" w:hAnsiTheme="minorHAnsi"/>
          <w:sz w:val="22"/>
        </w:rPr>
        <w:t xml:space="preserve">that </w:t>
      </w:r>
      <w:r w:rsidRPr="00856682">
        <w:rPr>
          <w:rFonts w:asciiTheme="minorHAnsi" w:hAnsiTheme="minorHAnsi"/>
          <w:sz w:val="22"/>
        </w:rPr>
        <w:t>they</w:t>
      </w:r>
      <w:r>
        <w:rPr>
          <w:rFonts w:asciiTheme="minorHAnsi" w:hAnsiTheme="minorHAnsi"/>
          <w:sz w:val="22"/>
        </w:rPr>
        <w:t>:</w:t>
      </w:r>
      <w:r w:rsidRPr="00856682">
        <w:rPr>
          <w:rFonts w:asciiTheme="minorHAnsi" w:hAnsiTheme="minorHAnsi"/>
          <w:sz w:val="22"/>
        </w:rPr>
        <w:t xml:space="preserve"> </w:t>
      </w:r>
    </w:p>
    <w:p w:rsidR="00856682" w:rsidRPr="00856682" w:rsidRDefault="00D32439" w:rsidP="00944147">
      <w:pPr>
        <w:pStyle w:val="ListParagraph"/>
        <w:numPr>
          <w:ilvl w:val="0"/>
          <w:numId w:val="28"/>
        </w:numPr>
        <w:spacing w:line="240" w:lineRule="auto"/>
        <w:ind w:left="567" w:hanging="283"/>
        <w:jc w:val="both"/>
        <w:rPr>
          <w:rFonts w:asciiTheme="minorHAnsi" w:hAnsiTheme="minorHAnsi"/>
          <w:sz w:val="22"/>
        </w:rPr>
      </w:pPr>
      <w:r>
        <w:rPr>
          <w:rFonts w:asciiTheme="minorHAnsi" w:hAnsiTheme="minorHAnsi"/>
          <w:sz w:val="22"/>
        </w:rPr>
        <w:t>A</w:t>
      </w:r>
      <w:r w:rsidR="00856682" w:rsidRPr="00856682">
        <w:rPr>
          <w:rFonts w:asciiTheme="minorHAnsi" w:hAnsiTheme="minorHAnsi"/>
          <w:sz w:val="22"/>
        </w:rPr>
        <w:t>re aware of their own cultural perspectives and attitude towards difference</w:t>
      </w:r>
    </w:p>
    <w:p w:rsidR="00856682" w:rsidRPr="00856682" w:rsidRDefault="00D32439" w:rsidP="00944147">
      <w:pPr>
        <w:pStyle w:val="ListParagraph"/>
        <w:numPr>
          <w:ilvl w:val="0"/>
          <w:numId w:val="28"/>
        </w:numPr>
        <w:spacing w:line="240" w:lineRule="auto"/>
        <w:ind w:left="567" w:hanging="283"/>
        <w:jc w:val="both"/>
        <w:rPr>
          <w:rFonts w:asciiTheme="minorHAnsi" w:hAnsiTheme="minorHAnsi"/>
          <w:sz w:val="22"/>
        </w:rPr>
      </w:pPr>
      <w:r>
        <w:rPr>
          <w:rFonts w:asciiTheme="minorHAnsi" w:hAnsiTheme="minorHAnsi"/>
          <w:sz w:val="22"/>
        </w:rPr>
        <w:t>A</w:t>
      </w:r>
      <w:r w:rsidR="00856682">
        <w:rPr>
          <w:rFonts w:asciiTheme="minorHAnsi" w:hAnsiTheme="minorHAnsi"/>
          <w:sz w:val="22"/>
        </w:rPr>
        <w:t>re</w:t>
      </w:r>
      <w:r w:rsidR="00856682" w:rsidRPr="00856682">
        <w:rPr>
          <w:rFonts w:asciiTheme="minorHAnsi" w:hAnsiTheme="minorHAnsi"/>
          <w:sz w:val="22"/>
        </w:rPr>
        <w:t xml:space="preserve"> knowledge</w:t>
      </w:r>
      <w:r w:rsidR="00856682">
        <w:rPr>
          <w:rFonts w:asciiTheme="minorHAnsi" w:hAnsiTheme="minorHAnsi"/>
          <w:sz w:val="22"/>
        </w:rPr>
        <w:t>able</w:t>
      </w:r>
      <w:r w:rsidR="00856682" w:rsidRPr="00856682">
        <w:rPr>
          <w:rFonts w:asciiTheme="minorHAnsi" w:hAnsiTheme="minorHAnsi"/>
          <w:sz w:val="22"/>
        </w:rPr>
        <w:t xml:space="preserve"> of diversity and differing perspectives</w:t>
      </w:r>
    </w:p>
    <w:p w:rsidR="00856682" w:rsidRPr="00856682" w:rsidRDefault="00D32439" w:rsidP="00944147">
      <w:pPr>
        <w:pStyle w:val="ListParagraph"/>
        <w:numPr>
          <w:ilvl w:val="0"/>
          <w:numId w:val="28"/>
        </w:numPr>
        <w:spacing w:line="240" w:lineRule="auto"/>
        <w:ind w:left="567" w:hanging="283"/>
        <w:jc w:val="both"/>
        <w:rPr>
          <w:rFonts w:asciiTheme="minorHAnsi" w:hAnsiTheme="minorHAnsi"/>
          <w:sz w:val="22"/>
        </w:rPr>
      </w:pPr>
      <w:r>
        <w:rPr>
          <w:rFonts w:asciiTheme="minorHAnsi" w:hAnsiTheme="minorHAnsi"/>
          <w:sz w:val="22"/>
        </w:rPr>
        <w:t>A</w:t>
      </w:r>
      <w:r w:rsidR="00856682">
        <w:rPr>
          <w:rFonts w:asciiTheme="minorHAnsi" w:hAnsiTheme="minorHAnsi"/>
          <w:sz w:val="22"/>
        </w:rPr>
        <w:t>re skillful</w:t>
      </w:r>
      <w:r w:rsidR="00856682" w:rsidRPr="00856682">
        <w:rPr>
          <w:rFonts w:asciiTheme="minorHAnsi" w:hAnsiTheme="minorHAnsi"/>
          <w:sz w:val="22"/>
        </w:rPr>
        <w:t xml:space="preserve"> </w:t>
      </w:r>
      <w:r w:rsidR="00856682">
        <w:rPr>
          <w:rFonts w:asciiTheme="minorHAnsi" w:hAnsiTheme="minorHAnsi"/>
          <w:sz w:val="22"/>
        </w:rPr>
        <w:t>in</w:t>
      </w:r>
      <w:r w:rsidR="00856682" w:rsidRPr="00856682">
        <w:rPr>
          <w:rFonts w:asciiTheme="minorHAnsi" w:hAnsiTheme="minorHAnsi"/>
          <w:sz w:val="22"/>
        </w:rPr>
        <w:t xml:space="preserve"> communicating and interacting with others across cultures</w:t>
      </w:r>
    </w:p>
    <w:p w:rsidR="00856682" w:rsidRPr="00856682" w:rsidRDefault="00D32439" w:rsidP="00944147">
      <w:pPr>
        <w:pStyle w:val="ListParagraph"/>
        <w:numPr>
          <w:ilvl w:val="0"/>
          <w:numId w:val="28"/>
        </w:numPr>
        <w:spacing w:line="240" w:lineRule="auto"/>
        <w:ind w:left="567" w:hanging="283"/>
        <w:jc w:val="both"/>
        <w:rPr>
          <w:rFonts w:asciiTheme="minorHAnsi" w:hAnsiTheme="minorHAnsi"/>
          <w:sz w:val="22"/>
        </w:rPr>
      </w:pPr>
      <w:r>
        <w:rPr>
          <w:rFonts w:asciiTheme="minorHAnsi" w:hAnsiTheme="minorHAnsi"/>
          <w:sz w:val="22"/>
        </w:rPr>
        <w:t>R</w:t>
      </w:r>
      <w:r w:rsidR="00856682">
        <w:rPr>
          <w:rFonts w:asciiTheme="minorHAnsi" w:hAnsiTheme="minorHAnsi"/>
          <w:sz w:val="22"/>
        </w:rPr>
        <w:t xml:space="preserve">espect </w:t>
      </w:r>
      <w:r w:rsidR="00856682" w:rsidRPr="00856682">
        <w:rPr>
          <w:rFonts w:asciiTheme="minorHAnsi" w:hAnsiTheme="minorHAnsi"/>
          <w:sz w:val="22"/>
        </w:rPr>
        <w:t>diversity.</w:t>
      </w:r>
    </w:p>
    <w:p w:rsidR="00856682" w:rsidRPr="00856682" w:rsidRDefault="00856682" w:rsidP="00944147">
      <w:pPr>
        <w:pStyle w:val="ListParagraph"/>
        <w:ind w:left="0"/>
        <w:jc w:val="both"/>
        <w:rPr>
          <w:rFonts w:asciiTheme="minorHAnsi" w:hAnsiTheme="minorHAnsi"/>
          <w:sz w:val="22"/>
        </w:rPr>
      </w:pPr>
    </w:p>
    <w:p w:rsidR="00923BFE" w:rsidRDefault="00923BFE" w:rsidP="00944147">
      <w:pPr>
        <w:jc w:val="both"/>
        <w:rPr>
          <w:rFonts w:asciiTheme="minorHAnsi" w:hAnsiTheme="minorHAnsi"/>
          <w:sz w:val="22"/>
        </w:rPr>
      </w:pPr>
      <w:r>
        <w:rPr>
          <w:rFonts w:asciiTheme="minorHAnsi" w:hAnsiTheme="minorHAnsi"/>
          <w:sz w:val="22"/>
        </w:rPr>
        <w:t>As stated by the New Zealand Teacher’s Council (</w:t>
      </w:r>
      <w:proofErr w:type="spellStart"/>
      <w:r>
        <w:rPr>
          <w:rFonts w:asciiTheme="minorHAnsi" w:hAnsiTheme="minorHAnsi"/>
          <w:sz w:val="22"/>
        </w:rPr>
        <w:t>n.d.</w:t>
      </w:r>
      <w:proofErr w:type="spellEnd"/>
      <w:r>
        <w:rPr>
          <w:rFonts w:asciiTheme="minorHAnsi" w:hAnsiTheme="minorHAnsi"/>
          <w:sz w:val="22"/>
        </w:rPr>
        <w:t xml:space="preserve"> p.2):</w:t>
      </w:r>
    </w:p>
    <w:p w:rsidR="00923BFE" w:rsidRDefault="00856682" w:rsidP="00944147">
      <w:pPr>
        <w:ind w:left="720"/>
        <w:jc w:val="both"/>
        <w:rPr>
          <w:rFonts w:asciiTheme="minorHAnsi" w:hAnsiTheme="minorHAnsi"/>
          <w:sz w:val="22"/>
        </w:rPr>
      </w:pPr>
      <w:r w:rsidRPr="00856682">
        <w:rPr>
          <w:rFonts w:asciiTheme="minorHAnsi" w:hAnsiTheme="minorHAnsi"/>
          <w:sz w:val="22"/>
        </w:rPr>
        <w:t xml:space="preserve">Culturally competent teachers are able to use the learner’s culture/s as a building block to learn and teach. They understand how to </w:t>
      </w:r>
      <w:proofErr w:type="spellStart"/>
      <w:r w:rsidRPr="00856682">
        <w:rPr>
          <w:rFonts w:asciiTheme="minorHAnsi" w:hAnsiTheme="minorHAnsi"/>
          <w:sz w:val="22"/>
        </w:rPr>
        <w:t>utilise</w:t>
      </w:r>
      <w:proofErr w:type="spellEnd"/>
      <w:r w:rsidRPr="00856682">
        <w:rPr>
          <w:rFonts w:asciiTheme="minorHAnsi" w:hAnsiTheme="minorHAnsi"/>
          <w:sz w:val="22"/>
        </w:rPr>
        <w:t xml:space="preserve"> the learner’s culture/s to aid the teaching and learning process, as well as to facilitate relatio</w:t>
      </w:r>
      <w:r w:rsidR="00923BFE">
        <w:rPr>
          <w:rFonts w:asciiTheme="minorHAnsi" w:hAnsiTheme="minorHAnsi"/>
          <w:sz w:val="22"/>
        </w:rPr>
        <w:t>nships and professional growth.</w:t>
      </w:r>
    </w:p>
    <w:p w:rsidR="00856682" w:rsidRPr="00856682" w:rsidRDefault="00856682" w:rsidP="00944147">
      <w:pPr>
        <w:jc w:val="both"/>
        <w:rPr>
          <w:rFonts w:asciiTheme="minorHAnsi" w:hAnsiTheme="minorHAnsi"/>
          <w:sz w:val="22"/>
        </w:rPr>
      </w:pPr>
    </w:p>
    <w:p w:rsidR="00856682" w:rsidRPr="00856682" w:rsidRDefault="00856682" w:rsidP="00944147">
      <w:pPr>
        <w:jc w:val="both"/>
        <w:rPr>
          <w:rFonts w:asciiTheme="minorHAnsi" w:hAnsiTheme="minorHAnsi"/>
          <w:sz w:val="22"/>
        </w:rPr>
      </w:pPr>
      <w:r w:rsidRPr="00856682">
        <w:rPr>
          <w:rFonts w:asciiTheme="minorHAnsi" w:hAnsiTheme="minorHAnsi"/>
          <w:sz w:val="22"/>
        </w:rPr>
        <w:t xml:space="preserve">An important aspect of cultural competence for a teacher/facilitator is, once having identified your own culture and </w:t>
      </w:r>
      <w:proofErr w:type="spellStart"/>
      <w:r w:rsidRPr="00856682">
        <w:rPr>
          <w:rFonts w:asciiTheme="minorHAnsi" w:hAnsiTheme="minorHAnsi"/>
          <w:sz w:val="22"/>
        </w:rPr>
        <w:t>recognised</w:t>
      </w:r>
      <w:proofErr w:type="spellEnd"/>
      <w:r w:rsidRPr="00856682">
        <w:rPr>
          <w:rFonts w:asciiTheme="minorHAnsi" w:hAnsiTheme="minorHAnsi"/>
          <w:sz w:val="22"/>
        </w:rPr>
        <w:t xml:space="preserve"> difference, to reframe “the differences so that diversity is not seen as a problem to be solved” (Lindsey, Robins, &amp; Terrell, 2003).  Acknowledging differing values, beliefs, cultural practices and perspectives enables supportive learning environments to be created. </w:t>
      </w:r>
    </w:p>
    <w:p w:rsidR="00856682" w:rsidRPr="00856682" w:rsidRDefault="00856682" w:rsidP="00944147">
      <w:pPr>
        <w:jc w:val="both"/>
        <w:rPr>
          <w:rFonts w:asciiTheme="minorHAnsi" w:hAnsiTheme="minorHAnsi"/>
          <w:sz w:val="22"/>
        </w:rPr>
      </w:pPr>
    </w:p>
    <w:p w:rsidR="00856682" w:rsidRPr="00856682" w:rsidRDefault="00856682" w:rsidP="00944147">
      <w:pPr>
        <w:jc w:val="both"/>
        <w:rPr>
          <w:rFonts w:asciiTheme="minorHAnsi" w:hAnsiTheme="minorHAnsi"/>
          <w:sz w:val="22"/>
        </w:rPr>
      </w:pPr>
      <w:r w:rsidRPr="00856682">
        <w:rPr>
          <w:rFonts w:asciiTheme="minorHAnsi" w:hAnsiTheme="minorHAnsi"/>
          <w:sz w:val="22"/>
        </w:rPr>
        <w:lastRenderedPageBreak/>
        <w:t xml:space="preserve">Additionally, a priority in OP’s </w:t>
      </w:r>
      <w:proofErr w:type="spellStart"/>
      <w:r w:rsidRPr="00856682">
        <w:rPr>
          <w:rFonts w:asciiTheme="minorHAnsi" w:hAnsiTheme="minorHAnsi"/>
          <w:sz w:val="22"/>
        </w:rPr>
        <w:t>internationalisation</w:t>
      </w:r>
      <w:proofErr w:type="spellEnd"/>
      <w:r w:rsidRPr="00856682">
        <w:rPr>
          <w:rFonts w:asciiTheme="minorHAnsi" w:hAnsiTheme="minorHAnsi"/>
          <w:sz w:val="22"/>
        </w:rPr>
        <w:t xml:space="preserve"> strategy is to improve the learner experience for international students. </w:t>
      </w:r>
      <w:r w:rsidR="00D32439" w:rsidRPr="00856682">
        <w:rPr>
          <w:rFonts w:asciiTheme="minorHAnsi" w:hAnsiTheme="minorHAnsi"/>
          <w:sz w:val="22"/>
        </w:rPr>
        <w:t xml:space="preserve">How we are approach learning is </w:t>
      </w:r>
      <w:proofErr w:type="spellStart"/>
      <w:r w:rsidR="00D32439" w:rsidRPr="00856682">
        <w:rPr>
          <w:rFonts w:asciiTheme="minorHAnsi" w:hAnsiTheme="minorHAnsi"/>
          <w:sz w:val="22"/>
        </w:rPr>
        <w:t>flavoured</w:t>
      </w:r>
      <w:proofErr w:type="spellEnd"/>
      <w:r w:rsidR="00D32439" w:rsidRPr="00856682">
        <w:rPr>
          <w:rFonts w:asciiTheme="minorHAnsi" w:hAnsiTheme="minorHAnsi"/>
          <w:sz w:val="22"/>
        </w:rPr>
        <w:t xml:space="preserve"> by the cultures we grow up in: educational values, </w:t>
      </w:r>
      <w:proofErr w:type="spellStart"/>
      <w:r w:rsidR="00D32439" w:rsidRPr="00856682">
        <w:rPr>
          <w:rFonts w:asciiTheme="minorHAnsi" w:hAnsiTheme="minorHAnsi"/>
          <w:sz w:val="22"/>
        </w:rPr>
        <w:t>behaviours</w:t>
      </w:r>
      <w:proofErr w:type="spellEnd"/>
      <w:r w:rsidR="00D32439" w:rsidRPr="00856682">
        <w:rPr>
          <w:rFonts w:asciiTheme="minorHAnsi" w:hAnsiTheme="minorHAnsi"/>
          <w:sz w:val="22"/>
        </w:rPr>
        <w:t xml:space="preserve"> and skills are acquired through schooling. Students may not be aware that in the learning environment of another culture, their skills, </w:t>
      </w:r>
      <w:proofErr w:type="spellStart"/>
      <w:r w:rsidR="00D32439" w:rsidRPr="00856682">
        <w:rPr>
          <w:rFonts w:asciiTheme="minorHAnsi" w:hAnsiTheme="minorHAnsi"/>
          <w:sz w:val="22"/>
        </w:rPr>
        <w:t>behaviours</w:t>
      </w:r>
      <w:proofErr w:type="spellEnd"/>
      <w:r w:rsidR="00D32439" w:rsidRPr="00856682">
        <w:rPr>
          <w:rFonts w:asciiTheme="minorHAnsi" w:hAnsiTheme="minorHAnsi"/>
          <w:sz w:val="22"/>
        </w:rPr>
        <w:t xml:space="preserve"> and expectations may not match those of their teachers, and vice versa (McLean and Ransom, 2005).</w:t>
      </w:r>
      <w:r w:rsidR="00D32439">
        <w:rPr>
          <w:rFonts w:asciiTheme="minorHAnsi" w:hAnsiTheme="minorHAnsi"/>
          <w:sz w:val="22"/>
        </w:rPr>
        <w:t xml:space="preserve"> </w:t>
      </w:r>
      <w:r w:rsidRPr="00856682">
        <w:rPr>
          <w:rFonts w:asciiTheme="minorHAnsi" w:hAnsiTheme="minorHAnsi"/>
          <w:sz w:val="22"/>
        </w:rPr>
        <w:t xml:space="preserve">Effective interaction with students from other ethnicities and gender identity requires an awareness of one's own cultural worldview, a positive attitude towards cultural differences, knowledge of different cultural practices and worldviews, and cross-cultural communication skills. </w:t>
      </w:r>
    </w:p>
    <w:p w:rsidR="00856682" w:rsidRPr="00856682" w:rsidRDefault="00856682" w:rsidP="00944147">
      <w:pPr>
        <w:jc w:val="both"/>
        <w:rPr>
          <w:rFonts w:asciiTheme="minorHAnsi" w:hAnsiTheme="minorHAnsi"/>
          <w:sz w:val="22"/>
        </w:rPr>
      </w:pPr>
    </w:p>
    <w:p w:rsidR="00856682" w:rsidRPr="00856682" w:rsidRDefault="00856682" w:rsidP="00944147">
      <w:pPr>
        <w:jc w:val="both"/>
        <w:rPr>
          <w:rFonts w:asciiTheme="minorHAnsi" w:hAnsiTheme="minorHAnsi"/>
          <w:sz w:val="22"/>
        </w:rPr>
      </w:pPr>
      <w:r w:rsidRPr="00856682">
        <w:rPr>
          <w:rFonts w:asciiTheme="minorHAnsi" w:hAnsiTheme="minorHAnsi"/>
          <w:sz w:val="22"/>
        </w:rPr>
        <w:t xml:space="preserve">Culturally responsive teaching </w:t>
      </w:r>
      <w:r w:rsidR="00D32439">
        <w:rPr>
          <w:rFonts w:asciiTheme="minorHAnsi" w:hAnsiTheme="minorHAnsi"/>
          <w:sz w:val="22"/>
        </w:rPr>
        <w:t xml:space="preserve">and facilitation of learning </w:t>
      </w:r>
      <w:r w:rsidRPr="00856682">
        <w:rPr>
          <w:rFonts w:asciiTheme="minorHAnsi" w:hAnsiTheme="minorHAnsi"/>
          <w:sz w:val="22"/>
        </w:rPr>
        <w:t>occurs when teachers/facilitators:</w:t>
      </w:r>
    </w:p>
    <w:p w:rsidR="00856682" w:rsidRPr="00856682" w:rsidRDefault="00856682" w:rsidP="00944147">
      <w:pPr>
        <w:pStyle w:val="ListParagraph"/>
        <w:widowControl w:val="0"/>
        <w:numPr>
          <w:ilvl w:val="0"/>
          <w:numId w:val="27"/>
        </w:numPr>
        <w:tabs>
          <w:tab w:val="left" w:pos="220"/>
          <w:tab w:val="left" w:pos="720"/>
        </w:tabs>
        <w:autoSpaceDE w:val="0"/>
        <w:autoSpaceDN w:val="0"/>
        <w:adjustRightInd w:val="0"/>
        <w:spacing w:line="240" w:lineRule="auto"/>
        <w:ind w:left="851" w:hanging="567"/>
        <w:jc w:val="both"/>
        <w:rPr>
          <w:rFonts w:asciiTheme="minorHAnsi" w:hAnsiTheme="minorHAnsi" w:cs="Times"/>
          <w:sz w:val="22"/>
        </w:rPr>
      </w:pPr>
      <w:r w:rsidRPr="00856682">
        <w:rPr>
          <w:rFonts w:asciiTheme="minorHAnsi" w:hAnsiTheme="minorHAnsi" w:cs="Times"/>
          <w:sz w:val="22"/>
        </w:rPr>
        <w:t xml:space="preserve">Develop and embrace a knowledge base about cultural diversity and the reality of the cultural experiences that students bring to the learning environment </w:t>
      </w:r>
    </w:p>
    <w:p w:rsidR="00856682" w:rsidRPr="00856682" w:rsidRDefault="00D32439" w:rsidP="00944147">
      <w:pPr>
        <w:pStyle w:val="ListParagraph"/>
        <w:widowControl w:val="0"/>
        <w:numPr>
          <w:ilvl w:val="0"/>
          <w:numId w:val="27"/>
        </w:numPr>
        <w:tabs>
          <w:tab w:val="left" w:pos="220"/>
          <w:tab w:val="left" w:pos="720"/>
        </w:tabs>
        <w:autoSpaceDE w:val="0"/>
        <w:autoSpaceDN w:val="0"/>
        <w:adjustRightInd w:val="0"/>
        <w:spacing w:line="240" w:lineRule="auto"/>
        <w:ind w:left="851" w:hanging="567"/>
        <w:jc w:val="both"/>
        <w:rPr>
          <w:rFonts w:asciiTheme="minorHAnsi" w:hAnsiTheme="minorHAnsi" w:cs="Times"/>
          <w:sz w:val="22"/>
        </w:rPr>
      </w:pPr>
      <w:proofErr w:type="spellStart"/>
      <w:r>
        <w:rPr>
          <w:rFonts w:asciiTheme="minorHAnsi" w:hAnsiTheme="minorHAnsi" w:cs="Times"/>
          <w:sz w:val="22"/>
        </w:rPr>
        <w:t>Recognise</w:t>
      </w:r>
      <w:proofErr w:type="spellEnd"/>
      <w:r>
        <w:rPr>
          <w:rFonts w:asciiTheme="minorHAnsi" w:hAnsiTheme="minorHAnsi" w:cs="Times"/>
          <w:sz w:val="22"/>
        </w:rPr>
        <w:t xml:space="preserve"> and o</w:t>
      </w:r>
      <w:r w:rsidR="00856682" w:rsidRPr="00856682">
        <w:rPr>
          <w:rFonts w:asciiTheme="minorHAnsi" w:hAnsiTheme="minorHAnsi" w:cs="Times"/>
          <w:sz w:val="22"/>
        </w:rPr>
        <w:t xml:space="preserve">wn their </w:t>
      </w:r>
      <w:r>
        <w:rPr>
          <w:rFonts w:asciiTheme="minorHAnsi" w:hAnsiTheme="minorHAnsi" w:cs="Times"/>
          <w:sz w:val="22"/>
        </w:rPr>
        <w:t>personal</w:t>
      </w:r>
      <w:r w:rsidR="00856682" w:rsidRPr="00856682">
        <w:rPr>
          <w:rFonts w:asciiTheme="minorHAnsi" w:hAnsiTheme="minorHAnsi" w:cs="Times"/>
          <w:sz w:val="22"/>
        </w:rPr>
        <w:t xml:space="preserve"> culture and the feelings, beliefs and values that they have about other cultures </w:t>
      </w:r>
    </w:p>
    <w:p w:rsidR="00856682" w:rsidRPr="00856682" w:rsidRDefault="00856682" w:rsidP="00944147">
      <w:pPr>
        <w:pStyle w:val="ListParagraph"/>
        <w:widowControl w:val="0"/>
        <w:numPr>
          <w:ilvl w:val="0"/>
          <w:numId w:val="27"/>
        </w:numPr>
        <w:tabs>
          <w:tab w:val="left" w:pos="220"/>
          <w:tab w:val="left" w:pos="720"/>
        </w:tabs>
        <w:autoSpaceDE w:val="0"/>
        <w:autoSpaceDN w:val="0"/>
        <w:adjustRightInd w:val="0"/>
        <w:spacing w:line="240" w:lineRule="auto"/>
        <w:ind w:left="851" w:hanging="567"/>
        <w:jc w:val="both"/>
        <w:rPr>
          <w:rFonts w:asciiTheme="minorHAnsi" w:hAnsiTheme="minorHAnsi" w:cs="Times"/>
          <w:sz w:val="22"/>
        </w:rPr>
      </w:pPr>
      <w:r w:rsidRPr="00856682">
        <w:rPr>
          <w:rFonts w:asciiTheme="minorHAnsi" w:hAnsiTheme="minorHAnsi" w:cs="Times"/>
          <w:sz w:val="22"/>
        </w:rPr>
        <w:t xml:space="preserve">Include ethnic and culturally diverse content in the curriculum </w:t>
      </w:r>
    </w:p>
    <w:p w:rsidR="00856682" w:rsidRPr="00856682" w:rsidRDefault="00856682" w:rsidP="00944147">
      <w:pPr>
        <w:pStyle w:val="ListParagraph"/>
        <w:widowControl w:val="0"/>
        <w:numPr>
          <w:ilvl w:val="0"/>
          <w:numId w:val="27"/>
        </w:numPr>
        <w:tabs>
          <w:tab w:val="left" w:pos="220"/>
          <w:tab w:val="left" w:pos="720"/>
        </w:tabs>
        <w:autoSpaceDE w:val="0"/>
        <w:autoSpaceDN w:val="0"/>
        <w:adjustRightInd w:val="0"/>
        <w:spacing w:line="240" w:lineRule="auto"/>
        <w:ind w:left="851" w:hanging="567"/>
        <w:jc w:val="both"/>
        <w:rPr>
          <w:rFonts w:asciiTheme="minorHAnsi" w:hAnsiTheme="minorHAnsi" w:cs="Times"/>
          <w:sz w:val="22"/>
        </w:rPr>
      </w:pPr>
      <w:r w:rsidRPr="00856682">
        <w:rPr>
          <w:rFonts w:asciiTheme="minorHAnsi" w:hAnsiTheme="minorHAnsi" w:cs="Times"/>
          <w:sz w:val="22"/>
        </w:rPr>
        <w:t xml:space="preserve">Demonstrate and build caring, safe, and inviting learning communities that reflect our value of partnership </w:t>
      </w:r>
    </w:p>
    <w:p w:rsidR="00856682" w:rsidRPr="00856682" w:rsidRDefault="00856682" w:rsidP="00944147">
      <w:pPr>
        <w:pStyle w:val="ListParagraph"/>
        <w:widowControl w:val="0"/>
        <w:numPr>
          <w:ilvl w:val="0"/>
          <w:numId w:val="27"/>
        </w:numPr>
        <w:tabs>
          <w:tab w:val="left" w:pos="220"/>
          <w:tab w:val="left" w:pos="720"/>
        </w:tabs>
        <w:autoSpaceDE w:val="0"/>
        <w:autoSpaceDN w:val="0"/>
        <w:adjustRightInd w:val="0"/>
        <w:spacing w:line="240" w:lineRule="auto"/>
        <w:ind w:left="851" w:hanging="567"/>
        <w:jc w:val="both"/>
        <w:rPr>
          <w:rFonts w:asciiTheme="minorHAnsi" w:hAnsiTheme="minorHAnsi" w:cs="Times"/>
          <w:sz w:val="22"/>
        </w:rPr>
      </w:pPr>
      <w:r w:rsidRPr="00856682">
        <w:rPr>
          <w:rFonts w:asciiTheme="minorHAnsi" w:hAnsiTheme="minorHAnsi" w:cs="Times"/>
          <w:sz w:val="22"/>
        </w:rPr>
        <w:t xml:space="preserve">Respond to ethnic diversity in the facilitation of learning based on </w:t>
      </w:r>
      <w:proofErr w:type="spellStart"/>
      <w:r w:rsidRPr="00856682">
        <w:rPr>
          <w:rFonts w:asciiTheme="minorHAnsi" w:hAnsiTheme="minorHAnsi" w:cs="Times"/>
          <w:sz w:val="22"/>
        </w:rPr>
        <w:t>organisational</w:t>
      </w:r>
      <w:proofErr w:type="spellEnd"/>
      <w:r w:rsidRPr="00856682">
        <w:rPr>
          <w:rFonts w:asciiTheme="minorHAnsi" w:hAnsiTheme="minorHAnsi" w:cs="Times"/>
          <w:sz w:val="22"/>
        </w:rPr>
        <w:t xml:space="preserve"> expectations </w:t>
      </w:r>
    </w:p>
    <w:p w:rsidR="00856682" w:rsidRPr="00856682" w:rsidRDefault="00856682" w:rsidP="00944147">
      <w:pPr>
        <w:pStyle w:val="ListParagraph"/>
        <w:widowControl w:val="0"/>
        <w:numPr>
          <w:ilvl w:val="0"/>
          <w:numId w:val="27"/>
        </w:numPr>
        <w:tabs>
          <w:tab w:val="left" w:pos="220"/>
          <w:tab w:val="left" w:pos="720"/>
        </w:tabs>
        <w:autoSpaceDE w:val="0"/>
        <w:autoSpaceDN w:val="0"/>
        <w:adjustRightInd w:val="0"/>
        <w:spacing w:line="240" w:lineRule="auto"/>
        <w:ind w:left="851" w:hanging="567"/>
        <w:jc w:val="both"/>
        <w:rPr>
          <w:rFonts w:asciiTheme="minorHAnsi" w:hAnsiTheme="minorHAnsi" w:cs="Times"/>
          <w:sz w:val="22"/>
        </w:rPr>
      </w:pPr>
      <w:r w:rsidRPr="00856682">
        <w:rPr>
          <w:rFonts w:asciiTheme="minorHAnsi" w:hAnsiTheme="minorHAnsi" w:cs="Times"/>
          <w:sz w:val="22"/>
        </w:rPr>
        <w:t xml:space="preserve">Communicate effectively with ethnically diverse students, families, and community partners </w:t>
      </w:r>
    </w:p>
    <w:p w:rsidR="00856682" w:rsidRPr="008014B4" w:rsidRDefault="00856682" w:rsidP="008014B4">
      <w:pPr>
        <w:ind w:firstLine="720"/>
        <w:jc w:val="both"/>
        <w:rPr>
          <w:rFonts w:asciiTheme="minorHAnsi" w:hAnsiTheme="minorHAnsi"/>
          <w:sz w:val="22"/>
        </w:rPr>
      </w:pPr>
      <w:r w:rsidRPr="008014B4">
        <w:rPr>
          <w:rFonts w:asciiTheme="minorHAnsi" w:hAnsiTheme="minorHAnsi"/>
          <w:sz w:val="22"/>
        </w:rPr>
        <w:t>(Kelley, 2010)</w:t>
      </w:r>
    </w:p>
    <w:p w:rsidR="00D32439" w:rsidRDefault="00D32439" w:rsidP="00944147">
      <w:pPr>
        <w:jc w:val="both"/>
        <w:rPr>
          <w:rFonts w:asciiTheme="minorHAnsi" w:hAnsiTheme="minorHAnsi"/>
          <w:sz w:val="22"/>
        </w:rPr>
      </w:pPr>
    </w:p>
    <w:p w:rsidR="00D32439" w:rsidRDefault="00D32439" w:rsidP="00944147">
      <w:pPr>
        <w:jc w:val="both"/>
        <w:rPr>
          <w:rFonts w:asciiTheme="minorHAnsi" w:hAnsiTheme="minorHAnsi"/>
          <w:sz w:val="22"/>
        </w:rPr>
        <w:sectPr w:rsidR="00D32439" w:rsidSect="00C23FA8">
          <w:pgSz w:w="11906" w:h="16838"/>
          <w:pgMar w:top="1440" w:right="1440" w:bottom="1440" w:left="1440" w:header="567" w:footer="567" w:gutter="0"/>
          <w:cols w:space="708"/>
          <w:docGrid w:linePitch="360"/>
        </w:sectPr>
      </w:pPr>
    </w:p>
    <w:p w:rsidR="00856682" w:rsidRPr="00856682" w:rsidRDefault="00856682" w:rsidP="00944147">
      <w:pPr>
        <w:jc w:val="both"/>
        <w:rPr>
          <w:rFonts w:asciiTheme="minorHAnsi" w:hAnsiTheme="minorHAnsi"/>
          <w:sz w:val="22"/>
        </w:rPr>
      </w:pPr>
    </w:p>
    <w:p w:rsidR="00837B77" w:rsidRDefault="00837B77" w:rsidP="00944147">
      <w:pPr>
        <w:pStyle w:val="NoSpacing"/>
        <w:jc w:val="both"/>
        <w:rPr>
          <w:b/>
          <w:sz w:val="28"/>
          <w:szCs w:val="28"/>
          <w:lang w:val="en-US"/>
        </w:rPr>
      </w:pPr>
      <w:r w:rsidRPr="00856682">
        <w:rPr>
          <w:b/>
          <w:sz w:val="28"/>
          <w:szCs w:val="28"/>
          <w:lang w:val="en-US"/>
        </w:rPr>
        <w:t>Reference</w:t>
      </w:r>
      <w:r w:rsidR="004B5F33" w:rsidRPr="00856682">
        <w:rPr>
          <w:b/>
          <w:sz w:val="28"/>
          <w:szCs w:val="28"/>
          <w:lang w:val="en-US"/>
        </w:rPr>
        <w:t>s</w:t>
      </w:r>
    </w:p>
    <w:p w:rsidR="008014B4" w:rsidRPr="008014B4" w:rsidRDefault="008014B4" w:rsidP="008014B4">
      <w:pPr>
        <w:spacing w:line="240" w:lineRule="auto"/>
        <w:ind w:left="720"/>
        <w:rPr>
          <w:rFonts w:asciiTheme="minorHAnsi" w:eastAsiaTheme="minorEastAsia" w:hAnsiTheme="minorHAnsi" w:cstheme="minorHAnsi"/>
          <w:b/>
          <w:sz w:val="22"/>
          <w:lang w:eastAsia="zh-CN"/>
        </w:rPr>
      </w:pPr>
    </w:p>
    <w:p w:rsidR="008014B4" w:rsidRPr="008014B4" w:rsidRDefault="008014B4" w:rsidP="008014B4">
      <w:pPr>
        <w:pStyle w:val="ListParagraph"/>
        <w:numPr>
          <w:ilvl w:val="0"/>
          <w:numId w:val="29"/>
        </w:numPr>
        <w:spacing w:line="240" w:lineRule="auto"/>
        <w:rPr>
          <w:rFonts w:asciiTheme="minorHAnsi" w:eastAsiaTheme="minorEastAsia" w:hAnsiTheme="minorHAnsi" w:cstheme="minorHAnsi"/>
          <w:sz w:val="22"/>
          <w:lang w:val="en-NZ" w:eastAsia="zh-CN"/>
        </w:rPr>
      </w:pPr>
      <w:proofErr w:type="spellStart"/>
      <w:r w:rsidRPr="008014B4">
        <w:rPr>
          <w:rFonts w:asciiTheme="minorHAnsi" w:eastAsiaTheme="minorEastAsia" w:hAnsiTheme="minorHAnsi" w:cstheme="minorHAnsi"/>
          <w:sz w:val="22"/>
          <w:lang w:val="en-NZ" w:eastAsia="zh-CN"/>
        </w:rPr>
        <w:t>Ako</w:t>
      </w:r>
      <w:proofErr w:type="spellEnd"/>
      <w:r w:rsidRPr="008014B4">
        <w:rPr>
          <w:rFonts w:asciiTheme="minorHAnsi" w:eastAsiaTheme="minorEastAsia" w:hAnsiTheme="minorHAnsi" w:cstheme="minorHAnsi"/>
          <w:sz w:val="22"/>
          <w:lang w:val="en-NZ" w:eastAsia="zh-CN"/>
        </w:rPr>
        <w:t xml:space="preserve"> </w:t>
      </w:r>
      <w:proofErr w:type="spellStart"/>
      <w:r w:rsidRPr="008014B4">
        <w:rPr>
          <w:rFonts w:asciiTheme="minorHAnsi" w:eastAsiaTheme="minorEastAsia" w:hAnsiTheme="minorHAnsi" w:cstheme="minorHAnsi"/>
          <w:sz w:val="22"/>
          <w:lang w:val="en-NZ" w:eastAsia="zh-CN"/>
        </w:rPr>
        <w:t>Aotearoa</w:t>
      </w:r>
      <w:proofErr w:type="spellEnd"/>
      <w:r w:rsidRPr="008014B4">
        <w:rPr>
          <w:rFonts w:asciiTheme="minorHAnsi" w:eastAsiaTheme="minorEastAsia" w:hAnsiTheme="minorHAnsi" w:cstheme="minorHAnsi"/>
          <w:sz w:val="22"/>
          <w:lang w:val="en-NZ" w:eastAsia="zh-CN"/>
        </w:rPr>
        <w:t xml:space="preserve"> – The National Centre for Tertiary Teaching Excellence. 2010. </w:t>
      </w:r>
      <w:r w:rsidRPr="008014B4">
        <w:rPr>
          <w:rFonts w:asciiTheme="minorHAnsi" w:eastAsiaTheme="minorEastAsia" w:hAnsiTheme="minorHAnsi" w:cstheme="minorHAnsi"/>
          <w:i/>
          <w:sz w:val="22"/>
          <w:lang w:val="en-NZ" w:eastAsia="zh-CN"/>
        </w:rPr>
        <w:t>Signposts. A professional development resource for new teaching staff in the tertiary sector</w:t>
      </w:r>
      <w:r w:rsidRPr="008014B4">
        <w:rPr>
          <w:rFonts w:asciiTheme="minorHAnsi" w:eastAsiaTheme="minorEastAsia" w:hAnsiTheme="minorHAnsi" w:cstheme="minorHAnsi"/>
          <w:sz w:val="22"/>
          <w:lang w:val="en-NZ" w:eastAsia="zh-CN"/>
        </w:rPr>
        <w:t xml:space="preserve">. </w:t>
      </w:r>
      <w:r w:rsidRPr="008014B4">
        <w:rPr>
          <w:rFonts w:asciiTheme="minorHAnsi" w:eastAsiaTheme="minorEastAsia" w:hAnsiTheme="minorHAnsi" w:cstheme="minorHAnsi"/>
          <w:b/>
          <w:sz w:val="22"/>
          <w:lang w:val="en-NZ" w:eastAsia="zh-CN"/>
        </w:rPr>
        <w:t>Retrieved from</w:t>
      </w:r>
      <w:r w:rsidRPr="008014B4">
        <w:rPr>
          <w:rFonts w:asciiTheme="minorHAnsi" w:eastAsiaTheme="minorEastAsia" w:hAnsiTheme="minorHAnsi" w:cstheme="minorHAnsi"/>
          <w:sz w:val="22"/>
          <w:lang w:val="en-NZ" w:eastAsia="zh-CN"/>
        </w:rPr>
        <w:t xml:space="preserve"> </w:t>
      </w:r>
      <w:hyperlink r:id="rId15" w:history="1">
        <w:r w:rsidRPr="008014B4">
          <w:rPr>
            <w:rFonts w:asciiTheme="minorHAnsi" w:eastAsiaTheme="minorEastAsia" w:hAnsiTheme="minorHAnsi" w:cstheme="minorHAnsi"/>
            <w:color w:val="0000FF"/>
            <w:sz w:val="22"/>
            <w:u w:val="single"/>
            <w:lang w:val="en-NZ" w:eastAsia="zh-CN"/>
          </w:rPr>
          <w:t>https://akoaotearoa.ac.nz/projects/signposts-professional-development-resource-new-teaching-staff-tertiary-sector</w:t>
        </w:r>
      </w:hyperlink>
      <w:r w:rsidRPr="008014B4">
        <w:rPr>
          <w:rFonts w:asciiTheme="minorHAnsi" w:eastAsiaTheme="minorEastAsia" w:hAnsiTheme="minorHAnsi" w:cstheme="minorHAnsi"/>
          <w:sz w:val="22"/>
          <w:lang w:val="en-NZ" w:eastAsia="zh-CN"/>
        </w:rPr>
        <w:t>.</w:t>
      </w:r>
      <w:r>
        <w:rPr>
          <w:rFonts w:asciiTheme="minorHAnsi" w:eastAsiaTheme="minorEastAsia" w:hAnsiTheme="minorHAnsi" w:cstheme="minorHAnsi"/>
          <w:sz w:val="22"/>
          <w:lang w:val="en-NZ" w:eastAsia="zh-CN"/>
        </w:rPr>
        <w:t xml:space="preserve"> (Date accessed:</w:t>
      </w:r>
      <w:r w:rsidRPr="008014B4">
        <w:rPr>
          <w:rFonts w:asciiTheme="minorHAnsi" w:eastAsiaTheme="minorEastAsia" w:hAnsiTheme="minorHAnsi" w:cstheme="minorHAnsi"/>
          <w:sz w:val="22"/>
          <w:lang w:val="en-NZ" w:eastAsia="zh-CN"/>
        </w:rPr>
        <w:t xml:space="preserve"> 11.5.15</w:t>
      </w:r>
      <w:r>
        <w:rPr>
          <w:rFonts w:asciiTheme="minorHAnsi" w:eastAsiaTheme="minorEastAsia" w:hAnsiTheme="minorHAnsi" w:cstheme="minorHAnsi"/>
          <w:sz w:val="22"/>
          <w:lang w:val="en-NZ" w:eastAsia="zh-CN"/>
        </w:rPr>
        <w:t>)</w:t>
      </w:r>
    </w:p>
    <w:p w:rsidR="008014B4" w:rsidRPr="008014B4" w:rsidRDefault="008014B4" w:rsidP="008014B4">
      <w:pPr>
        <w:spacing w:line="240" w:lineRule="auto"/>
        <w:ind w:left="1418" w:hanging="709"/>
        <w:rPr>
          <w:rFonts w:asciiTheme="minorHAnsi" w:eastAsiaTheme="minorEastAsia" w:hAnsiTheme="minorHAnsi" w:cstheme="minorHAnsi"/>
          <w:sz w:val="22"/>
          <w:lang w:eastAsia="zh-CN"/>
        </w:rPr>
      </w:pPr>
    </w:p>
    <w:p w:rsidR="008014B4" w:rsidRPr="008014B4" w:rsidRDefault="008014B4" w:rsidP="008014B4">
      <w:pPr>
        <w:pStyle w:val="ListParagraph"/>
        <w:numPr>
          <w:ilvl w:val="0"/>
          <w:numId w:val="29"/>
        </w:numPr>
        <w:rPr>
          <w:rFonts w:asciiTheme="minorHAnsi" w:hAnsiTheme="minorHAnsi" w:cstheme="minorHAnsi"/>
          <w:b/>
          <w:sz w:val="22"/>
        </w:rPr>
      </w:pPr>
      <w:r w:rsidRPr="008014B4">
        <w:rPr>
          <w:rFonts w:asciiTheme="minorHAnsi" w:hAnsiTheme="minorHAnsi" w:cstheme="minorHAnsi"/>
          <w:sz w:val="22"/>
        </w:rPr>
        <w:t xml:space="preserve">Centre for the Study of Higher Education (Melbourne Graduate School of Education) (CSHE). 2002. </w:t>
      </w:r>
      <w:r w:rsidRPr="008014B4">
        <w:rPr>
          <w:rFonts w:asciiTheme="minorHAnsi" w:hAnsiTheme="minorHAnsi" w:cstheme="minorHAnsi"/>
          <w:i/>
          <w:sz w:val="22"/>
        </w:rPr>
        <w:t>Assessing</w:t>
      </w:r>
      <w:r w:rsidRPr="008014B4">
        <w:rPr>
          <w:rFonts w:asciiTheme="minorHAnsi" w:hAnsiTheme="minorHAnsi" w:cstheme="minorHAnsi"/>
          <w:sz w:val="22"/>
          <w:u w:val="single"/>
        </w:rPr>
        <w:t xml:space="preserve"> </w:t>
      </w:r>
      <w:r w:rsidRPr="008014B4">
        <w:rPr>
          <w:rFonts w:asciiTheme="minorHAnsi" w:hAnsiTheme="minorHAnsi" w:cstheme="minorHAnsi"/>
          <w:i/>
          <w:sz w:val="22"/>
        </w:rPr>
        <w:t>Learning in Australian Universities</w:t>
      </w:r>
      <w:r w:rsidRPr="008014B4">
        <w:rPr>
          <w:rFonts w:asciiTheme="minorHAnsi" w:hAnsiTheme="minorHAnsi" w:cstheme="minorHAnsi"/>
          <w:sz w:val="22"/>
        </w:rPr>
        <w:t xml:space="preserve">.  Commissioned by the Australian Universities Teaching Committee. </w:t>
      </w:r>
      <w:r w:rsidRPr="008014B4">
        <w:rPr>
          <w:rFonts w:asciiTheme="minorHAnsi" w:hAnsiTheme="minorHAnsi" w:cstheme="minorHAnsi"/>
          <w:b/>
          <w:sz w:val="22"/>
        </w:rPr>
        <w:br/>
        <w:t>Retrieved from</w:t>
      </w:r>
      <w:r w:rsidRPr="008014B4">
        <w:rPr>
          <w:rFonts w:asciiTheme="minorHAnsi" w:hAnsiTheme="minorHAnsi" w:cstheme="minorHAnsi"/>
          <w:sz w:val="22"/>
        </w:rPr>
        <w:t xml:space="preserve"> </w:t>
      </w:r>
      <w:hyperlink r:id="rId16" w:history="1">
        <w:r w:rsidRPr="008014B4">
          <w:rPr>
            <w:rFonts w:asciiTheme="minorHAnsi" w:hAnsiTheme="minorHAnsi" w:cstheme="minorHAnsi"/>
            <w:color w:val="0000FF"/>
            <w:sz w:val="22"/>
            <w:u w:val="single"/>
          </w:rPr>
          <w:t>http://www.cshe.unimelb.edu.au/assessinglearning/07/index.html</w:t>
        </w:r>
      </w:hyperlink>
      <w:r w:rsidRPr="008014B4">
        <w:rPr>
          <w:rFonts w:asciiTheme="minorHAnsi" w:hAnsiTheme="minorHAnsi" w:cstheme="minorHAnsi"/>
          <w:sz w:val="22"/>
        </w:rPr>
        <w:t xml:space="preserve">. </w:t>
      </w:r>
      <w:r>
        <w:rPr>
          <w:rFonts w:asciiTheme="minorHAnsi" w:hAnsiTheme="minorHAnsi" w:cstheme="minorHAnsi"/>
          <w:sz w:val="22"/>
        </w:rPr>
        <w:t xml:space="preserve">(Date Accessed: </w:t>
      </w:r>
      <w:r w:rsidRPr="008014B4">
        <w:rPr>
          <w:rFonts w:asciiTheme="minorHAnsi" w:hAnsiTheme="minorHAnsi" w:cstheme="minorHAnsi"/>
          <w:sz w:val="22"/>
        </w:rPr>
        <w:t>11.5.1</w:t>
      </w:r>
      <w:r>
        <w:rPr>
          <w:rFonts w:asciiTheme="minorHAnsi" w:hAnsiTheme="minorHAnsi" w:cstheme="minorHAnsi"/>
          <w:sz w:val="22"/>
        </w:rPr>
        <w:t>5)</w:t>
      </w:r>
    </w:p>
    <w:p w:rsidR="008014B4" w:rsidRPr="008014B4" w:rsidRDefault="008014B4" w:rsidP="008014B4">
      <w:pPr>
        <w:ind w:left="720"/>
        <w:rPr>
          <w:rFonts w:asciiTheme="minorHAnsi" w:hAnsiTheme="minorHAnsi" w:cstheme="minorHAnsi"/>
          <w:sz w:val="22"/>
        </w:rPr>
      </w:pPr>
    </w:p>
    <w:p w:rsidR="008014B4" w:rsidRDefault="008014B4" w:rsidP="008014B4">
      <w:pPr>
        <w:pStyle w:val="ListParagraph"/>
        <w:numPr>
          <w:ilvl w:val="0"/>
          <w:numId w:val="29"/>
        </w:numPr>
        <w:spacing w:line="240" w:lineRule="auto"/>
        <w:rPr>
          <w:rFonts w:asciiTheme="minorHAnsi" w:hAnsiTheme="minorHAnsi" w:cstheme="minorHAnsi"/>
          <w:sz w:val="22"/>
          <w:lang w:val="en-NZ"/>
        </w:rPr>
      </w:pPr>
      <w:r w:rsidRPr="008014B4">
        <w:rPr>
          <w:rFonts w:asciiTheme="minorHAnsi" w:hAnsiTheme="minorHAnsi" w:cstheme="minorHAnsi"/>
          <w:sz w:val="22"/>
          <w:lang w:val="en-NZ"/>
        </w:rPr>
        <w:t>Driscoll J. (1994) Reflective practice for practise. Senior Nurse. 13 (Jan/Feb), 47 -50</w:t>
      </w:r>
    </w:p>
    <w:p w:rsidR="008014B4" w:rsidRPr="008014B4" w:rsidRDefault="008014B4" w:rsidP="008014B4">
      <w:pPr>
        <w:pStyle w:val="ListParagraph"/>
        <w:rPr>
          <w:rFonts w:asciiTheme="minorHAnsi" w:hAnsiTheme="minorHAnsi" w:cstheme="minorHAnsi"/>
          <w:sz w:val="22"/>
        </w:rPr>
      </w:pPr>
    </w:p>
    <w:p w:rsidR="008014B4" w:rsidRPr="008014B4" w:rsidRDefault="008014B4" w:rsidP="008014B4">
      <w:pPr>
        <w:pStyle w:val="ListParagraph"/>
        <w:numPr>
          <w:ilvl w:val="0"/>
          <w:numId w:val="29"/>
        </w:numPr>
        <w:spacing w:line="240" w:lineRule="auto"/>
        <w:rPr>
          <w:rFonts w:asciiTheme="minorHAnsi" w:hAnsiTheme="minorHAnsi" w:cstheme="minorHAnsi"/>
          <w:sz w:val="22"/>
          <w:lang w:val="en-NZ"/>
        </w:rPr>
      </w:pPr>
      <w:r w:rsidRPr="008014B4">
        <w:rPr>
          <w:rFonts w:asciiTheme="minorHAnsi" w:hAnsiTheme="minorHAnsi" w:cstheme="minorHAnsi"/>
          <w:sz w:val="22"/>
        </w:rPr>
        <w:t xml:space="preserve">Kelley, G.J. (2010). </w:t>
      </w:r>
      <w:r w:rsidRPr="008014B4">
        <w:rPr>
          <w:rFonts w:asciiTheme="minorHAnsi" w:hAnsiTheme="minorHAnsi" w:cstheme="minorHAnsi"/>
          <w:i/>
          <w:sz w:val="22"/>
        </w:rPr>
        <w:t>Teacher Activity Guide: The historic journey “yes we can.”</w:t>
      </w:r>
      <w:r w:rsidRPr="008014B4">
        <w:rPr>
          <w:rFonts w:asciiTheme="minorHAnsi" w:hAnsiTheme="minorHAnsi" w:cstheme="minorHAnsi"/>
          <w:sz w:val="22"/>
        </w:rPr>
        <w:t xml:space="preserve"> Holland and Associates. </w:t>
      </w:r>
      <w:r w:rsidRPr="008014B4">
        <w:rPr>
          <w:rFonts w:asciiTheme="minorHAnsi" w:hAnsiTheme="minorHAnsi" w:cstheme="minorHAnsi"/>
          <w:b/>
          <w:sz w:val="22"/>
        </w:rPr>
        <w:t>Retrieved from:</w:t>
      </w:r>
      <w:r>
        <w:rPr>
          <w:rFonts w:asciiTheme="minorHAnsi" w:hAnsiTheme="minorHAnsi" w:cstheme="minorHAnsi"/>
          <w:sz w:val="22"/>
        </w:rPr>
        <w:t xml:space="preserve"> </w:t>
      </w:r>
      <w:hyperlink r:id="rId17" w:history="1">
        <w:r w:rsidRPr="00C311FA">
          <w:rPr>
            <w:rStyle w:val="Hyperlink"/>
            <w:rFonts w:asciiTheme="minorHAnsi" w:hAnsiTheme="minorHAnsi" w:cstheme="minorHAnsi"/>
            <w:sz w:val="22"/>
          </w:rPr>
          <w:t>http://thehistoricjourney.org/wp-content/uploads/2011/04/Why-Focus.pdf</w:t>
        </w:r>
      </w:hyperlink>
      <w:r>
        <w:rPr>
          <w:rFonts w:asciiTheme="minorHAnsi" w:hAnsiTheme="minorHAnsi" w:cstheme="minorHAnsi"/>
          <w:sz w:val="22"/>
        </w:rPr>
        <w:t xml:space="preserve"> (Date Accessed: </w:t>
      </w:r>
      <w:r w:rsidRPr="008014B4">
        <w:rPr>
          <w:rFonts w:asciiTheme="minorHAnsi" w:hAnsiTheme="minorHAnsi" w:cstheme="minorHAnsi"/>
          <w:sz w:val="22"/>
        </w:rPr>
        <w:t>11.5.1</w:t>
      </w:r>
      <w:r>
        <w:rPr>
          <w:rFonts w:asciiTheme="minorHAnsi" w:hAnsiTheme="minorHAnsi" w:cstheme="minorHAnsi"/>
          <w:sz w:val="22"/>
        </w:rPr>
        <w:t>5)</w:t>
      </w:r>
    </w:p>
    <w:p w:rsidR="008014B4" w:rsidRPr="008014B4" w:rsidRDefault="008014B4" w:rsidP="008014B4">
      <w:pPr>
        <w:pStyle w:val="ListParagraph"/>
        <w:rPr>
          <w:rFonts w:asciiTheme="minorHAnsi" w:hAnsiTheme="minorHAnsi" w:cstheme="minorHAnsi"/>
          <w:sz w:val="22"/>
          <w:lang w:val="en-NZ"/>
        </w:rPr>
      </w:pPr>
    </w:p>
    <w:p w:rsidR="008014B4" w:rsidRDefault="008014B4" w:rsidP="008014B4">
      <w:pPr>
        <w:pStyle w:val="ListParagraph"/>
        <w:numPr>
          <w:ilvl w:val="0"/>
          <w:numId w:val="29"/>
        </w:numPr>
        <w:spacing w:line="240" w:lineRule="auto"/>
        <w:rPr>
          <w:rFonts w:asciiTheme="minorHAnsi" w:hAnsiTheme="minorHAnsi" w:cstheme="minorHAnsi"/>
          <w:sz w:val="22"/>
          <w:lang w:val="en-NZ"/>
        </w:rPr>
      </w:pPr>
      <w:r w:rsidRPr="008014B4">
        <w:rPr>
          <w:rFonts w:asciiTheme="minorHAnsi" w:hAnsiTheme="minorHAnsi" w:cstheme="minorHAnsi"/>
          <w:sz w:val="22"/>
          <w:lang w:val="en-NZ"/>
        </w:rPr>
        <w:t>Kolb, D. A. (1984). Experiential learning: Experience as the source of learning and development. New Jersey: Prentice-Hall.</w:t>
      </w:r>
    </w:p>
    <w:p w:rsidR="008014B4" w:rsidRPr="008014B4" w:rsidRDefault="008014B4" w:rsidP="008014B4">
      <w:pPr>
        <w:pStyle w:val="ListParagraph"/>
        <w:rPr>
          <w:rFonts w:asciiTheme="minorHAnsi" w:hAnsiTheme="minorHAnsi" w:cstheme="minorHAnsi"/>
          <w:sz w:val="22"/>
        </w:rPr>
      </w:pPr>
    </w:p>
    <w:p w:rsidR="008014B4" w:rsidRPr="008014B4" w:rsidRDefault="008014B4" w:rsidP="008014B4">
      <w:pPr>
        <w:pStyle w:val="ListParagraph"/>
        <w:numPr>
          <w:ilvl w:val="0"/>
          <w:numId w:val="29"/>
        </w:numPr>
        <w:spacing w:line="240" w:lineRule="auto"/>
        <w:rPr>
          <w:rFonts w:asciiTheme="minorHAnsi" w:hAnsiTheme="minorHAnsi" w:cstheme="minorHAnsi"/>
          <w:sz w:val="22"/>
          <w:lang w:val="en-NZ"/>
        </w:rPr>
      </w:pPr>
      <w:r w:rsidRPr="008014B4">
        <w:rPr>
          <w:rFonts w:asciiTheme="minorHAnsi" w:hAnsiTheme="minorHAnsi" w:cstheme="minorHAnsi"/>
          <w:sz w:val="22"/>
        </w:rPr>
        <w:t xml:space="preserve">Lindsey, R. B., Robins, K. N., Terrell, R. (2003). </w:t>
      </w:r>
      <w:r w:rsidRPr="008014B4">
        <w:rPr>
          <w:rFonts w:asciiTheme="minorHAnsi" w:hAnsiTheme="minorHAnsi" w:cstheme="minorHAnsi"/>
          <w:i/>
          <w:sz w:val="22"/>
        </w:rPr>
        <w:t>Cultural Proficiency: A Manual for School Leaders</w:t>
      </w:r>
      <w:r w:rsidRPr="008014B4">
        <w:rPr>
          <w:rFonts w:asciiTheme="minorHAnsi" w:hAnsiTheme="minorHAnsi" w:cstheme="minorHAnsi"/>
          <w:sz w:val="22"/>
        </w:rPr>
        <w:t>. Thousand Oaks, CA: Corwin Press.</w:t>
      </w:r>
    </w:p>
    <w:p w:rsidR="008014B4" w:rsidRPr="008014B4" w:rsidRDefault="008014B4" w:rsidP="008014B4">
      <w:pPr>
        <w:pStyle w:val="ListParagraph"/>
        <w:rPr>
          <w:rFonts w:asciiTheme="minorHAnsi" w:hAnsiTheme="minorHAnsi" w:cstheme="minorHAnsi"/>
          <w:sz w:val="22"/>
        </w:rPr>
      </w:pPr>
    </w:p>
    <w:p w:rsidR="008014B4" w:rsidRPr="008014B4" w:rsidRDefault="008014B4" w:rsidP="008014B4">
      <w:pPr>
        <w:pStyle w:val="ListParagraph"/>
        <w:numPr>
          <w:ilvl w:val="0"/>
          <w:numId w:val="29"/>
        </w:numPr>
        <w:spacing w:line="240" w:lineRule="auto"/>
        <w:rPr>
          <w:rFonts w:asciiTheme="minorHAnsi" w:hAnsiTheme="minorHAnsi" w:cstheme="minorHAnsi"/>
          <w:sz w:val="22"/>
          <w:lang w:val="en-NZ"/>
        </w:rPr>
      </w:pPr>
      <w:r w:rsidRPr="008014B4">
        <w:rPr>
          <w:rFonts w:asciiTheme="minorHAnsi" w:hAnsiTheme="minorHAnsi" w:cstheme="minorHAnsi"/>
          <w:sz w:val="22"/>
        </w:rPr>
        <w:t xml:space="preserve">McLean, P., &amp; Ransom, L. (2005). Building Intercultural Competencies. In J. Carroll, &amp; J. Ryan (Eds.) </w:t>
      </w:r>
      <w:r w:rsidRPr="008014B4">
        <w:rPr>
          <w:rFonts w:asciiTheme="minorHAnsi" w:hAnsiTheme="minorHAnsi" w:cstheme="minorHAnsi"/>
          <w:i/>
          <w:sz w:val="22"/>
        </w:rPr>
        <w:t>Teaching International Students</w:t>
      </w:r>
      <w:r w:rsidRPr="008014B4">
        <w:rPr>
          <w:rFonts w:asciiTheme="minorHAnsi" w:hAnsiTheme="minorHAnsi" w:cstheme="minorHAnsi"/>
          <w:sz w:val="22"/>
        </w:rPr>
        <w:t xml:space="preserve"> (pp. 45-62). London: Routledge</w:t>
      </w:r>
    </w:p>
    <w:p w:rsidR="008014B4" w:rsidRPr="008014B4" w:rsidRDefault="008014B4" w:rsidP="008014B4">
      <w:pPr>
        <w:pStyle w:val="ListParagraph"/>
        <w:rPr>
          <w:rFonts w:asciiTheme="minorHAnsi" w:hAnsiTheme="minorHAnsi" w:cstheme="minorHAnsi"/>
          <w:sz w:val="22"/>
        </w:rPr>
      </w:pPr>
    </w:p>
    <w:p w:rsidR="008014B4" w:rsidRPr="008014B4" w:rsidRDefault="008014B4" w:rsidP="008014B4">
      <w:pPr>
        <w:pStyle w:val="ListParagraph"/>
        <w:numPr>
          <w:ilvl w:val="0"/>
          <w:numId w:val="29"/>
        </w:numPr>
        <w:spacing w:line="240" w:lineRule="auto"/>
        <w:rPr>
          <w:rFonts w:asciiTheme="minorHAnsi" w:hAnsiTheme="minorHAnsi" w:cstheme="minorHAnsi"/>
          <w:sz w:val="22"/>
          <w:lang w:val="en-NZ"/>
        </w:rPr>
      </w:pPr>
      <w:r w:rsidRPr="008014B4">
        <w:rPr>
          <w:rFonts w:asciiTheme="minorHAnsi" w:hAnsiTheme="minorHAnsi" w:cstheme="minorHAnsi"/>
          <w:sz w:val="22"/>
        </w:rPr>
        <w:t>New Zealand Teacher's Council. (</w:t>
      </w:r>
      <w:proofErr w:type="spellStart"/>
      <w:r w:rsidRPr="008014B4">
        <w:rPr>
          <w:rFonts w:asciiTheme="minorHAnsi" w:hAnsiTheme="minorHAnsi" w:cstheme="minorHAnsi"/>
          <w:sz w:val="22"/>
        </w:rPr>
        <w:t>n.d</w:t>
      </w:r>
      <w:proofErr w:type="spellEnd"/>
      <w:r w:rsidRPr="008014B4">
        <w:rPr>
          <w:rFonts w:asciiTheme="minorHAnsi" w:hAnsiTheme="minorHAnsi" w:cstheme="minorHAnsi"/>
          <w:sz w:val="22"/>
        </w:rPr>
        <w:t xml:space="preserve">). </w:t>
      </w:r>
      <w:proofErr w:type="spellStart"/>
      <w:r w:rsidRPr="008014B4">
        <w:rPr>
          <w:rFonts w:asciiTheme="minorHAnsi" w:hAnsiTheme="minorHAnsi" w:cstheme="minorHAnsi"/>
          <w:i/>
          <w:sz w:val="22"/>
        </w:rPr>
        <w:t>Tātaiako</w:t>
      </w:r>
      <w:proofErr w:type="spellEnd"/>
      <w:r w:rsidRPr="008014B4">
        <w:rPr>
          <w:rFonts w:asciiTheme="minorHAnsi" w:hAnsiTheme="minorHAnsi" w:cstheme="minorHAnsi"/>
          <w:i/>
          <w:sz w:val="22"/>
        </w:rPr>
        <w:t xml:space="preserve"> Cultural Competencies for Teachers of Māori </w:t>
      </w:r>
      <w:proofErr w:type="gramStart"/>
      <w:r w:rsidRPr="008014B4">
        <w:rPr>
          <w:rFonts w:asciiTheme="minorHAnsi" w:hAnsiTheme="minorHAnsi" w:cstheme="minorHAnsi"/>
          <w:i/>
          <w:sz w:val="22"/>
        </w:rPr>
        <w:t>Learners :</w:t>
      </w:r>
      <w:proofErr w:type="gramEnd"/>
      <w:r w:rsidRPr="008014B4">
        <w:rPr>
          <w:rFonts w:asciiTheme="minorHAnsi" w:hAnsiTheme="minorHAnsi" w:cstheme="minorHAnsi"/>
          <w:i/>
          <w:sz w:val="22"/>
        </w:rPr>
        <w:t xml:space="preserve"> A resource for use with the Graduating Teacher Standards and Registered Teacher Criteria. </w:t>
      </w:r>
      <w:r w:rsidRPr="008014B4">
        <w:rPr>
          <w:rFonts w:asciiTheme="minorHAnsi" w:hAnsiTheme="minorHAnsi" w:cstheme="minorHAnsi"/>
          <w:sz w:val="22"/>
        </w:rPr>
        <w:t xml:space="preserve">New Zealand Teacher's Council. Retrieved from </w:t>
      </w:r>
      <w:r>
        <w:rPr>
          <w:rFonts w:asciiTheme="minorHAnsi" w:hAnsiTheme="minorHAnsi" w:cstheme="minorHAnsi"/>
          <w:sz w:val="22"/>
        </w:rPr>
        <w:t xml:space="preserve">: </w:t>
      </w:r>
      <w:hyperlink r:id="rId18" w:history="1">
        <w:r w:rsidRPr="00C311FA">
          <w:rPr>
            <w:rStyle w:val="Hyperlink"/>
            <w:rFonts w:asciiTheme="minorHAnsi" w:hAnsiTheme="minorHAnsi" w:cstheme="minorHAnsi"/>
            <w:sz w:val="22"/>
          </w:rPr>
          <w:t>http://www.teacherscouncil.govt.nz/required/Tataiako_RTCandGTS.pdf</w:t>
        </w:r>
      </w:hyperlink>
      <w:r>
        <w:rPr>
          <w:rFonts w:asciiTheme="minorHAnsi" w:hAnsiTheme="minorHAnsi" w:cstheme="minorHAnsi"/>
          <w:sz w:val="22"/>
        </w:rPr>
        <w:t xml:space="preserve"> (Date Accessed: </w:t>
      </w:r>
      <w:r w:rsidRPr="008014B4">
        <w:rPr>
          <w:rFonts w:asciiTheme="minorHAnsi" w:hAnsiTheme="minorHAnsi" w:cstheme="minorHAnsi"/>
          <w:sz w:val="22"/>
        </w:rPr>
        <w:t>11.5.1</w:t>
      </w:r>
      <w:r>
        <w:rPr>
          <w:rFonts w:asciiTheme="minorHAnsi" w:hAnsiTheme="minorHAnsi" w:cstheme="minorHAnsi"/>
          <w:sz w:val="22"/>
        </w:rPr>
        <w:t>5)</w:t>
      </w:r>
    </w:p>
    <w:p w:rsidR="008014B4" w:rsidRPr="008014B4" w:rsidRDefault="008014B4" w:rsidP="008014B4">
      <w:pPr>
        <w:pStyle w:val="ListParagraph"/>
        <w:rPr>
          <w:rFonts w:asciiTheme="minorHAnsi" w:hAnsiTheme="minorHAnsi" w:cstheme="minorHAnsi"/>
          <w:sz w:val="22"/>
          <w:lang w:val="en-NZ"/>
        </w:rPr>
      </w:pPr>
    </w:p>
    <w:p w:rsidR="008014B4" w:rsidRPr="008014B4" w:rsidRDefault="008014B4" w:rsidP="008014B4">
      <w:pPr>
        <w:pStyle w:val="ListParagraph"/>
        <w:spacing w:line="240" w:lineRule="auto"/>
        <w:rPr>
          <w:rFonts w:asciiTheme="minorHAnsi" w:hAnsiTheme="minorHAnsi" w:cstheme="minorHAnsi"/>
          <w:sz w:val="22"/>
          <w:lang w:val="en-NZ"/>
        </w:rPr>
      </w:pPr>
    </w:p>
    <w:p w:rsidR="007537DE" w:rsidRPr="00686016" w:rsidRDefault="007537DE" w:rsidP="00944147">
      <w:pPr>
        <w:pStyle w:val="NoSpacing"/>
        <w:jc w:val="both"/>
        <w:rPr>
          <w:sz w:val="28"/>
          <w:szCs w:val="28"/>
          <w:lang w:val="en-US"/>
        </w:rPr>
      </w:pPr>
    </w:p>
    <w:sectPr w:rsidR="007537DE" w:rsidRPr="00686016"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B04" w:rsidRDefault="00BF6B04" w:rsidP="00C23FA8">
      <w:pPr>
        <w:spacing w:line="240" w:lineRule="auto"/>
      </w:pPr>
      <w:r>
        <w:separator/>
      </w:r>
    </w:p>
  </w:endnote>
  <w:endnote w:type="continuationSeparator" w:id="0">
    <w:p w:rsidR="00BF6B04" w:rsidRDefault="00BF6B04"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EB" w:rsidRDefault="00FF6549">
    <w:pPr>
      <w:pStyle w:val="Footer"/>
    </w:pPr>
    <w:r>
      <w:fldChar w:fldCharType="begin"/>
    </w:r>
    <w:r>
      <w:instrText xml:space="preserve"> FILENAME \p \* MERGEFORMAT </w:instrText>
    </w:r>
    <w:r>
      <w:fldChar w:fldCharType="separate"/>
    </w:r>
    <w:r>
      <w:rPr>
        <w:noProof/>
      </w:rPr>
      <w:t>J:\Shared\Organisation Projects\Designing for Learner Success\03-TEAMS\Learning and Teaching\Experiential Learning\FINAL_Experiential Learning Definition_ABapproved_23 6 15.docx</w:t>
    </w:r>
    <w:r>
      <w:rPr>
        <w:noProof/>
      </w:rPr>
      <w:fldChar w:fldCharType="end"/>
    </w:r>
  </w:p>
  <w:p w:rsidR="00FB18EB" w:rsidRDefault="00FB1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B04" w:rsidRDefault="00BF6B04" w:rsidP="00C23FA8">
      <w:pPr>
        <w:spacing w:line="240" w:lineRule="auto"/>
      </w:pPr>
      <w:r>
        <w:separator/>
      </w:r>
    </w:p>
  </w:footnote>
  <w:footnote w:type="continuationSeparator" w:id="0">
    <w:p w:rsidR="00BF6B04" w:rsidRDefault="00BF6B04"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1E5"/>
    <w:multiLevelType w:val="hybridMultilevel"/>
    <w:tmpl w:val="9776058A"/>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
    <w:nsid w:val="01793CEC"/>
    <w:multiLevelType w:val="multilevel"/>
    <w:tmpl w:val="F7D697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B008A"/>
    <w:multiLevelType w:val="hybridMultilevel"/>
    <w:tmpl w:val="D4AC46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96E777B"/>
    <w:multiLevelType w:val="hybridMultilevel"/>
    <w:tmpl w:val="F35232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0EB4953"/>
    <w:multiLevelType w:val="hybridMultilevel"/>
    <w:tmpl w:val="5844B8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13475111"/>
    <w:multiLevelType w:val="hybridMultilevel"/>
    <w:tmpl w:val="7A966C3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6">
    <w:nsid w:val="1D0C7D58"/>
    <w:multiLevelType w:val="hybridMultilevel"/>
    <w:tmpl w:val="D26E4E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1FE011EA"/>
    <w:multiLevelType w:val="hybridMultilevel"/>
    <w:tmpl w:val="0D026E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0A57F23"/>
    <w:multiLevelType w:val="multilevel"/>
    <w:tmpl w:val="7562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CB64CE"/>
    <w:multiLevelType w:val="hybridMultilevel"/>
    <w:tmpl w:val="16C0441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nsid w:val="27D37A85"/>
    <w:multiLevelType w:val="hybridMultilevel"/>
    <w:tmpl w:val="03EE2C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2B5C256D"/>
    <w:multiLevelType w:val="hybridMultilevel"/>
    <w:tmpl w:val="F6081FD0"/>
    <w:lvl w:ilvl="0" w:tplc="47947A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402F4"/>
    <w:multiLevelType w:val="hybridMultilevel"/>
    <w:tmpl w:val="FC74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9E1FAA"/>
    <w:multiLevelType w:val="hybridMultilevel"/>
    <w:tmpl w:val="D122A2A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4">
    <w:nsid w:val="31041FCC"/>
    <w:multiLevelType w:val="hybridMultilevel"/>
    <w:tmpl w:val="FAB222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4846A26"/>
    <w:multiLevelType w:val="multilevel"/>
    <w:tmpl w:val="0C904A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A0216D"/>
    <w:multiLevelType w:val="hybridMultilevel"/>
    <w:tmpl w:val="2DBA89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4DE5BC9"/>
    <w:multiLevelType w:val="multilevel"/>
    <w:tmpl w:val="FEB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1713EB"/>
    <w:multiLevelType w:val="hybridMultilevel"/>
    <w:tmpl w:val="7F729706"/>
    <w:lvl w:ilvl="0" w:tplc="14090001">
      <w:start w:val="1"/>
      <w:numFmt w:val="bullet"/>
      <w:lvlText w:val=""/>
      <w:lvlJc w:val="left"/>
      <w:pPr>
        <w:ind w:left="1032" w:hanging="360"/>
      </w:pPr>
      <w:rPr>
        <w:rFonts w:ascii="Symbol" w:hAnsi="Symbol" w:hint="default"/>
      </w:rPr>
    </w:lvl>
    <w:lvl w:ilvl="1" w:tplc="14090003" w:tentative="1">
      <w:start w:val="1"/>
      <w:numFmt w:val="bullet"/>
      <w:lvlText w:val="o"/>
      <w:lvlJc w:val="left"/>
      <w:pPr>
        <w:ind w:left="1752" w:hanging="360"/>
      </w:pPr>
      <w:rPr>
        <w:rFonts w:ascii="Courier New" w:hAnsi="Courier New" w:cs="Courier New" w:hint="default"/>
      </w:rPr>
    </w:lvl>
    <w:lvl w:ilvl="2" w:tplc="14090005" w:tentative="1">
      <w:start w:val="1"/>
      <w:numFmt w:val="bullet"/>
      <w:lvlText w:val=""/>
      <w:lvlJc w:val="left"/>
      <w:pPr>
        <w:ind w:left="2472" w:hanging="360"/>
      </w:pPr>
      <w:rPr>
        <w:rFonts w:ascii="Wingdings" w:hAnsi="Wingdings" w:hint="default"/>
      </w:rPr>
    </w:lvl>
    <w:lvl w:ilvl="3" w:tplc="14090001" w:tentative="1">
      <w:start w:val="1"/>
      <w:numFmt w:val="bullet"/>
      <w:lvlText w:val=""/>
      <w:lvlJc w:val="left"/>
      <w:pPr>
        <w:ind w:left="3192" w:hanging="360"/>
      </w:pPr>
      <w:rPr>
        <w:rFonts w:ascii="Symbol" w:hAnsi="Symbol" w:hint="default"/>
      </w:rPr>
    </w:lvl>
    <w:lvl w:ilvl="4" w:tplc="14090003" w:tentative="1">
      <w:start w:val="1"/>
      <w:numFmt w:val="bullet"/>
      <w:lvlText w:val="o"/>
      <w:lvlJc w:val="left"/>
      <w:pPr>
        <w:ind w:left="3912" w:hanging="360"/>
      </w:pPr>
      <w:rPr>
        <w:rFonts w:ascii="Courier New" w:hAnsi="Courier New" w:cs="Courier New" w:hint="default"/>
      </w:rPr>
    </w:lvl>
    <w:lvl w:ilvl="5" w:tplc="14090005" w:tentative="1">
      <w:start w:val="1"/>
      <w:numFmt w:val="bullet"/>
      <w:lvlText w:val=""/>
      <w:lvlJc w:val="left"/>
      <w:pPr>
        <w:ind w:left="4632" w:hanging="360"/>
      </w:pPr>
      <w:rPr>
        <w:rFonts w:ascii="Wingdings" w:hAnsi="Wingdings" w:hint="default"/>
      </w:rPr>
    </w:lvl>
    <w:lvl w:ilvl="6" w:tplc="14090001" w:tentative="1">
      <w:start w:val="1"/>
      <w:numFmt w:val="bullet"/>
      <w:lvlText w:val=""/>
      <w:lvlJc w:val="left"/>
      <w:pPr>
        <w:ind w:left="5352" w:hanging="360"/>
      </w:pPr>
      <w:rPr>
        <w:rFonts w:ascii="Symbol" w:hAnsi="Symbol" w:hint="default"/>
      </w:rPr>
    </w:lvl>
    <w:lvl w:ilvl="7" w:tplc="14090003" w:tentative="1">
      <w:start w:val="1"/>
      <w:numFmt w:val="bullet"/>
      <w:lvlText w:val="o"/>
      <w:lvlJc w:val="left"/>
      <w:pPr>
        <w:ind w:left="6072" w:hanging="360"/>
      </w:pPr>
      <w:rPr>
        <w:rFonts w:ascii="Courier New" w:hAnsi="Courier New" w:cs="Courier New" w:hint="default"/>
      </w:rPr>
    </w:lvl>
    <w:lvl w:ilvl="8" w:tplc="14090005" w:tentative="1">
      <w:start w:val="1"/>
      <w:numFmt w:val="bullet"/>
      <w:lvlText w:val=""/>
      <w:lvlJc w:val="left"/>
      <w:pPr>
        <w:ind w:left="6792" w:hanging="360"/>
      </w:pPr>
      <w:rPr>
        <w:rFonts w:ascii="Wingdings" w:hAnsi="Wingdings" w:hint="default"/>
      </w:rPr>
    </w:lvl>
  </w:abstractNum>
  <w:abstractNum w:abstractNumId="19">
    <w:nsid w:val="38CB7C9E"/>
    <w:multiLevelType w:val="hybridMultilevel"/>
    <w:tmpl w:val="1144BB7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43C51934"/>
    <w:multiLevelType w:val="hybridMultilevel"/>
    <w:tmpl w:val="1318D0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45687474"/>
    <w:multiLevelType w:val="multilevel"/>
    <w:tmpl w:val="9BCA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D73469"/>
    <w:multiLevelType w:val="multilevel"/>
    <w:tmpl w:val="B58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091611"/>
    <w:multiLevelType w:val="hybridMultilevel"/>
    <w:tmpl w:val="6068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0E0EA0"/>
    <w:multiLevelType w:val="hybridMultilevel"/>
    <w:tmpl w:val="7A4633F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60E577CC"/>
    <w:multiLevelType w:val="hybridMultilevel"/>
    <w:tmpl w:val="5FB8921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6">
    <w:nsid w:val="67305FB7"/>
    <w:multiLevelType w:val="hybridMultilevel"/>
    <w:tmpl w:val="8600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B475E1"/>
    <w:multiLevelType w:val="hybridMultilevel"/>
    <w:tmpl w:val="FCAE4F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6B5C7AD0"/>
    <w:multiLevelType w:val="hybridMultilevel"/>
    <w:tmpl w:val="B25612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17"/>
  </w:num>
  <w:num w:numId="5">
    <w:abstractNumId w:val="28"/>
  </w:num>
  <w:num w:numId="6">
    <w:abstractNumId w:val="18"/>
  </w:num>
  <w:num w:numId="7">
    <w:abstractNumId w:val="9"/>
  </w:num>
  <w:num w:numId="8">
    <w:abstractNumId w:val="0"/>
  </w:num>
  <w:num w:numId="9">
    <w:abstractNumId w:val="4"/>
  </w:num>
  <w:num w:numId="10">
    <w:abstractNumId w:val="19"/>
  </w:num>
  <w:num w:numId="11">
    <w:abstractNumId w:val="24"/>
  </w:num>
  <w:num w:numId="12">
    <w:abstractNumId w:val="25"/>
  </w:num>
  <w:num w:numId="13">
    <w:abstractNumId w:val="14"/>
  </w:num>
  <w:num w:numId="14">
    <w:abstractNumId w:val="16"/>
  </w:num>
  <w:num w:numId="15">
    <w:abstractNumId w:val="23"/>
  </w:num>
  <w:num w:numId="16">
    <w:abstractNumId w:val="6"/>
  </w:num>
  <w:num w:numId="17">
    <w:abstractNumId w:val="22"/>
  </w:num>
  <w:num w:numId="18">
    <w:abstractNumId w:val="27"/>
  </w:num>
  <w:num w:numId="19">
    <w:abstractNumId w:val="21"/>
  </w:num>
  <w:num w:numId="20">
    <w:abstractNumId w:val="15"/>
  </w:num>
  <w:num w:numId="21">
    <w:abstractNumId w:val="1"/>
  </w:num>
  <w:num w:numId="22">
    <w:abstractNumId w:val="8"/>
  </w:num>
  <w:num w:numId="23">
    <w:abstractNumId w:val="3"/>
  </w:num>
  <w:num w:numId="24">
    <w:abstractNumId w:val="10"/>
  </w:num>
  <w:num w:numId="25">
    <w:abstractNumId w:val="2"/>
  </w:num>
  <w:num w:numId="26">
    <w:abstractNumId w:val="13"/>
  </w:num>
  <w:num w:numId="27">
    <w:abstractNumId w:val="26"/>
  </w:num>
  <w:num w:numId="28">
    <w:abstractNumId w:val="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227"/>
    <w:rsid w:val="00034B8B"/>
    <w:rsid w:val="00035A49"/>
    <w:rsid w:val="00052631"/>
    <w:rsid w:val="000670E8"/>
    <w:rsid w:val="00076136"/>
    <w:rsid w:val="00081F58"/>
    <w:rsid w:val="000A455E"/>
    <w:rsid w:val="000A62BF"/>
    <w:rsid w:val="000B0D37"/>
    <w:rsid w:val="000B56BE"/>
    <w:rsid w:val="000D21B2"/>
    <w:rsid w:val="0010038F"/>
    <w:rsid w:val="00104E51"/>
    <w:rsid w:val="001142B0"/>
    <w:rsid w:val="00124D82"/>
    <w:rsid w:val="00132204"/>
    <w:rsid w:val="0014120E"/>
    <w:rsid w:val="00147132"/>
    <w:rsid w:val="00165A64"/>
    <w:rsid w:val="00166817"/>
    <w:rsid w:val="00172F7E"/>
    <w:rsid w:val="0017416F"/>
    <w:rsid w:val="00185B3E"/>
    <w:rsid w:val="001926FD"/>
    <w:rsid w:val="001A019F"/>
    <w:rsid w:val="001A05A7"/>
    <w:rsid w:val="001B02E6"/>
    <w:rsid w:val="001D13F9"/>
    <w:rsid w:val="00212683"/>
    <w:rsid w:val="00212964"/>
    <w:rsid w:val="00227110"/>
    <w:rsid w:val="0023118E"/>
    <w:rsid w:val="00233957"/>
    <w:rsid w:val="00264D6A"/>
    <w:rsid w:val="00281611"/>
    <w:rsid w:val="002867EC"/>
    <w:rsid w:val="002A1558"/>
    <w:rsid w:val="002C505B"/>
    <w:rsid w:val="002E51BE"/>
    <w:rsid w:val="002F51C8"/>
    <w:rsid w:val="00311C3D"/>
    <w:rsid w:val="00320F97"/>
    <w:rsid w:val="00337405"/>
    <w:rsid w:val="0035013B"/>
    <w:rsid w:val="00353A6D"/>
    <w:rsid w:val="00355A8A"/>
    <w:rsid w:val="003652D6"/>
    <w:rsid w:val="00367714"/>
    <w:rsid w:val="00371374"/>
    <w:rsid w:val="00390285"/>
    <w:rsid w:val="0039325E"/>
    <w:rsid w:val="0039649A"/>
    <w:rsid w:val="003A60C5"/>
    <w:rsid w:val="003A647C"/>
    <w:rsid w:val="003B125A"/>
    <w:rsid w:val="003B7804"/>
    <w:rsid w:val="003C6B3F"/>
    <w:rsid w:val="003C7433"/>
    <w:rsid w:val="003D5209"/>
    <w:rsid w:val="003E1E52"/>
    <w:rsid w:val="003E68B8"/>
    <w:rsid w:val="003E6B8E"/>
    <w:rsid w:val="004069BE"/>
    <w:rsid w:val="00407A4F"/>
    <w:rsid w:val="004116CE"/>
    <w:rsid w:val="00411744"/>
    <w:rsid w:val="00457EE2"/>
    <w:rsid w:val="0047305C"/>
    <w:rsid w:val="004A7467"/>
    <w:rsid w:val="004B3B83"/>
    <w:rsid w:val="004B5F33"/>
    <w:rsid w:val="004F2108"/>
    <w:rsid w:val="00502C04"/>
    <w:rsid w:val="00506003"/>
    <w:rsid w:val="00506C88"/>
    <w:rsid w:val="00522D95"/>
    <w:rsid w:val="00531DF6"/>
    <w:rsid w:val="00545975"/>
    <w:rsid w:val="0056041C"/>
    <w:rsid w:val="005658F4"/>
    <w:rsid w:val="0056651D"/>
    <w:rsid w:val="0057625B"/>
    <w:rsid w:val="005771B1"/>
    <w:rsid w:val="005862A3"/>
    <w:rsid w:val="00596C0A"/>
    <w:rsid w:val="005B69CB"/>
    <w:rsid w:val="005C6AE6"/>
    <w:rsid w:val="005D46AC"/>
    <w:rsid w:val="005E3103"/>
    <w:rsid w:val="005F48AC"/>
    <w:rsid w:val="005F4B05"/>
    <w:rsid w:val="005F4CB0"/>
    <w:rsid w:val="00616BC8"/>
    <w:rsid w:val="00632D4F"/>
    <w:rsid w:val="00634235"/>
    <w:rsid w:val="006361BF"/>
    <w:rsid w:val="00664A13"/>
    <w:rsid w:val="006740B8"/>
    <w:rsid w:val="00676E9F"/>
    <w:rsid w:val="00686016"/>
    <w:rsid w:val="006A232B"/>
    <w:rsid w:val="006A3AFB"/>
    <w:rsid w:val="006F2F32"/>
    <w:rsid w:val="00700B03"/>
    <w:rsid w:val="00703304"/>
    <w:rsid w:val="00713E31"/>
    <w:rsid w:val="00720DD6"/>
    <w:rsid w:val="007234E2"/>
    <w:rsid w:val="007269FC"/>
    <w:rsid w:val="00737227"/>
    <w:rsid w:val="0074086D"/>
    <w:rsid w:val="00743200"/>
    <w:rsid w:val="007455E1"/>
    <w:rsid w:val="00745844"/>
    <w:rsid w:val="007537DE"/>
    <w:rsid w:val="00767916"/>
    <w:rsid w:val="0077525A"/>
    <w:rsid w:val="00776FB1"/>
    <w:rsid w:val="007845DA"/>
    <w:rsid w:val="007B51BB"/>
    <w:rsid w:val="007B5DAD"/>
    <w:rsid w:val="007B60E2"/>
    <w:rsid w:val="007B74C9"/>
    <w:rsid w:val="007C516E"/>
    <w:rsid w:val="007D0D9D"/>
    <w:rsid w:val="007D272C"/>
    <w:rsid w:val="007E784B"/>
    <w:rsid w:val="007F3690"/>
    <w:rsid w:val="007F6E7D"/>
    <w:rsid w:val="007F741A"/>
    <w:rsid w:val="00800991"/>
    <w:rsid w:val="008014B4"/>
    <w:rsid w:val="00804B8E"/>
    <w:rsid w:val="0081289F"/>
    <w:rsid w:val="00823BA0"/>
    <w:rsid w:val="00825FC3"/>
    <w:rsid w:val="00826A11"/>
    <w:rsid w:val="0083122E"/>
    <w:rsid w:val="00837B77"/>
    <w:rsid w:val="00850A4E"/>
    <w:rsid w:val="00856682"/>
    <w:rsid w:val="00860FFB"/>
    <w:rsid w:val="00872696"/>
    <w:rsid w:val="00880CB2"/>
    <w:rsid w:val="008832B3"/>
    <w:rsid w:val="00890A38"/>
    <w:rsid w:val="00892B53"/>
    <w:rsid w:val="008A3185"/>
    <w:rsid w:val="008E7692"/>
    <w:rsid w:val="008F0130"/>
    <w:rsid w:val="008F0DD7"/>
    <w:rsid w:val="00901577"/>
    <w:rsid w:val="00923BFE"/>
    <w:rsid w:val="00926F26"/>
    <w:rsid w:val="00935AA1"/>
    <w:rsid w:val="00944147"/>
    <w:rsid w:val="00946578"/>
    <w:rsid w:val="00952842"/>
    <w:rsid w:val="00953732"/>
    <w:rsid w:val="009C10B7"/>
    <w:rsid w:val="009C139B"/>
    <w:rsid w:val="009D51DF"/>
    <w:rsid w:val="009D6E54"/>
    <w:rsid w:val="009E7901"/>
    <w:rsid w:val="00A04D37"/>
    <w:rsid w:val="00A05A0A"/>
    <w:rsid w:val="00A05D96"/>
    <w:rsid w:val="00A209AA"/>
    <w:rsid w:val="00A23750"/>
    <w:rsid w:val="00A558FC"/>
    <w:rsid w:val="00AA4866"/>
    <w:rsid w:val="00AB2654"/>
    <w:rsid w:val="00AC378B"/>
    <w:rsid w:val="00AC5454"/>
    <w:rsid w:val="00AD1293"/>
    <w:rsid w:val="00AE5FC7"/>
    <w:rsid w:val="00B016D5"/>
    <w:rsid w:val="00B17F06"/>
    <w:rsid w:val="00B27154"/>
    <w:rsid w:val="00B326A7"/>
    <w:rsid w:val="00B329F9"/>
    <w:rsid w:val="00B35BC5"/>
    <w:rsid w:val="00B47F83"/>
    <w:rsid w:val="00B52A3D"/>
    <w:rsid w:val="00B579E0"/>
    <w:rsid w:val="00B70ECD"/>
    <w:rsid w:val="00B7378E"/>
    <w:rsid w:val="00B73DC8"/>
    <w:rsid w:val="00B82695"/>
    <w:rsid w:val="00B96EB1"/>
    <w:rsid w:val="00B9757B"/>
    <w:rsid w:val="00BC2D3D"/>
    <w:rsid w:val="00BE16BC"/>
    <w:rsid w:val="00BE3E77"/>
    <w:rsid w:val="00BF176D"/>
    <w:rsid w:val="00BF27C3"/>
    <w:rsid w:val="00BF6B04"/>
    <w:rsid w:val="00C05589"/>
    <w:rsid w:val="00C07B13"/>
    <w:rsid w:val="00C12EF0"/>
    <w:rsid w:val="00C225F0"/>
    <w:rsid w:val="00C23FA8"/>
    <w:rsid w:val="00C24AEC"/>
    <w:rsid w:val="00C3413B"/>
    <w:rsid w:val="00C50632"/>
    <w:rsid w:val="00C60642"/>
    <w:rsid w:val="00C624F2"/>
    <w:rsid w:val="00C97990"/>
    <w:rsid w:val="00C97FAA"/>
    <w:rsid w:val="00CD738F"/>
    <w:rsid w:val="00CE60E7"/>
    <w:rsid w:val="00CF0D04"/>
    <w:rsid w:val="00CF4A20"/>
    <w:rsid w:val="00D101D8"/>
    <w:rsid w:val="00D32439"/>
    <w:rsid w:val="00D41CC8"/>
    <w:rsid w:val="00D5594C"/>
    <w:rsid w:val="00D7048A"/>
    <w:rsid w:val="00D81950"/>
    <w:rsid w:val="00DA0AC8"/>
    <w:rsid w:val="00DB0370"/>
    <w:rsid w:val="00DD63E5"/>
    <w:rsid w:val="00DF64A0"/>
    <w:rsid w:val="00E068AB"/>
    <w:rsid w:val="00E1299B"/>
    <w:rsid w:val="00E13447"/>
    <w:rsid w:val="00E14D70"/>
    <w:rsid w:val="00E40FFE"/>
    <w:rsid w:val="00E81D7C"/>
    <w:rsid w:val="00E9313D"/>
    <w:rsid w:val="00E97758"/>
    <w:rsid w:val="00EB5586"/>
    <w:rsid w:val="00EC297D"/>
    <w:rsid w:val="00ED289C"/>
    <w:rsid w:val="00EF6683"/>
    <w:rsid w:val="00F012BC"/>
    <w:rsid w:val="00F12D4A"/>
    <w:rsid w:val="00F22721"/>
    <w:rsid w:val="00F27C02"/>
    <w:rsid w:val="00F3014C"/>
    <w:rsid w:val="00F42CFB"/>
    <w:rsid w:val="00F44710"/>
    <w:rsid w:val="00F62EA0"/>
    <w:rsid w:val="00F737AC"/>
    <w:rsid w:val="00F73F06"/>
    <w:rsid w:val="00F76670"/>
    <w:rsid w:val="00F862A9"/>
    <w:rsid w:val="00F93A74"/>
    <w:rsid w:val="00FA1E1C"/>
    <w:rsid w:val="00FA508D"/>
    <w:rsid w:val="00FB18EB"/>
    <w:rsid w:val="00FC750F"/>
    <w:rsid w:val="00FD300F"/>
    <w:rsid w:val="00FD677D"/>
    <w:rsid w:val="00FE664F"/>
    <w:rsid w:val="00FE71D1"/>
    <w:rsid w:val="00FF654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21"/>
    <w:pPr>
      <w:spacing w:after="0" w:line="22" w:lineRule="atLeast"/>
    </w:pPr>
    <w:rPr>
      <w:rFonts w:ascii="Arial" w:eastAsiaTheme="minorHAnsi" w:hAnsi="Arial"/>
      <w:sz w:val="20"/>
      <w:lang w:val="en-US" w:eastAsia="en-US"/>
    </w:rPr>
  </w:style>
  <w:style w:type="paragraph" w:styleId="Heading2">
    <w:name w:val="heading 2"/>
    <w:basedOn w:val="Normal"/>
    <w:next w:val="Normal"/>
    <w:link w:val="Heading2Char"/>
    <w:uiPriority w:val="9"/>
    <w:unhideWhenUsed/>
    <w:qFormat/>
    <w:rsid w:val="007D0D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05A7"/>
    <w:pPr>
      <w:spacing w:before="100" w:beforeAutospacing="1" w:after="100" w:afterAutospacing="1" w:line="240" w:lineRule="auto"/>
      <w:outlineLvl w:val="2"/>
    </w:pPr>
    <w:rPr>
      <w:rFonts w:ascii="Times New Roman" w:eastAsia="Times New Roman" w:hAnsi="Times New Roman" w:cs="Times New Roman"/>
      <w:b/>
      <w:bCs/>
      <w:sz w:val="27"/>
      <w:szCs w:val="27"/>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paragraph" w:styleId="NoSpacing">
    <w:name w:val="No Spacing"/>
    <w:uiPriority w:val="1"/>
    <w:qFormat/>
    <w:rsid w:val="005F48AC"/>
    <w:pPr>
      <w:spacing w:after="0" w:line="240" w:lineRule="auto"/>
    </w:pPr>
  </w:style>
  <w:style w:type="paragraph" w:styleId="BalloonText">
    <w:name w:val="Balloon Text"/>
    <w:basedOn w:val="Normal"/>
    <w:link w:val="BalloonTextChar"/>
    <w:uiPriority w:val="99"/>
    <w:semiHidden/>
    <w:unhideWhenUsed/>
    <w:rsid w:val="00F227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721"/>
    <w:rPr>
      <w:rFonts w:ascii="Tahoma" w:eastAsiaTheme="minorHAnsi" w:hAnsi="Tahoma" w:cs="Tahoma"/>
      <w:sz w:val="16"/>
      <w:szCs w:val="16"/>
      <w:lang w:val="en-US" w:eastAsia="en-US"/>
    </w:rPr>
  </w:style>
  <w:style w:type="character" w:styleId="Emphasis">
    <w:name w:val="Emphasis"/>
    <w:basedOn w:val="DefaultParagraphFont"/>
    <w:uiPriority w:val="20"/>
    <w:qFormat/>
    <w:rsid w:val="002E51BE"/>
    <w:rPr>
      <w:i/>
      <w:iCs/>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3B7804"/>
    <w:pPr>
      <w:tabs>
        <w:tab w:val="left" w:pos="851"/>
      </w:tabs>
      <w:suppressAutoHyphens/>
      <w:spacing w:after="120" w:line="264" w:lineRule="auto"/>
      <w:ind w:left="851"/>
    </w:pPr>
    <w:rPr>
      <w:rFonts w:eastAsia="Times New Roman" w:cs="Times New Roman"/>
      <w:szCs w:val="20"/>
      <w:lang w:val="en-NZ" w:eastAsia="ar-SA"/>
    </w:r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3B7804"/>
    <w:rPr>
      <w:rFonts w:ascii="Arial" w:eastAsia="Times New Roman" w:hAnsi="Arial" w:cs="Times New Roman"/>
      <w:sz w:val="20"/>
      <w:szCs w:val="20"/>
      <w:lang w:eastAsia="ar-SA"/>
    </w:rPr>
  </w:style>
  <w:style w:type="paragraph" w:styleId="NormalWeb">
    <w:name w:val="Normal (Web)"/>
    <w:basedOn w:val="Normal"/>
    <w:uiPriority w:val="99"/>
    <w:unhideWhenUsed/>
    <w:rsid w:val="00FD300F"/>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styleId="Hyperlink">
    <w:name w:val="Hyperlink"/>
    <w:basedOn w:val="DefaultParagraphFont"/>
    <w:uiPriority w:val="99"/>
    <w:unhideWhenUsed/>
    <w:rsid w:val="00FD300F"/>
    <w:rPr>
      <w:color w:val="0000FF"/>
      <w:u w:val="single"/>
    </w:rPr>
  </w:style>
  <w:style w:type="character" w:styleId="CommentReference">
    <w:name w:val="annotation reference"/>
    <w:basedOn w:val="DefaultParagraphFont"/>
    <w:uiPriority w:val="99"/>
    <w:semiHidden/>
    <w:unhideWhenUsed/>
    <w:rsid w:val="0023118E"/>
    <w:rPr>
      <w:sz w:val="16"/>
      <w:szCs w:val="16"/>
    </w:rPr>
  </w:style>
  <w:style w:type="paragraph" w:styleId="CommentText">
    <w:name w:val="annotation text"/>
    <w:basedOn w:val="Normal"/>
    <w:link w:val="CommentTextChar"/>
    <w:uiPriority w:val="99"/>
    <w:semiHidden/>
    <w:unhideWhenUsed/>
    <w:rsid w:val="0023118E"/>
    <w:pPr>
      <w:spacing w:line="240" w:lineRule="auto"/>
    </w:pPr>
    <w:rPr>
      <w:szCs w:val="20"/>
    </w:rPr>
  </w:style>
  <w:style w:type="character" w:customStyle="1" w:styleId="CommentTextChar">
    <w:name w:val="Comment Text Char"/>
    <w:basedOn w:val="DefaultParagraphFont"/>
    <w:link w:val="CommentText"/>
    <w:uiPriority w:val="99"/>
    <w:semiHidden/>
    <w:rsid w:val="0023118E"/>
    <w:rPr>
      <w:rFonts w:ascii="Arial" w:eastAsiaTheme="minorHAnsi" w:hAnsi="Arial"/>
      <w:sz w:val="20"/>
      <w:szCs w:val="20"/>
      <w:lang w:val="en-US" w:eastAsia="en-US"/>
    </w:rPr>
  </w:style>
  <w:style w:type="paragraph" w:styleId="CommentSubject">
    <w:name w:val="annotation subject"/>
    <w:basedOn w:val="CommentText"/>
    <w:next w:val="CommentText"/>
    <w:link w:val="CommentSubjectChar"/>
    <w:uiPriority w:val="99"/>
    <w:semiHidden/>
    <w:unhideWhenUsed/>
    <w:rsid w:val="0023118E"/>
    <w:rPr>
      <w:b/>
      <w:bCs/>
    </w:rPr>
  </w:style>
  <w:style w:type="character" w:customStyle="1" w:styleId="CommentSubjectChar">
    <w:name w:val="Comment Subject Char"/>
    <w:basedOn w:val="CommentTextChar"/>
    <w:link w:val="CommentSubject"/>
    <w:uiPriority w:val="99"/>
    <w:semiHidden/>
    <w:rsid w:val="0023118E"/>
    <w:rPr>
      <w:rFonts w:ascii="Arial" w:eastAsiaTheme="minorHAnsi" w:hAnsi="Arial"/>
      <w:b/>
      <w:bCs/>
      <w:sz w:val="20"/>
      <w:szCs w:val="20"/>
      <w:lang w:val="en-US" w:eastAsia="en-US"/>
    </w:rPr>
  </w:style>
  <w:style w:type="table" w:styleId="TableGrid">
    <w:name w:val="Table Grid"/>
    <w:basedOn w:val="TableNormal"/>
    <w:rsid w:val="00B47F83"/>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A05A7"/>
    <w:rPr>
      <w:rFonts w:ascii="Times New Roman" w:eastAsia="Times New Roman" w:hAnsi="Times New Roman" w:cs="Times New Roman"/>
      <w:b/>
      <w:bCs/>
      <w:sz w:val="27"/>
      <w:szCs w:val="27"/>
      <w:lang w:eastAsia="en-NZ"/>
    </w:rPr>
  </w:style>
  <w:style w:type="character" w:customStyle="1" w:styleId="deglossarised">
    <w:name w:val="deglossarised"/>
    <w:basedOn w:val="DefaultParagraphFont"/>
    <w:rsid w:val="001A05A7"/>
  </w:style>
  <w:style w:type="paragraph" w:styleId="ListParagraph">
    <w:name w:val="List Paragraph"/>
    <w:basedOn w:val="Normal"/>
    <w:uiPriority w:val="34"/>
    <w:qFormat/>
    <w:rsid w:val="005B69CB"/>
    <w:pPr>
      <w:ind w:left="720"/>
      <w:contextualSpacing/>
    </w:pPr>
  </w:style>
  <w:style w:type="character" w:customStyle="1" w:styleId="Heading2Char">
    <w:name w:val="Heading 2 Char"/>
    <w:basedOn w:val="DefaultParagraphFont"/>
    <w:link w:val="Heading2"/>
    <w:uiPriority w:val="9"/>
    <w:rsid w:val="007D0D9D"/>
    <w:rPr>
      <w:rFonts w:asciiTheme="majorHAnsi" w:eastAsiaTheme="majorEastAsia" w:hAnsiTheme="majorHAnsi" w:cstheme="majorBidi"/>
      <w:b/>
      <w:bCs/>
      <w:color w:val="4F81BD" w:themeColor="accent1"/>
      <w:sz w:val="26"/>
      <w:szCs w:val="26"/>
      <w:lang w:val="en-US" w:eastAsia="en-US"/>
    </w:rPr>
  </w:style>
  <w:style w:type="character" w:styleId="Strong">
    <w:name w:val="Strong"/>
    <w:basedOn w:val="DefaultParagraphFont"/>
    <w:uiPriority w:val="22"/>
    <w:qFormat/>
    <w:rsid w:val="007D0D9D"/>
    <w:rPr>
      <w:b/>
      <w:bCs/>
    </w:rPr>
  </w:style>
  <w:style w:type="paragraph" w:customStyle="1" w:styleId="Default">
    <w:name w:val="Default"/>
    <w:rsid w:val="007537D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21"/>
    <w:pPr>
      <w:spacing w:after="0" w:line="22" w:lineRule="atLeast"/>
    </w:pPr>
    <w:rPr>
      <w:rFonts w:ascii="Arial" w:eastAsiaTheme="minorHAnsi" w:hAnsi="Arial"/>
      <w:sz w:val="20"/>
      <w:lang w:val="en-US" w:eastAsia="en-US"/>
    </w:rPr>
  </w:style>
  <w:style w:type="paragraph" w:styleId="Heading2">
    <w:name w:val="heading 2"/>
    <w:basedOn w:val="Normal"/>
    <w:next w:val="Normal"/>
    <w:link w:val="Heading2Char"/>
    <w:uiPriority w:val="9"/>
    <w:unhideWhenUsed/>
    <w:qFormat/>
    <w:rsid w:val="007D0D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05A7"/>
    <w:pPr>
      <w:spacing w:before="100" w:beforeAutospacing="1" w:after="100" w:afterAutospacing="1" w:line="240" w:lineRule="auto"/>
      <w:outlineLvl w:val="2"/>
    </w:pPr>
    <w:rPr>
      <w:rFonts w:ascii="Times New Roman" w:eastAsia="Times New Roman" w:hAnsi="Times New Roman" w:cs="Times New Roman"/>
      <w:b/>
      <w:bCs/>
      <w:sz w:val="27"/>
      <w:szCs w:val="27"/>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paragraph" w:styleId="NoSpacing">
    <w:name w:val="No Spacing"/>
    <w:uiPriority w:val="1"/>
    <w:qFormat/>
    <w:rsid w:val="005F48AC"/>
    <w:pPr>
      <w:spacing w:after="0" w:line="240" w:lineRule="auto"/>
    </w:pPr>
  </w:style>
  <w:style w:type="paragraph" w:styleId="BalloonText">
    <w:name w:val="Balloon Text"/>
    <w:basedOn w:val="Normal"/>
    <w:link w:val="BalloonTextChar"/>
    <w:uiPriority w:val="99"/>
    <w:semiHidden/>
    <w:unhideWhenUsed/>
    <w:rsid w:val="00F227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721"/>
    <w:rPr>
      <w:rFonts w:ascii="Tahoma" w:eastAsiaTheme="minorHAnsi" w:hAnsi="Tahoma" w:cs="Tahoma"/>
      <w:sz w:val="16"/>
      <w:szCs w:val="16"/>
      <w:lang w:val="en-US" w:eastAsia="en-US"/>
    </w:rPr>
  </w:style>
  <w:style w:type="character" w:styleId="Emphasis">
    <w:name w:val="Emphasis"/>
    <w:basedOn w:val="DefaultParagraphFont"/>
    <w:uiPriority w:val="20"/>
    <w:qFormat/>
    <w:rsid w:val="002E51BE"/>
    <w:rPr>
      <w:i/>
      <w:iCs/>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3B7804"/>
    <w:pPr>
      <w:tabs>
        <w:tab w:val="left" w:pos="851"/>
      </w:tabs>
      <w:suppressAutoHyphens/>
      <w:spacing w:after="120" w:line="264" w:lineRule="auto"/>
      <w:ind w:left="851"/>
    </w:pPr>
    <w:rPr>
      <w:rFonts w:eastAsia="Times New Roman" w:cs="Times New Roman"/>
      <w:szCs w:val="20"/>
      <w:lang w:val="en-NZ" w:eastAsia="ar-SA"/>
    </w:r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3B7804"/>
    <w:rPr>
      <w:rFonts w:ascii="Arial" w:eastAsia="Times New Roman" w:hAnsi="Arial" w:cs="Times New Roman"/>
      <w:sz w:val="20"/>
      <w:szCs w:val="20"/>
      <w:lang w:eastAsia="ar-SA"/>
    </w:rPr>
  </w:style>
  <w:style w:type="paragraph" w:styleId="NormalWeb">
    <w:name w:val="Normal (Web)"/>
    <w:basedOn w:val="Normal"/>
    <w:uiPriority w:val="99"/>
    <w:unhideWhenUsed/>
    <w:rsid w:val="00FD300F"/>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styleId="Hyperlink">
    <w:name w:val="Hyperlink"/>
    <w:basedOn w:val="DefaultParagraphFont"/>
    <w:uiPriority w:val="99"/>
    <w:unhideWhenUsed/>
    <w:rsid w:val="00FD300F"/>
    <w:rPr>
      <w:color w:val="0000FF"/>
      <w:u w:val="single"/>
    </w:rPr>
  </w:style>
  <w:style w:type="character" w:styleId="CommentReference">
    <w:name w:val="annotation reference"/>
    <w:basedOn w:val="DefaultParagraphFont"/>
    <w:uiPriority w:val="99"/>
    <w:semiHidden/>
    <w:unhideWhenUsed/>
    <w:rsid w:val="0023118E"/>
    <w:rPr>
      <w:sz w:val="16"/>
      <w:szCs w:val="16"/>
    </w:rPr>
  </w:style>
  <w:style w:type="paragraph" w:styleId="CommentText">
    <w:name w:val="annotation text"/>
    <w:basedOn w:val="Normal"/>
    <w:link w:val="CommentTextChar"/>
    <w:uiPriority w:val="99"/>
    <w:semiHidden/>
    <w:unhideWhenUsed/>
    <w:rsid w:val="0023118E"/>
    <w:pPr>
      <w:spacing w:line="240" w:lineRule="auto"/>
    </w:pPr>
    <w:rPr>
      <w:szCs w:val="20"/>
    </w:rPr>
  </w:style>
  <w:style w:type="character" w:customStyle="1" w:styleId="CommentTextChar">
    <w:name w:val="Comment Text Char"/>
    <w:basedOn w:val="DefaultParagraphFont"/>
    <w:link w:val="CommentText"/>
    <w:uiPriority w:val="99"/>
    <w:semiHidden/>
    <w:rsid w:val="0023118E"/>
    <w:rPr>
      <w:rFonts w:ascii="Arial" w:eastAsiaTheme="minorHAnsi" w:hAnsi="Arial"/>
      <w:sz w:val="20"/>
      <w:szCs w:val="20"/>
      <w:lang w:val="en-US" w:eastAsia="en-US"/>
    </w:rPr>
  </w:style>
  <w:style w:type="paragraph" w:styleId="CommentSubject">
    <w:name w:val="annotation subject"/>
    <w:basedOn w:val="CommentText"/>
    <w:next w:val="CommentText"/>
    <w:link w:val="CommentSubjectChar"/>
    <w:uiPriority w:val="99"/>
    <w:semiHidden/>
    <w:unhideWhenUsed/>
    <w:rsid w:val="0023118E"/>
    <w:rPr>
      <w:b/>
      <w:bCs/>
    </w:rPr>
  </w:style>
  <w:style w:type="character" w:customStyle="1" w:styleId="CommentSubjectChar">
    <w:name w:val="Comment Subject Char"/>
    <w:basedOn w:val="CommentTextChar"/>
    <w:link w:val="CommentSubject"/>
    <w:uiPriority w:val="99"/>
    <w:semiHidden/>
    <w:rsid w:val="0023118E"/>
    <w:rPr>
      <w:rFonts w:ascii="Arial" w:eastAsiaTheme="minorHAnsi" w:hAnsi="Arial"/>
      <w:b/>
      <w:bCs/>
      <w:sz w:val="20"/>
      <w:szCs w:val="20"/>
      <w:lang w:val="en-US" w:eastAsia="en-US"/>
    </w:rPr>
  </w:style>
  <w:style w:type="table" w:styleId="TableGrid">
    <w:name w:val="Table Grid"/>
    <w:basedOn w:val="TableNormal"/>
    <w:rsid w:val="00B47F83"/>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A05A7"/>
    <w:rPr>
      <w:rFonts w:ascii="Times New Roman" w:eastAsia="Times New Roman" w:hAnsi="Times New Roman" w:cs="Times New Roman"/>
      <w:b/>
      <w:bCs/>
      <w:sz w:val="27"/>
      <w:szCs w:val="27"/>
      <w:lang w:eastAsia="en-NZ"/>
    </w:rPr>
  </w:style>
  <w:style w:type="character" w:customStyle="1" w:styleId="deglossarised">
    <w:name w:val="deglossarised"/>
    <w:basedOn w:val="DefaultParagraphFont"/>
    <w:rsid w:val="001A05A7"/>
  </w:style>
  <w:style w:type="paragraph" w:styleId="ListParagraph">
    <w:name w:val="List Paragraph"/>
    <w:basedOn w:val="Normal"/>
    <w:uiPriority w:val="34"/>
    <w:qFormat/>
    <w:rsid w:val="005B69CB"/>
    <w:pPr>
      <w:ind w:left="720"/>
      <w:contextualSpacing/>
    </w:pPr>
  </w:style>
  <w:style w:type="character" w:customStyle="1" w:styleId="Heading2Char">
    <w:name w:val="Heading 2 Char"/>
    <w:basedOn w:val="DefaultParagraphFont"/>
    <w:link w:val="Heading2"/>
    <w:uiPriority w:val="9"/>
    <w:rsid w:val="007D0D9D"/>
    <w:rPr>
      <w:rFonts w:asciiTheme="majorHAnsi" w:eastAsiaTheme="majorEastAsia" w:hAnsiTheme="majorHAnsi" w:cstheme="majorBidi"/>
      <w:b/>
      <w:bCs/>
      <w:color w:val="4F81BD" w:themeColor="accent1"/>
      <w:sz w:val="26"/>
      <w:szCs w:val="26"/>
      <w:lang w:val="en-US" w:eastAsia="en-US"/>
    </w:rPr>
  </w:style>
  <w:style w:type="character" w:styleId="Strong">
    <w:name w:val="Strong"/>
    <w:basedOn w:val="DefaultParagraphFont"/>
    <w:uiPriority w:val="22"/>
    <w:qFormat/>
    <w:rsid w:val="007D0D9D"/>
    <w:rPr>
      <w:b/>
      <w:bCs/>
    </w:rPr>
  </w:style>
  <w:style w:type="paragraph" w:customStyle="1" w:styleId="Default">
    <w:name w:val="Default"/>
    <w:rsid w:val="007537D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995748">
      <w:bodyDiv w:val="1"/>
      <w:marLeft w:val="0"/>
      <w:marRight w:val="0"/>
      <w:marTop w:val="0"/>
      <w:marBottom w:val="0"/>
      <w:divBdr>
        <w:top w:val="none" w:sz="0" w:space="0" w:color="auto"/>
        <w:left w:val="none" w:sz="0" w:space="0" w:color="auto"/>
        <w:bottom w:val="none" w:sz="0" w:space="0" w:color="auto"/>
        <w:right w:val="none" w:sz="0" w:space="0" w:color="auto"/>
      </w:divBdr>
    </w:div>
    <w:div w:id="907422835">
      <w:bodyDiv w:val="1"/>
      <w:marLeft w:val="0"/>
      <w:marRight w:val="0"/>
      <w:marTop w:val="0"/>
      <w:marBottom w:val="0"/>
      <w:divBdr>
        <w:top w:val="none" w:sz="0" w:space="0" w:color="auto"/>
        <w:left w:val="none" w:sz="0" w:space="0" w:color="auto"/>
        <w:bottom w:val="none" w:sz="0" w:space="0" w:color="auto"/>
        <w:right w:val="none" w:sz="0" w:space="0" w:color="auto"/>
      </w:divBdr>
    </w:div>
    <w:div w:id="1712460616">
      <w:bodyDiv w:val="1"/>
      <w:marLeft w:val="0"/>
      <w:marRight w:val="0"/>
      <w:marTop w:val="0"/>
      <w:marBottom w:val="0"/>
      <w:divBdr>
        <w:top w:val="none" w:sz="0" w:space="0" w:color="auto"/>
        <w:left w:val="none" w:sz="0" w:space="0" w:color="auto"/>
        <w:bottom w:val="none" w:sz="0" w:space="0" w:color="auto"/>
        <w:right w:val="none" w:sz="0" w:space="0" w:color="auto"/>
      </w:divBdr>
      <w:divsChild>
        <w:div w:id="835926983">
          <w:marLeft w:val="0"/>
          <w:marRight w:val="0"/>
          <w:marTop w:val="0"/>
          <w:marBottom w:val="0"/>
          <w:divBdr>
            <w:top w:val="none" w:sz="0" w:space="0" w:color="auto"/>
            <w:left w:val="none" w:sz="0" w:space="0" w:color="auto"/>
            <w:bottom w:val="none" w:sz="0" w:space="0" w:color="auto"/>
            <w:right w:val="none" w:sz="0" w:space="0" w:color="auto"/>
          </w:divBdr>
          <w:divsChild>
            <w:div w:id="1648511840">
              <w:marLeft w:val="0"/>
              <w:marRight w:val="0"/>
              <w:marTop w:val="0"/>
              <w:marBottom w:val="0"/>
              <w:divBdr>
                <w:top w:val="none" w:sz="0" w:space="0" w:color="auto"/>
                <w:left w:val="none" w:sz="0" w:space="0" w:color="auto"/>
                <w:bottom w:val="none" w:sz="0" w:space="0" w:color="auto"/>
                <w:right w:val="none" w:sz="0" w:space="0" w:color="auto"/>
              </w:divBdr>
              <w:divsChild>
                <w:div w:id="2077974741">
                  <w:marLeft w:val="0"/>
                  <w:marRight w:val="0"/>
                  <w:marTop w:val="0"/>
                  <w:marBottom w:val="0"/>
                  <w:divBdr>
                    <w:top w:val="none" w:sz="0" w:space="0" w:color="auto"/>
                    <w:left w:val="none" w:sz="0" w:space="0" w:color="auto"/>
                    <w:bottom w:val="none" w:sz="0" w:space="0" w:color="auto"/>
                    <w:right w:val="none" w:sz="0" w:space="0" w:color="auto"/>
                  </w:divBdr>
                  <w:divsChild>
                    <w:div w:id="18336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20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www.teacherscouncil.govt.nz/required/Tataiako_RTCandGTS.pdf"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thehistoricjourney.org/wp-content/uploads/2011/04/Why-Focus.pdf" TargetMode="External"/><Relationship Id="rId2" Type="http://schemas.openxmlformats.org/officeDocument/2006/relationships/customXml" Target="../customXml/item2.xml"/><Relationship Id="rId16" Type="http://schemas.openxmlformats.org/officeDocument/2006/relationships/hyperlink" Target="http://www.cshe.unimelb.edu.au/assessinglearning/07/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akoaotearoa.ac.nz/projects/signposts-professional-development-resource-new-teaching-staff-tertiary-sector"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6D96B-C4D4-447B-9345-49664100B6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4E970E-8B23-4A0F-BB8D-D618836AB52D}">
  <ds:schemaRefs>
    <ds:schemaRef ds:uri="http://schemas.microsoft.com/sharepoint/v3/contenttype/forms"/>
  </ds:schemaRefs>
</ds:datastoreItem>
</file>

<file path=customXml/itemProps3.xml><?xml version="1.0" encoding="utf-8"?>
<ds:datastoreItem xmlns:ds="http://schemas.openxmlformats.org/officeDocument/2006/customXml" ds:itemID="{2F5EEDFE-BCB8-4A66-8726-CB0C0DC80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0E5901E-79DB-43CC-806F-18BC7E39F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Otago Polytechnic</cp:lastModifiedBy>
  <cp:revision>4</cp:revision>
  <cp:lastPrinted>2015-04-23T01:46:00Z</cp:lastPrinted>
  <dcterms:created xsi:type="dcterms:W3CDTF">2015-08-14T00:50:00Z</dcterms:created>
  <dcterms:modified xsi:type="dcterms:W3CDTF">2015-10-14T00:55:00Z</dcterms:modified>
</cp:coreProperties>
</file>