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7F0000"/>
                <w:highlight w:val="yellow"/>
              </w:rPr>
              <w:t>发</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7F7F00"/>
                <w:highlight w:val="yellow"/>
              </w:rPr>
              <w:t>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7F00"/>
                <w:szCs w:val="21"/>
                <w:highlight w:val="yellow"/>
              </w:rPr>
              <w:t>X</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F0FFFF"/>
                <w:szCs w:val="21"/>
                <w:highlight w:val="yellow"/>
              </w:rPr>
              <w:t>-</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7F00"/>
                <w:szCs w:val="21"/>
                <w:highlight w:val="yellow"/>
              </w:rPr>
              <w:t>X</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F0FFFF"/>
                <w:szCs w:val="21"/>
                <w:highlight w:val="yellow"/>
              </w:rPr>
              <w:t>-</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FFF0FF"/>
                <w:szCs w:val="21"/>
                <w:highlight w:val="yellow"/>
              </w:rPr>
              <w:t>X</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F0FFFF"/>
                <w:szCs w:val="21"/>
                <w:highlight w:val="yellow"/>
              </w:rPr>
              <w:t>-</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FF0FFF"/>
                <w:szCs w:val="21"/>
                <w:highlight w:val="yellow"/>
              </w:rPr>
              <w:t>X</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F0FFFF"/>
                <w:szCs w:val="21"/>
                <w:highlight w:val="yellow"/>
              </w:rPr>
              <w:t>-</w:t>
            </w:r>
            <w:bookmarkStart w:id="2" w:name="_GoBack"/>
            <w:bookmarkEnd w:id="2"/>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FE3C7D" w:rsidRDefault="00096401" w:rsidP="00FE3C7D">
      <w:pPr>
        <w:pStyle w:val="afffff4"/>
        <w:rPr>
          <w:color w:val="0000FF"/>
        </w:rPr>
      </w:pPr>
      <w:r w:rsidRPr="00FE3C7D">
        <w:rPr>
          <w:rFonts w:hint="eastAsia"/>
          <w:color w:val="0000FF"/>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FFFF"/>
          <w:kern w:val="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7F007F"/>
          <w:sz w:val="24"/>
          <w:highlight w:val="yellow"/>
        </w:rPr>
        <w:t>邮编</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FFFFF0"/>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FF00"/>
          <w:sz w:val="24"/>
          <w:highlight w:val="yellow"/>
          <w:u w:val="single"/>
        </w:rPr>
        <w:t>广州XXXX房</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FFFFF"/>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F93421" w:rsidRDefault="00A36A62" w:rsidP="00D31ABF">
      <w:pPr>
        <w:pStyle w:val="41"/>
        <w:numPr>
          <w:ilvl w:val="0"/>
          <w:numId w:val="0"/>
        </w:numPr>
        <w:ind w:left="289"/>
        <w:rPr>
          <w:color w:val="FF00FF"/>
          <w:highlight w:val="yellow"/>
        </w:rPr>
      </w:pPr>
      <w:r w:rsidRPr="00F93421">
        <w:rPr>
          <w:rFonts w:hint="eastAsia"/>
          <w:color w:val="FF00FF"/>
          <w:highlight w:val="yellow"/>
        </w:rPr>
        <w:t>负责公司的整体软件开发核心技术，组织制定和实施重大技术决策和技术方案；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405"/>
        <w:gridCol w:w="621"/>
        <w:gridCol w:w="1062"/>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C2" w:rsidRDefault="00E64EC2">
      <w:r>
        <w:separator/>
      </w:r>
    </w:p>
  </w:endnote>
  <w:endnote w:type="continuationSeparator" w:id="0">
    <w:p w:rsidR="00E64EC2" w:rsidRDefault="00E6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5306">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530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530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C2" w:rsidRDefault="00E64EC2">
      <w:r>
        <w:separator/>
      </w:r>
    </w:p>
  </w:footnote>
  <w:footnote w:type="continuationSeparator" w:id="0">
    <w:p w:rsidR="00E64EC2" w:rsidRDefault="00E6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3EE4C8C"/>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F5BCA9-7DB9-42DD-82B9-72BB8F96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40</Pages>
  <Words>4094</Words>
  <Characters>23339</Characters>
  <Application>Microsoft Office Word</Application>
  <DocSecurity>0</DocSecurity>
  <Lines>194</Lines>
  <Paragraphs>54</Paragraphs>
  <ScaleCrop>false</ScaleCrop>
  <Company>长东信息</Company>
  <LinksUpToDate>false</LinksUpToDate>
  <CharactersWithSpaces>27379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89</cp:revision>
  <cp:lastPrinted>2014-04-11T06:01:00Z</cp:lastPrinted>
  <dcterms:created xsi:type="dcterms:W3CDTF">2019-02-10T12:45:00Z</dcterms:created>
  <dcterms:modified xsi:type="dcterms:W3CDTF">2019-02-14T10:20:00Z</dcterms:modified>
</cp:coreProperties>
</file>