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7F0000"/>
                <w:highlight w:val="yellow"/>
              </w:rPr>
              <w:t>发</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7F7F00"/>
                <w:highlight w:val="yellow"/>
              </w:rPr>
              <w:t>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7F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FFF0FF"/>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FF0FFF"/>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FE3C7D" w:rsidRDefault="00096401" w:rsidP="00FE3C7D">
      <w:pPr>
        <w:pStyle w:val="afffff4"/>
        <w:rPr>
          <w:color w:val="0000FF"/>
        </w:rPr>
      </w:pPr>
      <w:r w:rsidRPr="00FE3C7D">
        <w:rPr>
          <w:rFonts w:hint="eastAsia"/>
          <w:color w:val="0000FF"/>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FFFF"/>
          <w:kern w:val="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FF00"/>
          <w:sz w:val="24"/>
          <w:highlight w:val="yellow"/>
          <w:u w:val="single"/>
        </w:rPr>
        <w:t>广州XXXX房</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