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说 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普通</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E04503">
            <w:pPr>
              <w:pStyle w:val="051"/>
              <w:rPr>
                <w:color w:val="auto"/>
              </w:rPr>
            </w:pPr>
            <w:r w:rsidRPr="002F2FDA">
              <w:rPr>
                <w:rFonts w:hint="eastAsia"/>
                <w:color w:val="auto"/>
              </w:rPr>
              <w:t>发</w:t>
            </w:r>
            <w:r w:rsidR="00E04503">
              <w:rPr>
                <w:color w:val="auto"/>
              </w:rPr>
              <w:t xml:space="preserve"> </w:t>
            </w:r>
            <w:r w:rsidRPr="002F2FDA">
              <w:rPr>
                <w:rFonts w:hint="eastAsia"/>
                <w:color w:val="auto"/>
              </w:rPr>
              <w:t xml:space="preserve">布 </w:t>
            </w:r>
            <w:r w:rsidRPr="002F2FDA">
              <w:rPr>
                <w:color w:val="auto"/>
              </w:rPr>
              <w:t>批准</w:t>
            </w:r>
            <w:r w:rsidR="00526DCF">
              <w:rPr>
                <w:rFonts w:hint="eastAsia"/>
                <w:color w:val="auto"/>
              </w:rPr>
              <w:t>人</w:t>
            </w:r>
          </w:p>
        </w:tc>
        <w:tc>
          <w:tcPr>
            <w:tcW w:w="2683" w:type="dxa"/>
            <w:shd w:val="clear" w:color="auto" w:fill="auto"/>
            <w:vAlign w:val="center"/>
          </w:tcPr>
          <w:p w:rsidR="00CB15A3" w:rsidRPr="001D1BAA" w:rsidRDefault="00CA461E" w:rsidP="002F2FDA">
            <w:pPr>
              <w:pStyle w:val="051"/>
              <w:rPr>
                <w:color w:val="000080"/>
              </w:rPr>
            </w:pPr>
            <w:r w:rsidRPr="001D1BAA">
              <w:rPr>
                <w:rFonts w:hint="eastAsia"/>
                <w:color w:val="000080"/>
                <w:highlight w:val="yellow"/>
              </w:rPr>
              <w:t>发布人张某</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bookmarkStart w:id="2" w:name="_GoBack"/>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bookmarkEnd w:id="2"/>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1"/>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C73D12">
      <w:pPr>
        <w:pStyle w:val="afffff1"/>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C73D12">
      <w:pPr>
        <w:pStyle w:val="afffff1"/>
        <w:spacing w:line="360" w:lineRule="auto"/>
        <w:ind w:right="360"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C73D12">
      <w:pPr>
        <w:pStyle w:val="afffff1"/>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w:t>
      </w:r>
      <w:r w:rsidR="005C6A18" w:rsidRPr="002F2FDA">
        <w:rPr>
          <w:rFonts w:ascii="幼圆" w:eastAsia="幼圆" w:hAnsi="宋体" w:cs="宋体" w:hint="eastAsia"/>
          <w:color w:val="0000FF"/>
          <w:kern w:val="0"/>
          <w:sz w:val="24"/>
          <w:highlight w:val="yellow"/>
        </w:rPr>
        <w:t>创始之</w:t>
      </w:r>
      <w:proofErr w:type="gramStart"/>
      <w:r w:rsidR="005C6A18" w:rsidRPr="002F2FDA">
        <w:rPr>
          <w:rFonts w:ascii="幼圆" w:eastAsia="幼圆" w:hAnsi="宋体" w:cs="宋体" w:hint="eastAsia"/>
          <w:color w:val="0000FF"/>
          <w:kern w:val="0"/>
          <w:sz w:val="24"/>
          <w:highlight w:val="yellow"/>
        </w:rPr>
        <w:t>初公司</w:t>
      </w:r>
      <w:proofErr w:type="gramEnd"/>
      <w:r w:rsidR="005C6A18"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广州真如信息科技有限公司创始之</w:t>
      </w:r>
      <w:proofErr w:type="gramStart"/>
      <w:r w:rsidRPr="002F2FDA">
        <w:rPr>
          <w:rFonts w:ascii="幼圆" w:eastAsia="幼圆" w:hAnsi="宋体" w:cs="宋体" w:hint="eastAsia"/>
          <w:color w:val="0000FF"/>
          <w:kern w:val="0"/>
          <w:sz w:val="24"/>
          <w:highlight w:val="yellow"/>
        </w:rPr>
        <w:t>初公司</w:t>
      </w:r>
      <w:proofErr w:type="gramEnd"/>
      <w:r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广州真如信息科技有限公司创始之</w:t>
      </w:r>
      <w:proofErr w:type="gramStart"/>
      <w:r w:rsidRPr="002F2FDA">
        <w:rPr>
          <w:rFonts w:ascii="幼圆" w:eastAsia="幼圆" w:hAnsi="宋体" w:cs="宋体" w:hint="eastAsia"/>
          <w:color w:val="0000FF"/>
          <w:kern w:val="0"/>
          <w:sz w:val="24"/>
          <w:highlight w:val="yellow"/>
        </w:rPr>
        <w:t>初公司</w:t>
      </w:r>
      <w:proofErr w:type="gramEnd"/>
      <w:r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4.1.1</w:t>
        </w:r>
      </w:smartTag>
      <w:r w:rsidRPr="00812CDD">
        <w:rPr>
          <w:rFonts w:ascii="幼圆" w:eastAsia="幼圆" w:hint="eastAsia"/>
          <w:sz w:val="28"/>
          <w:szCs w:val="28"/>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4.1.2</w:t>
        </w:r>
      </w:smartTag>
      <w:r w:rsidRPr="00812CDD">
        <w:rPr>
          <w:rFonts w:ascii="幼圆" w:eastAsia="幼圆" w:hint="eastAsia"/>
          <w:sz w:val="28"/>
          <w:szCs w:val="28"/>
        </w:rPr>
        <w:t>服务管理策略</w:t>
      </w:r>
      <w:bookmarkEnd w:id="83"/>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4" w:name="_Toc375317610"/>
      <w:r w:rsidRPr="00812CDD">
        <w:rPr>
          <w:rFonts w:ascii="幼圆" w:eastAsia="幼圆" w:hint="eastAsia"/>
          <w:sz w:val="28"/>
          <w:szCs w:val="28"/>
        </w:rPr>
        <w:lastRenderedPageBreak/>
        <w:t>4.1.3权力、责任和沟通</w:t>
      </w:r>
      <w:bookmarkEnd w:id="84"/>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4.1.4</w:t>
        </w:r>
      </w:smartTag>
      <w:r w:rsidRPr="00812CDD">
        <w:rPr>
          <w:rFonts w:ascii="幼圆" w:eastAsia="幼圆" w:hint="eastAsia"/>
          <w:sz w:val="28"/>
          <w:szCs w:val="28"/>
        </w:rPr>
        <w:t>管理者代表</w:t>
      </w:r>
      <w:bookmarkEnd w:id="85"/>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4.3.1</w:t>
        </w:r>
      </w:smartTag>
      <w:r w:rsidRPr="00812CDD">
        <w:rPr>
          <w:rFonts w:ascii="幼圆" w:eastAsia="幼圆" w:hint="eastAsia"/>
          <w:sz w:val="28"/>
          <w:szCs w:val="28"/>
        </w:rPr>
        <w:t>文件的建立和维护</w:t>
      </w:r>
      <w:bookmarkEnd w:id="88"/>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lastRenderedPageBreak/>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4.3.2</w:t>
        </w:r>
      </w:smartTag>
      <w:r w:rsidRPr="00812CDD">
        <w:rPr>
          <w:rFonts w:ascii="幼圆" w:eastAsia="幼圆" w:hint="eastAsia"/>
          <w:sz w:val="28"/>
          <w:szCs w:val="28"/>
        </w:rPr>
        <w:t>文件控制</w:t>
      </w:r>
      <w:bookmarkEnd w:id="89"/>
      <w:r w:rsidRPr="00812CDD">
        <w:rPr>
          <w:rFonts w:ascii="幼圆" w:eastAsia="幼圆" w:hint="eastAsia"/>
          <w:sz w:val="28"/>
          <w:szCs w:val="28"/>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4.3.3</w:t>
        </w:r>
      </w:smartTag>
      <w:r w:rsidRPr="00812CDD">
        <w:rPr>
          <w:rFonts w:ascii="幼圆" w:eastAsia="幼圆" w:hint="eastAsia"/>
          <w:sz w:val="28"/>
          <w:szCs w:val="28"/>
        </w:rPr>
        <w:t>记录控制</w:t>
      </w:r>
      <w:bookmarkEnd w:id="90"/>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4.4.1</w:t>
        </w:r>
      </w:smartTag>
      <w:r w:rsidRPr="00812CDD">
        <w:rPr>
          <w:rFonts w:ascii="幼圆" w:eastAsia="幼圆" w:hint="eastAsia"/>
          <w:sz w:val="28"/>
          <w:szCs w:val="28"/>
        </w:rPr>
        <w:t>资源供给</w:t>
      </w:r>
      <w:bookmarkEnd w:id="92"/>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lastRenderedPageBreak/>
          <w:t>4.4.2</w:t>
        </w:r>
      </w:smartTag>
      <w:r w:rsidRPr="00812CDD">
        <w:rPr>
          <w:rFonts w:ascii="幼圆" w:eastAsia="幼圆" w:hint="eastAsia"/>
          <w:sz w:val="28"/>
          <w:szCs w:val="28"/>
        </w:rPr>
        <w:t>人力资源</w:t>
      </w:r>
      <w:bookmarkEnd w:id="93"/>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4.5.1</w:t>
        </w:r>
      </w:smartTag>
      <w:r w:rsidRPr="00812CDD">
        <w:rPr>
          <w:rFonts w:ascii="幼圆" w:eastAsia="幼圆" w:hint="eastAsia"/>
          <w:sz w:val="28"/>
          <w:szCs w:val="28"/>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4.5.2</w:t>
        </w:r>
      </w:smartTag>
      <w:r w:rsidRPr="00812CDD">
        <w:rPr>
          <w:rFonts w:ascii="幼圆" w:eastAsia="幼圆" w:hint="eastAsia"/>
          <w:sz w:val="28"/>
          <w:szCs w:val="28"/>
        </w:rPr>
        <w:t>计划SMS（P）</w:t>
      </w:r>
      <w:bookmarkEnd w:id="96"/>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4.5.2</w:t>
        </w:r>
      </w:smartTag>
      <w:r w:rsidRPr="00812CDD">
        <w:rPr>
          <w:rFonts w:ascii="幼圆" w:eastAsia="幼圆" w:hAnsi="宋体" w:hint="eastAsia"/>
          <w:sz w:val="24"/>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4.5.2</w:t>
        </w:r>
      </w:smartTag>
      <w:r w:rsidRPr="00812CDD">
        <w:rPr>
          <w:rFonts w:ascii="幼圆" w:eastAsia="幼圆" w:hAnsi="宋体" w:hint="eastAsia"/>
          <w:sz w:val="24"/>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9" w:name="_Toc375317625"/>
      <w:r w:rsidRPr="00812CDD">
        <w:rPr>
          <w:rFonts w:ascii="幼圆" w:eastAsia="幼圆" w:hint="eastAsia"/>
          <w:sz w:val="28"/>
          <w:szCs w:val="28"/>
        </w:rPr>
        <w:t>4.5.3实施运作SMS（D）</w:t>
      </w:r>
      <w:bookmarkEnd w:id="99"/>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0" w:name="_Toc375317626"/>
      <w:r w:rsidRPr="00812CDD">
        <w:rPr>
          <w:rFonts w:ascii="幼圆" w:eastAsia="幼圆" w:hint="eastAsia"/>
          <w:sz w:val="28"/>
          <w:szCs w:val="28"/>
        </w:rPr>
        <w:t>4.5.4监控审查SMS（C）</w:t>
      </w:r>
      <w:bookmarkEnd w:id="100"/>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1" w:name="_Toc375317627"/>
      <w:r w:rsidRPr="00812CDD">
        <w:rPr>
          <w:rFonts w:ascii="幼圆" w:eastAsia="幼圆" w:hAnsi="宋体" w:hint="eastAsia"/>
          <w:sz w:val="24"/>
        </w:rPr>
        <w:t>4.5.4.1概述</w:t>
      </w:r>
      <w:bookmarkEnd w:id="101"/>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2" w:name="_Toc375317628"/>
      <w:r w:rsidRPr="00812CDD">
        <w:rPr>
          <w:rFonts w:ascii="幼圆" w:eastAsia="幼圆" w:hAnsi="宋体" w:hint="eastAsia"/>
          <w:sz w:val="24"/>
        </w:rPr>
        <w:t>4.5.4.2内部审核</w:t>
      </w:r>
      <w:bookmarkEnd w:id="102"/>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3" w:name="_Toc375317629"/>
      <w:r w:rsidRPr="00812CDD">
        <w:rPr>
          <w:rFonts w:ascii="幼圆" w:eastAsia="幼圆" w:hAnsi="宋体" w:hint="eastAsia"/>
          <w:sz w:val="24"/>
        </w:rPr>
        <w:t>4.5.4.3管理评审</w:t>
      </w:r>
      <w:bookmarkEnd w:id="103"/>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4" w:name="_Toc375317630"/>
      <w:r w:rsidRPr="00812CDD">
        <w:rPr>
          <w:rFonts w:ascii="幼圆" w:eastAsia="幼圆" w:hint="eastAsia"/>
          <w:sz w:val="28"/>
          <w:szCs w:val="28"/>
        </w:rPr>
        <w:t>4.5.5持续改进SMS（A）</w:t>
      </w:r>
      <w:bookmarkEnd w:id="104"/>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4.5.5</w:t>
        </w:r>
      </w:smartTag>
      <w:r w:rsidRPr="00812CDD">
        <w:rPr>
          <w:rFonts w:ascii="幼圆" w:eastAsia="幼圆" w:hAnsi="宋体" w:hint="eastAsia"/>
          <w:sz w:val="24"/>
        </w:rPr>
        <w:t>.1概述</w:t>
      </w:r>
      <w:bookmarkEnd w:id="105"/>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4.5.5</w:t>
        </w:r>
      </w:smartTag>
      <w:r w:rsidRPr="00812CDD">
        <w:rPr>
          <w:rFonts w:ascii="幼圆" w:eastAsia="幼圆" w:hAnsi="宋体" w:hint="eastAsia"/>
          <w:sz w:val="24"/>
        </w:rPr>
        <w:t>.2管理改进</w:t>
      </w:r>
      <w:bookmarkEnd w:id="106"/>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FFF"/>
          <w:kern w:val="36"/>
          <w:sz w:val="24"/>
          <w:highlight w:val="yellow"/>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D022FB">
        <w:rPr>
          <w:rFonts w:ascii="幼圆" w:eastAsia="幼圆" w:hAnsi="Arial" w:cs="Arial" w:hint="eastAsia"/>
          <w:b/>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highlight w:val="yellow"/>
        </w:rPr>
        <w:t>软件研发中心</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负责公司的整体软件开发核心技术，组织制定和实施重大技术决策和技术方案；</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完善部门发展规划，组织审定部门各项技术标准，编制完善软件开发流程；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合同管理（包括公司签定的合同以及与供货商的合同）；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及时了解行业的最新动态，依据市场环境的变化趋势和内部出现的问题，对销售指标作出调整；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w:t>
      </w:r>
      <w:r w:rsidRPr="00812CDD">
        <w:rPr>
          <w:rFonts w:ascii="幼圆" w:eastAsia="幼圆" w:hint="eastAsia"/>
          <w:szCs w:val="21"/>
          <w:highlight w:val="yellow"/>
        </w:rPr>
        <w:lastRenderedPageBreak/>
        <w:t>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负责公司记帐、算帐和报帐，出具内部财务报告，进行财务分析，提出财务建议。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0"/>
          <w:footerReference w:type="even" r:id="rId11"/>
          <w:headerReference w:type="first" r:id="rId12"/>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(与上面组织架构图部门一致)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4E1" w:rsidRDefault="00F454E1">
      <w:r>
        <w:separator/>
      </w:r>
    </w:p>
  </w:endnote>
  <w:endnote w:type="continuationSeparator" w:id="0">
    <w:p w:rsidR="00F454E1" w:rsidRDefault="00F4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F2650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F26500">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F26500">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4E1" w:rsidRDefault="00F454E1">
      <w:r>
        <w:separator/>
      </w:r>
    </w:p>
  </w:footnote>
  <w:footnote w:type="continuationSeparator" w:id="0">
    <w:p w:rsidR="00F454E1" w:rsidRDefault="00F45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CF607C">
      <w:rPr>
        <w:rFonts w:ascii="幼圆" w:eastAsia="幼圆" w:hint="eastAsia"/>
        <w:color w:val="FF0000"/>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link w:val="42"/>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36A62"/>
    <w:rPr>
      <w:rFonts w:ascii="Arial" w:eastAsia="黑体" w:hAnsi="Arial" w:cs="Arial"/>
      <w:b/>
      <w:bCs/>
      <w:kern w:val="2"/>
      <w:sz w:val="30"/>
      <w:szCs w:val="30"/>
    </w:rPr>
  </w:style>
  <w:style w:type="character" w:customStyle="1" w:styleId="42">
    <w:name w:val="标题 4 字符"/>
    <w:basedOn w:val="aa"/>
    <w:link w:val="41"/>
    <w:rsid w:val="00A36A62"/>
    <w:rPr>
      <w:rFonts w:ascii="Arial" w:eastAsia="黑体" w:hAnsi="Arial"/>
      <w:b/>
      <w:bCs/>
      <w:kern w:val="2"/>
      <w:sz w:val="28"/>
      <w:szCs w:val="24"/>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4601</Words>
  <Characters>26226</Characters>
  <Application>Microsoft Office Word</Application>
  <DocSecurity>0</DocSecurity>
  <Lines>218</Lines>
  <Paragraphs>61</Paragraphs>
  <ScaleCrop>false</ScaleCrop>
  <Company>长东信息</Company>
  <LinksUpToDate>false</LinksUpToDate>
  <CharactersWithSpaces>30766</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5</cp:revision>
  <cp:lastPrinted>2014-04-11T06:01:00Z</cp:lastPrinted>
  <dcterms:created xsi:type="dcterms:W3CDTF">2019-02-10T12:45:00Z</dcterms:created>
  <dcterms:modified xsi:type="dcterms:W3CDTF">2019-02-11T06:24:00Z</dcterms:modified>
</cp:coreProperties>
</file>