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C5559A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事件管理流程指南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C5559A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881A4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C5559A">
        <w:rPr>
          <w:rFonts w:ascii="幼圆" w:eastAsia="幼圆" w:hAnsi="宋体"/>
          <w:b/>
          <w:color w:val="000000"/>
          <w:sz w:val="44"/>
          <w:szCs w:val="44"/>
        </w:rPr>
        <w:t xml:space="preserve">-20000-IM-G-01 </w:t>
      </w: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881A4E" w:rsidP="004365E1">
      <w:pPr>
        <w:ind w:firstLine="643"/>
        <w:jc w:val="center"/>
        <w:rPr>
          <w:rFonts w:ascii="幼圆" w:eastAsia="幼圆"/>
          <w:b/>
          <w:sz w:val="32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B3789B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Pr="00C15E03" w:rsidRDefault="00881A4E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EA3712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EA3712" w:rsidRPr="004346A9" w:rsidTr="00DC6D3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A3712" w:rsidRPr="004346A9" w:rsidRDefault="00EA3712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A3712" w:rsidRPr="004346A9" w:rsidRDefault="00EA3712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EA3712" w:rsidRPr="00182E85" w:rsidRDefault="00EA3712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A3712" w:rsidRPr="004346A9" w:rsidTr="00DC6D32">
        <w:trPr>
          <w:jc w:val="center"/>
        </w:trPr>
        <w:tc>
          <w:tcPr>
            <w:tcW w:w="69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A3712" w:rsidRPr="004346A9" w:rsidRDefault="00EA3712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5559A" w:rsidRDefault="00C5559A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5559A" w:rsidRDefault="00C5559A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r w:rsidRPr="00C5559A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lastRenderedPageBreak/>
        <w:t>事件管理流程-角色设置表</w:t>
      </w:r>
    </w:p>
    <w:tbl>
      <w:tblPr>
        <w:tblW w:w="9380" w:type="dxa"/>
        <w:jc w:val="center"/>
        <w:tblLook w:val="04A0" w:firstRow="1" w:lastRow="0" w:firstColumn="1" w:lastColumn="0" w:noHBand="0" w:noVBand="1"/>
      </w:tblPr>
      <w:tblGrid>
        <w:gridCol w:w="2117"/>
        <w:gridCol w:w="6095"/>
        <w:gridCol w:w="1168"/>
      </w:tblGrid>
      <w:tr w:rsidR="00C5559A" w:rsidRPr="00C5559A" w:rsidTr="00AC1884">
        <w:trPr>
          <w:trHeight w:val="592"/>
          <w:jc w:val="center"/>
        </w:trPr>
        <w:tc>
          <w:tcPr>
            <w:tcW w:w="9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事件管理流程-角色设置表</w:t>
            </w:r>
          </w:p>
        </w:tc>
      </w:tr>
      <w:tr w:rsidR="00C5559A" w:rsidRPr="00C5559A" w:rsidTr="00AC1884">
        <w:trPr>
          <w:trHeight w:val="345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事件管理流程角色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典型职责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角色匹配</w:t>
            </w:r>
          </w:p>
        </w:tc>
      </w:tr>
      <w:tr w:rsidR="00C5559A" w:rsidRPr="00C5559A" w:rsidTr="00AC1884">
        <w:trPr>
          <w:trHeight w:val="823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事件管理流程责任人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事件管理解决方案的责任人</w:t>
            </w: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对整个事件管理解决方案的结果承担责任，并有相应的权限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trHeight w:val="549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事件经理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协调事件管理步骤的日常操作</w:t>
            </w: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确保事件受理员（1/2/3/n线）在其各自领域中正常工作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trHeight w:val="1098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事件记录员（1线）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服务台与用户之间的主要接口</w:t>
            </w: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作为“首问负责人”，全程跟踪确保事件得到解决 </w:t>
            </w: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负责事件的初步支持</w:t>
            </w: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与用户确认关闭事件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trHeight w:val="549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事件受理员（2线）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是其所负责处理的服务领域的专业人员，通常，他们被认为是二线支持专家， 负责分析事件，尽快恢复服务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trHeight w:val="558"/>
          <w:jc w:val="center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事件受理员（3线）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外部第三方支持专家，负责对内部IT运维团队无法处理的事件进行快速响应与支持，提出解决方案并尽快恢复服务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</w:tr>
    </w:tbl>
    <w:p w:rsidR="00C5559A" w:rsidRPr="00C5559A" w:rsidRDefault="00C5559A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事件分类表：</w:t>
      </w:r>
    </w:p>
    <w:tbl>
      <w:tblPr>
        <w:tblW w:w="9488" w:type="dxa"/>
        <w:jc w:val="center"/>
        <w:tblLook w:val="04A0" w:firstRow="1" w:lastRow="0" w:firstColumn="1" w:lastColumn="0" w:noHBand="0" w:noVBand="1"/>
      </w:tblPr>
      <w:tblGrid>
        <w:gridCol w:w="2400"/>
        <w:gridCol w:w="2552"/>
        <w:gridCol w:w="1559"/>
        <w:gridCol w:w="2977"/>
      </w:tblGrid>
      <w:tr w:rsidR="00C5559A" w:rsidRPr="00C5559A" w:rsidTr="00AC1884">
        <w:trPr>
          <w:trHeight w:val="360"/>
          <w:jc w:val="center"/>
        </w:trPr>
        <w:tc>
          <w:tcPr>
            <w:tcW w:w="94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事件分类表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49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事件分类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影响程度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责 任 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子类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（初始）优先级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责 任 人</w:t>
            </w:r>
          </w:p>
        </w:tc>
      </w:tr>
      <w:tr w:rsidR="00C5559A" w:rsidRPr="00C5559A" w:rsidTr="00AC1884">
        <w:trPr>
          <w:trHeight w:val="275"/>
          <w:jc w:val="center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软件服务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软件维护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275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软件升级优化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275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软件迁移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网络服务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网络运维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网络优化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系统检测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IT系统迁移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信息安全服务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安全风险评估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安全系统加固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应急响应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IT咨询服务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IT项目方案策划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CMMI</w:t>
            </w:r>
            <w:r w:rsidR="0081708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过程管理培训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  <w:tr w:rsidR="00C5559A" w:rsidRPr="00C5559A" w:rsidTr="00AC1884">
        <w:trPr>
          <w:trHeight w:val="360"/>
          <w:jc w:val="center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ISO20000</w:t>
            </w:r>
            <w:r w:rsidR="0081708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559A" w:rsidRPr="00C5559A" w:rsidRDefault="0081708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技术部门经理</w:t>
            </w:r>
            <w:r w:rsidR="00C5559A" w:rsidRPr="00C5559A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/研发负责人</w:t>
            </w:r>
          </w:p>
        </w:tc>
      </w:tr>
    </w:tbl>
    <w:p w:rsidR="00C5559A" w:rsidRPr="00C5559A" w:rsidRDefault="00C5559A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</w:p>
    <w:p w:rsidR="00C5559A" w:rsidRPr="00C5559A" w:rsidRDefault="00C5559A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</w:p>
    <w:p w:rsidR="00C5559A" w:rsidRPr="00C5559A" w:rsidRDefault="00AC1884" w:rsidP="003A0234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事件的优先级：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0"/>
        <w:gridCol w:w="1280"/>
        <w:gridCol w:w="290"/>
        <w:gridCol w:w="10"/>
        <w:gridCol w:w="931"/>
        <w:gridCol w:w="639"/>
        <w:gridCol w:w="10"/>
        <w:gridCol w:w="1570"/>
        <w:gridCol w:w="10"/>
        <w:gridCol w:w="495"/>
        <w:gridCol w:w="1075"/>
        <w:gridCol w:w="10"/>
        <w:gridCol w:w="660"/>
        <w:gridCol w:w="1154"/>
        <w:gridCol w:w="10"/>
        <w:gridCol w:w="12"/>
        <w:gridCol w:w="222"/>
        <w:gridCol w:w="14"/>
        <w:gridCol w:w="222"/>
        <w:gridCol w:w="14"/>
        <w:gridCol w:w="860"/>
      </w:tblGrid>
      <w:tr w:rsidR="00C5559A" w:rsidRPr="00C5559A" w:rsidTr="00AC1884">
        <w:trPr>
          <w:gridBefore w:val="1"/>
          <w:wBefore w:w="10" w:type="dxa"/>
          <w:trHeight w:val="592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 xml:space="preserve">优先级 </w:t>
            </w:r>
          </w:p>
        </w:tc>
        <w:tc>
          <w:tcPr>
            <w:tcW w:w="570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定义示例 </w:t>
            </w:r>
          </w:p>
        </w:tc>
        <w:tc>
          <w:tcPr>
            <w:tcW w:w="117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紧急程度</w:t>
            </w:r>
          </w:p>
        </w:tc>
        <w:tc>
          <w:tcPr>
            <w:tcW w:w="13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优先级别</w:t>
            </w:r>
          </w:p>
        </w:tc>
      </w:tr>
      <w:tr w:rsidR="00C5559A" w:rsidRPr="00C5559A" w:rsidTr="00AC1884">
        <w:trPr>
          <w:gridBefore w:val="1"/>
          <w:wBefore w:w="10" w:type="dxa"/>
          <w:trHeight w:val="7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一级事件</w:t>
            </w:r>
          </w:p>
        </w:tc>
        <w:tc>
          <w:tcPr>
            <w:tcW w:w="570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服务器、存储、容灾设备出现故障需要支援，或软件、网络等同时出现的故障，对客户的日常运作有严重影响的。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高</w:t>
            </w:r>
          </w:p>
        </w:tc>
        <w:tc>
          <w:tcPr>
            <w:tcW w:w="133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紧急</w:t>
            </w:r>
          </w:p>
        </w:tc>
      </w:tr>
      <w:tr w:rsidR="00C5559A" w:rsidRPr="00C5559A" w:rsidTr="00AC1884">
        <w:trPr>
          <w:gridBefore w:val="1"/>
          <w:wBefore w:w="10" w:type="dxa"/>
          <w:trHeight w:val="9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二级事件</w:t>
            </w:r>
          </w:p>
        </w:tc>
        <w:tc>
          <w:tcPr>
            <w:tcW w:w="570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OA系统、视频系统和其他软件的故障需要支援，对客户的日常运作影响较大；；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高</w:t>
            </w:r>
          </w:p>
        </w:tc>
        <w:tc>
          <w:tcPr>
            <w:tcW w:w="133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紧急</w:t>
            </w:r>
          </w:p>
        </w:tc>
      </w:tr>
      <w:tr w:rsidR="00C5559A" w:rsidRPr="00C5559A" w:rsidTr="00AC1884">
        <w:trPr>
          <w:gridBefore w:val="1"/>
          <w:wBefore w:w="10" w:type="dxa"/>
          <w:trHeight w:val="13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三级事件</w:t>
            </w:r>
          </w:p>
        </w:tc>
        <w:tc>
          <w:tcPr>
            <w:tcW w:w="570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网络通信设备的故障需要支援，对客户的日常运作影响较小；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中</w:t>
            </w:r>
          </w:p>
        </w:tc>
        <w:tc>
          <w:tcPr>
            <w:tcW w:w="1332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一般</w:t>
            </w:r>
          </w:p>
        </w:tc>
      </w:tr>
      <w:tr w:rsidR="00C5559A" w:rsidRPr="00C5559A" w:rsidTr="00AC1884">
        <w:trPr>
          <w:gridBefore w:val="1"/>
          <w:wBefore w:w="10" w:type="dxa"/>
          <w:trHeight w:val="114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四级事件</w:t>
            </w:r>
          </w:p>
        </w:tc>
        <w:tc>
          <w:tcPr>
            <w:tcW w:w="5700" w:type="dxa"/>
            <w:gridSpan w:val="11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桌面设备的故障需要支援，对客户的日常运作无影响；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低</w:t>
            </w:r>
          </w:p>
        </w:tc>
        <w:tc>
          <w:tcPr>
            <w:tcW w:w="133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不紧急</w:t>
            </w:r>
          </w:p>
        </w:tc>
      </w:tr>
      <w:tr w:rsidR="00C5559A" w:rsidRPr="00C5559A" w:rsidTr="00AC1884">
        <w:trPr>
          <w:gridAfter w:val="4"/>
          <w:wAfter w:w="1110" w:type="dxa"/>
          <w:trHeight w:val="300"/>
        </w:trPr>
        <w:tc>
          <w:tcPr>
            <w:tcW w:w="83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AC1884" w:rsidRPr="00AC1884" w:rsidRDefault="00AC1884" w:rsidP="00AC1884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C1884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事件目标解决时间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：</w:t>
            </w:r>
          </w:p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运维服务项目（驻场）</w:t>
            </w:r>
          </w:p>
        </w:tc>
      </w:tr>
      <w:tr w:rsidR="00C5559A" w:rsidRPr="00C5559A" w:rsidTr="00AC1884">
        <w:trPr>
          <w:gridAfter w:val="2"/>
          <w:wAfter w:w="874" w:type="dxa"/>
          <w:trHeight w:val="275"/>
        </w:trPr>
        <w:tc>
          <w:tcPr>
            <w:tcW w:w="25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事件级别</w:t>
            </w:r>
          </w:p>
        </w:tc>
        <w:tc>
          <w:tcPr>
            <w:tcW w:w="272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处理时间</w:t>
            </w:r>
          </w:p>
        </w:tc>
        <w:tc>
          <w:tcPr>
            <w:tcW w:w="2921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事件关闭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2"/>
          <w:wAfter w:w="874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一级事件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10分钟</w:t>
            </w:r>
            <w:bookmarkStart w:id="1" w:name="_GoBack"/>
            <w:bookmarkEnd w:id="1"/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30分钟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2"/>
          <w:wAfter w:w="874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二级事件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20分钟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60分钟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2"/>
          <w:wAfter w:w="874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三级事件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30分钟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90分钟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2"/>
          <w:wAfter w:w="874" w:type="dxa"/>
          <w:trHeight w:val="283"/>
        </w:trPr>
        <w:tc>
          <w:tcPr>
            <w:tcW w:w="252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四级事件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40分钟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120分钟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4"/>
          <w:wAfter w:w="1110" w:type="dxa"/>
          <w:trHeight w:val="275"/>
        </w:trPr>
        <w:tc>
          <w:tcPr>
            <w:tcW w:w="81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884" w:rsidRDefault="00AC1884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</w:p>
          <w:p w:rsid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目前流程并未规定解决时间的上限，仅规定了事件的升级上报流程</w:t>
            </w:r>
          </w:p>
          <w:p w:rsidR="00AC1884" w:rsidRPr="00C5559A" w:rsidRDefault="00AC1884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Before w:val="1"/>
          <w:gridAfter w:val="6"/>
          <w:wBefore w:w="10" w:type="dxa"/>
          <w:wAfter w:w="1344" w:type="dxa"/>
          <w:trHeight w:val="463"/>
        </w:trPr>
        <w:tc>
          <w:tcPr>
            <w:tcW w:w="158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事件升级/上报策略 </w:t>
            </w:r>
          </w:p>
        </w:tc>
        <w:tc>
          <w:tcPr>
            <w:tcW w:w="158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服务助理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技术经理</w:t>
            </w:r>
          </w:p>
        </w:tc>
        <w:tc>
          <w:tcPr>
            <w:tcW w:w="158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服务经理</w:t>
            </w:r>
          </w:p>
        </w:tc>
        <w:tc>
          <w:tcPr>
            <w:tcW w:w="1824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技术总监</w:t>
            </w:r>
          </w:p>
        </w:tc>
      </w:tr>
      <w:tr w:rsidR="00C5559A" w:rsidRPr="00C5559A" w:rsidTr="00AC1884">
        <w:trPr>
          <w:gridBefore w:val="1"/>
          <w:gridAfter w:val="6"/>
          <w:wBefore w:w="10" w:type="dxa"/>
          <w:wAfter w:w="1344" w:type="dxa"/>
          <w:trHeight w:val="275"/>
        </w:trPr>
        <w:tc>
          <w:tcPr>
            <w:tcW w:w="158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一级事件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82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4小时</w:t>
            </w:r>
          </w:p>
        </w:tc>
      </w:tr>
      <w:tr w:rsidR="00C5559A" w:rsidRPr="00C5559A" w:rsidTr="00AC1884">
        <w:trPr>
          <w:gridBefore w:val="1"/>
          <w:gridAfter w:val="6"/>
          <w:wBefore w:w="10" w:type="dxa"/>
          <w:wAfter w:w="1344" w:type="dxa"/>
          <w:trHeight w:val="275"/>
        </w:trPr>
        <w:tc>
          <w:tcPr>
            <w:tcW w:w="158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二级事件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82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</w:tr>
      <w:tr w:rsidR="00C5559A" w:rsidRPr="00C5559A" w:rsidTr="00AC1884">
        <w:trPr>
          <w:gridBefore w:val="1"/>
          <w:gridAfter w:val="6"/>
          <w:wBefore w:w="10" w:type="dxa"/>
          <w:wAfter w:w="1344" w:type="dxa"/>
          <w:trHeight w:val="275"/>
        </w:trPr>
        <w:tc>
          <w:tcPr>
            <w:tcW w:w="158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三级事件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8小时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  <w:tc>
          <w:tcPr>
            <w:tcW w:w="182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120小时</w:t>
            </w:r>
          </w:p>
        </w:tc>
      </w:tr>
      <w:tr w:rsidR="00C5559A" w:rsidRPr="00C5559A" w:rsidTr="00AC1884">
        <w:trPr>
          <w:gridBefore w:val="1"/>
          <w:gridAfter w:val="6"/>
          <w:wBefore w:w="10" w:type="dxa"/>
          <w:wAfter w:w="1344" w:type="dxa"/>
          <w:trHeight w:val="283"/>
        </w:trPr>
        <w:tc>
          <w:tcPr>
            <w:tcW w:w="158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四级事件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48小时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120小时</w:t>
            </w:r>
          </w:p>
        </w:tc>
        <w:tc>
          <w:tcPr>
            <w:tcW w:w="1824" w:type="dxa"/>
            <w:gridSpan w:val="3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240小时</w:t>
            </w:r>
          </w:p>
        </w:tc>
      </w:tr>
      <w:tr w:rsidR="00C5559A" w:rsidRPr="00C5559A" w:rsidTr="00AC1884">
        <w:trPr>
          <w:gridAfter w:val="7"/>
          <w:wAfter w:w="1354" w:type="dxa"/>
          <w:trHeight w:val="300"/>
        </w:trPr>
        <w:tc>
          <w:tcPr>
            <w:tcW w:w="81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884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运维服务项目（驻场）</w:t>
            </w:r>
          </w:p>
          <w:p w:rsidR="00AC1884" w:rsidRPr="00C5559A" w:rsidRDefault="00AC1884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C5559A" w:rsidRPr="00C5559A" w:rsidTr="00AC1884">
        <w:trPr>
          <w:gridAfter w:val="1"/>
          <w:wAfter w:w="860" w:type="dxa"/>
          <w:trHeight w:val="275"/>
        </w:trPr>
        <w:tc>
          <w:tcPr>
            <w:tcW w:w="25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事件级别</w:t>
            </w:r>
          </w:p>
        </w:tc>
        <w:tc>
          <w:tcPr>
            <w:tcW w:w="2724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处理时间</w:t>
            </w:r>
          </w:p>
        </w:tc>
        <w:tc>
          <w:tcPr>
            <w:tcW w:w="2921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事件关闭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1"/>
          <w:wAfter w:w="860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一级事件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1小时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1"/>
          <w:wAfter w:w="860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二级事件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4小时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120小时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1"/>
          <w:wAfter w:w="860" w:type="dxa"/>
          <w:trHeight w:val="275"/>
        </w:trPr>
        <w:tc>
          <w:tcPr>
            <w:tcW w:w="2521" w:type="dxa"/>
            <w:gridSpan w:val="5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三级事件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8小时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240小时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1"/>
          <w:wAfter w:w="860" w:type="dxa"/>
          <w:trHeight w:val="283"/>
        </w:trPr>
        <w:tc>
          <w:tcPr>
            <w:tcW w:w="2521" w:type="dxa"/>
            <w:gridSpan w:val="5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四级事件</w:t>
            </w:r>
          </w:p>
        </w:tc>
        <w:tc>
          <w:tcPr>
            <w:tcW w:w="2724" w:type="dxa"/>
            <w:gridSpan w:val="5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48小时</w:t>
            </w:r>
          </w:p>
        </w:tc>
        <w:tc>
          <w:tcPr>
            <w:tcW w:w="2921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240小时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5"/>
          <w:wAfter w:w="1332" w:type="dxa"/>
          <w:trHeight w:val="275"/>
        </w:trPr>
        <w:tc>
          <w:tcPr>
            <w:tcW w:w="63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C1884" w:rsidRDefault="00AC1884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</w:p>
          <w:p w:rsid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目前流程并未规定解决时间的上限，仅规定了事件的升级上报流程</w:t>
            </w:r>
          </w:p>
          <w:p w:rsidR="00AC1884" w:rsidRPr="00C5559A" w:rsidRDefault="00AC1884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5559A" w:rsidRPr="00C5559A" w:rsidRDefault="00C5559A" w:rsidP="00C5559A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559A" w:rsidRPr="00C5559A" w:rsidTr="00AC1884">
        <w:trPr>
          <w:gridAfter w:val="5"/>
          <w:wAfter w:w="1332" w:type="dxa"/>
          <w:trHeight w:val="463"/>
        </w:trPr>
        <w:tc>
          <w:tcPr>
            <w:tcW w:w="158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事件升级/上报策略 </w:t>
            </w:r>
          </w:p>
        </w:tc>
        <w:tc>
          <w:tcPr>
            <w:tcW w:w="158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服务助理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技术经理</w:t>
            </w:r>
          </w:p>
        </w:tc>
        <w:tc>
          <w:tcPr>
            <w:tcW w:w="158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服务经理</w:t>
            </w:r>
          </w:p>
        </w:tc>
        <w:tc>
          <w:tcPr>
            <w:tcW w:w="1846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559A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技术总监</w:t>
            </w:r>
          </w:p>
        </w:tc>
      </w:tr>
      <w:tr w:rsidR="00C5559A" w:rsidRPr="00C5559A" w:rsidTr="00AC1884">
        <w:trPr>
          <w:gridAfter w:val="5"/>
          <w:wAfter w:w="1332" w:type="dxa"/>
          <w:trHeight w:val="275"/>
        </w:trPr>
        <w:tc>
          <w:tcPr>
            <w:tcW w:w="158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一级事件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84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4小时</w:t>
            </w:r>
          </w:p>
        </w:tc>
      </w:tr>
      <w:tr w:rsidR="00C5559A" w:rsidRPr="00C5559A" w:rsidTr="00AC1884">
        <w:trPr>
          <w:gridAfter w:val="5"/>
          <w:wAfter w:w="1332" w:type="dxa"/>
          <w:trHeight w:val="275"/>
        </w:trPr>
        <w:tc>
          <w:tcPr>
            <w:tcW w:w="158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二级事件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84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</w:tr>
      <w:tr w:rsidR="00C5559A" w:rsidRPr="00C5559A" w:rsidTr="00AC1884">
        <w:trPr>
          <w:gridAfter w:val="5"/>
          <w:wAfter w:w="1332" w:type="dxa"/>
          <w:trHeight w:val="275"/>
        </w:trPr>
        <w:tc>
          <w:tcPr>
            <w:tcW w:w="158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三级事件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8小时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  <w:tc>
          <w:tcPr>
            <w:tcW w:w="184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120小时</w:t>
            </w:r>
          </w:p>
        </w:tc>
      </w:tr>
      <w:tr w:rsidR="00C5559A" w:rsidRPr="00C5559A" w:rsidTr="00AC1884">
        <w:trPr>
          <w:gridAfter w:val="5"/>
          <w:wAfter w:w="1332" w:type="dxa"/>
          <w:trHeight w:val="283"/>
        </w:trPr>
        <w:tc>
          <w:tcPr>
            <w:tcW w:w="1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四级事件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48小时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72小时</w:t>
            </w: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120小时</w:t>
            </w:r>
          </w:p>
        </w:tc>
        <w:tc>
          <w:tcPr>
            <w:tcW w:w="1846" w:type="dxa"/>
            <w:gridSpan w:val="5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C5559A" w:rsidRPr="00C5559A" w:rsidRDefault="00C5559A" w:rsidP="00C5559A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C5559A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240小时</w:t>
            </w:r>
          </w:p>
        </w:tc>
      </w:tr>
    </w:tbl>
    <w:p w:rsidR="00732CC2" w:rsidRPr="00732CC2" w:rsidRDefault="00732CC2" w:rsidP="00732CC2">
      <w:pPr>
        <w:rPr>
          <w:vanish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p w:rsidR="00EC1D70" w:rsidRDefault="00EC1D70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</w:p>
    <w:sectPr w:rsidR="00EC1D70" w:rsidSect="00050B81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C7" w:rsidRDefault="00C06DC7">
      <w:r>
        <w:separator/>
      </w:r>
    </w:p>
  </w:endnote>
  <w:endnote w:type="continuationSeparator" w:id="0">
    <w:p w:rsidR="00C06DC7" w:rsidRDefault="00C0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4" w:rsidRPr="004365E1" w:rsidRDefault="00AC1884" w:rsidP="00AC1884">
    <w:pPr>
      <w:pStyle w:val="a4"/>
      <w:rPr>
        <w:rFonts w:ascii="幼圆" w:eastAsia="幼圆"/>
      </w:rPr>
    </w:pPr>
    <w:r w:rsidRPr="00050B81">
      <w:rPr>
        <w:rFonts w:ascii="幼圆" w:eastAsia="幼圆" w:hint="eastAsia"/>
        <w:color w:val="FE0000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instrText>6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AC1884" w:rsidRPr="00AC1884" w:rsidRDefault="00AC18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instrText>6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050B81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C7" w:rsidRDefault="00C06DC7">
      <w:r>
        <w:separator/>
      </w:r>
    </w:p>
  </w:footnote>
  <w:footnote w:type="continuationSeparator" w:id="0">
    <w:p w:rsidR="00C06DC7" w:rsidRDefault="00C06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C5559A" w:rsidP="00F05A31">
    <w:pPr>
      <w:jc w:val="left"/>
      <w:rPr>
        <w:rFonts w:ascii="幼圆" w:eastAsia="幼圆"/>
        <w:sz w:val="18"/>
        <w:szCs w:val="18"/>
      </w:rPr>
    </w:pPr>
    <w:r w:rsidRPr="00050B81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050B81">
      <w:rPr>
        <w:rFonts w:ascii="幼圆" w:eastAsia="幼圆" w:hint="eastAsia"/>
        <w:sz w:val="18"/>
        <w:szCs w:val="18"/>
      </w:rPr>
      <w:t xml:space="preserve">-20000-IM-G-01 </w:t>
    </w:r>
    <w:r w:rsidR="00F05A31" w:rsidRPr="00F05A31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>事件管理流程指南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  <w:p w:rsidR="00F05A31" w:rsidRPr="00F05A31" w:rsidRDefault="00F05A31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C5559A" w:rsidP="00F05A31">
    <w:pPr>
      <w:jc w:val="left"/>
      <w:rPr>
        <w:rFonts w:ascii="幼圆" w:eastAsia="幼圆"/>
        <w:sz w:val="18"/>
        <w:szCs w:val="18"/>
      </w:rPr>
    </w:pPr>
    <w:r>
      <w:rPr>
        <w:rFonts w:ascii="幼圆" w:eastAsia="幼圆" w:hint="eastAsia"/>
        <w:sz w:val="18"/>
        <w:szCs w:val="18"/>
        <w:highlight w:val="yellow"/>
      </w:rPr>
      <w:t xml:space="preserve">ZRXX-20000-IM-G-01 </w:t>
    </w:r>
    <w:r w:rsidR="00F05A31" w:rsidRPr="00F05A31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>事件管理流程指南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B81"/>
    <w:rsid w:val="000B1788"/>
    <w:rsid w:val="000C251F"/>
    <w:rsid w:val="000C69D7"/>
    <w:rsid w:val="00131114"/>
    <w:rsid w:val="00146524"/>
    <w:rsid w:val="00172A27"/>
    <w:rsid w:val="001826AB"/>
    <w:rsid w:val="001A0CCF"/>
    <w:rsid w:val="001E74A0"/>
    <w:rsid w:val="00217149"/>
    <w:rsid w:val="002450CF"/>
    <w:rsid w:val="00302E36"/>
    <w:rsid w:val="00337422"/>
    <w:rsid w:val="00351F0A"/>
    <w:rsid w:val="00357A35"/>
    <w:rsid w:val="00377764"/>
    <w:rsid w:val="003A0234"/>
    <w:rsid w:val="003A630E"/>
    <w:rsid w:val="003D4C51"/>
    <w:rsid w:val="004365E1"/>
    <w:rsid w:val="0044081B"/>
    <w:rsid w:val="004D759D"/>
    <w:rsid w:val="004F1367"/>
    <w:rsid w:val="005C384B"/>
    <w:rsid w:val="00640491"/>
    <w:rsid w:val="0067789B"/>
    <w:rsid w:val="00697FD9"/>
    <w:rsid w:val="006C7A96"/>
    <w:rsid w:val="00707C94"/>
    <w:rsid w:val="00732CC2"/>
    <w:rsid w:val="00757497"/>
    <w:rsid w:val="007709F5"/>
    <w:rsid w:val="00782D90"/>
    <w:rsid w:val="00790D2D"/>
    <w:rsid w:val="007E3590"/>
    <w:rsid w:val="0081708A"/>
    <w:rsid w:val="008453B7"/>
    <w:rsid w:val="00881A4E"/>
    <w:rsid w:val="009E151B"/>
    <w:rsid w:val="00A35773"/>
    <w:rsid w:val="00A847CB"/>
    <w:rsid w:val="00AB2958"/>
    <w:rsid w:val="00AC1884"/>
    <w:rsid w:val="00AD129B"/>
    <w:rsid w:val="00AD2F31"/>
    <w:rsid w:val="00AF43D4"/>
    <w:rsid w:val="00B2470B"/>
    <w:rsid w:val="00B3789B"/>
    <w:rsid w:val="00C06DC7"/>
    <w:rsid w:val="00C4490C"/>
    <w:rsid w:val="00C5559A"/>
    <w:rsid w:val="00C73946"/>
    <w:rsid w:val="00CA26DB"/>
    <w:rsid w:val="00D23261"/>
    <w:rsid w:val="00D41977"/>
    <w:rsid w:val="00D424ED"/>
    <w:rsid w:val="00D4321B"/>
    <w:rsid w:val="00DC6BAA"/>
    <w:rsid w:val="00E12C03"/>
    <w:rsid w:val="00E33B08"/>
    <w:rsid w:val="00E51A57"/>
    <w:rsid w:val="00E61315"/>
    <w:rsid w:val="00E770EA"/>
    <w:rsid w:val="00E86494"/>
    <w:rsid w:val="00EA3712"/>
    <w:rsid w:val="00EC1D70"/>
    <w:rsid w:val="00F05A31"/>
    <w:rsid w:val="00F05A90"/>
    <w:rsid w:val="00F0633B"/>
    <w:rsid w:val="00F1436A"/>
    <w:rsid w:val="00F24AAB"/>
    <w:rsid w:val="00F466A9"/>
    <w:rsid w:val="00FC7E5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C3C923"/>
  <w15:chartTrackingRefBased/>
  <w15:docId w15:val="{8A6CC4CE-0C35-41DD-A33F-C06CBD6E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278</Words>
  <Characters>1590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SinoServiceOne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5</cp:revision>
  <cp:lastPrinted>2014-04-10T05:50:00Z</cp:lastPrinted>
  <dcterms:created xsi:type="dcterms:W3CDTF">2019-05-20T07:51:00Z</dcterms:created>
  <dcterms:modified xsi:type="dcterms:W3CDTF">2019-05-20T07:59:00Z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