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8FC" w:rsidRDefault="005C34AC" w:rsidP="00CC6743">
      <w:pPr>
        <w:jc w:val="center"/>
        <w:rPr>
          <w:rFonts w:ascii="幼圆" w:eastAsia="幼圆"/>
          <w:b/>
          <w:sz w:val="32"/>
          <w:szCs w:val="32"/>
        </w:rPr>
      </w:pPr>
      <w:r w:rsidRPr="005C34AC">
        <w:rPr>
          <w:rFonts w:ascii="幼圆" w:eastAsia="幼圆" w:hint="eastAsia"/>
          <w:b/>
          <w:sz w:val="32"/>
          <w:szCs w:val="32"/>
        </w:rPr>
        <w:t>内审检查项清单</w:t>
      </w:r>
    </w:p>
    <w:p w:rsidR="00CC6743" w:rsidRDefault="0095213C" w:rsidP="00CC6743">
      <w:pPr>
        <w:jc w:val="center"/>
        <w:rPr>
          <w:rFonts w:ascii="幼圆" w:eastAsia="幼圆"/>
        </w:rPr>
      </w:pPr>
      <w:r>
        <w:rPr>
          <w:rFonts w:ascii="幼圆" w:eastAsia="幼圆" w:hint="eastAsia"/>
          <w:color w:val="FF0000"/>
          <w:highlight w:val="yellow"/>
        </w:rPr>
        <w:t>ZRXX</w:t>
      </w:r>
      <w:bookmarkStart w:id="0" w:name="_GoBack"/>
      <w:bookmarkEnd w:id="0"/>
      <w:r w:rsidR="00CC6743">
        <w:rPr>
          <w:rFonts w:ascii="幼圆" w:eastAsia="幼圆" w:hint="eastAsia"/>
        </w:rPr>
        <w:t>-</w:t>
      </w:r>
      <w:r w:rsidR="00053B23">
        <w:rPr>
          <w:rFonts w:ascii="幼圆" w:eastAsia="幼圆"/>
        </w:rPr>
        <w:t>20000</w:t>
      </w:r>
      <w:r w:rsidR="00CC6743">
        <w:rPr>
          <w:rFonts w:ascii="幼圆" w:eastAsia="幼圆" w:hint="eastAsia"/>
        </w:rPr>
        <w:t>-</w:t>
      </w:r>
      <w:r w:rsidR="005C34AC">
        <w:rPr>
          <w:rFonts w:ascii="幼圆" w:eastAsia="幼圆" w:hint="eastAsia"/>
        </w:rPr>
        <w:t>GP</w:t>
      </w:r>
      <w:r w:rsidR="00CC6743">
        <w:rPr>
          <w:rFonts w:ascii="幼圆" w:eastAsia="幼圆" w:hint="eastAsia"/>
        </w:rPr>
        <w:t>-R-</w:t>
      </w:r>
      <w:r w:rsidR="001228FC">
        <w:rPr>
          <w:rFonts w:ascii="幼圆" w:eastAsia="幼圆" w:hint="eastAsia"/>
        </w:rPr>
        <w:t>0</w:t>
      </w:r>
      <w:r w:rsidR="005C34AC">
        <w:rPr>
          <w:rFonts w:ascii="幼圆" w:eastAsia="幼圆" w:hint="eastAsia"/>
        </w:rPr>
        <w:t>5</w:t>
      </w:r>
    </w:p>
    <w:p w:rsidR="005C34AC" w:rsidRDefault="005C34AC" w:rsidP="00EB00C5">
      <w:pPr>
        <w:jc w:val="left"/>
        <w:rPr>
          <w:rFonts w:ascii="幼圆" w:eastAsia="幼圆" w:hAnsi="宋体" w:cs="宋体"/>
          <w:b/>
          <w:bCs/>
          <w:color w:val="FF0000"/>
          <w:kern w:val="0"/>
          <w:sz w:val="24"/>
          <w:szCs w:val="24"/>
        </w:rPr>
      </w:pPr>
      <w:r>
        <w:rPr>
          <w:rFonts w:ascii="幼圆" w:eastAsia="幼圆" w:hAnsi="宋体" w:cs="宋体" w:hint="eastAsia"/>
          <w:b/>
          <w:bCs/>
          <w:kern w:val="0"/>
          <w:sz w:val="24"/>
          <w:szCs w:val="24"/>
        </w:rPr>
        <w:t>审核时间</w:t>
      </w:r>
      <w:r w:rsidR="00EB00C5" w:rsidRPr="001228FC">
        <w:rPr>
          <w:rFonts w:ascii="幼圆" w:eastAsia="幼圆" w:hAnsi="宋体" w:cs="宋体" w:hint="eastAsia"/>
          <w:b/>
          <w:bCs/>
          <w:kern w:val="0"/>
          <w:sz w:val="24"/>
          <w:szCs w:val="24"/>
        </w:rPr>
        <w:t>：</w:t>
      </w:r>
      <w:r w:rsidRPr="005C34AC">
        <w:rPr>
          <w:rFonts w:ascii="幼圆" w:eastAsia="幼圆" w:hAnsi="宋体" w:cs="宋体" w:hint="eastAsia"/>
          <w:b/>
          <w:bCs/>
          <w:color w:val="FF0000"/>
          <w:kern w:val="0"/>
          <w:sz w:val="24"/>
          <w:szCs w:val="24"/>
          <w:highlight w:val="yellow"/>
        </w:rPr>
        <w:t>（内审审核执行日期）</w:t>
      </w:r>
    </w:p>
    <w:p w:rsidR="005C34AC" w:rsidRDefault="005C34AC" w:rsidP="00EB00C5">
      <w:pPr>
        <w:jc w:val="left"/>
        <w:rPr>
          <w:rFonts w:ascii="幼圆" w:eastAsia="幼圆" w:hAnsi="宋体" w:cs="宋体"/>
          <w:b/>
          <w:bCs/>
          <w:color w:val="000000" w:themeColor="text1"/>
          <w:kern w:val="0"/>
          <w:sz w:val="24"/>
          <w:szCs w:val="24"/>
        </w:rPr>
      </w:pPr>
      <w:r w:rsidRPr="005C34AC">
        <w:rPr>
          <w:rFonts w:ascii="幼圆" w:eastAsia="幼圆" w:hAnsi="宋体" w:cs="宋体" w:hint="eastAsia"/>
          <w:b/>
          <w:bCs/>
          <w:color w:val="000000" w:themeColor="text1"/>
          <w:kern w:val="0"/>
          <w:sz w:val="24"/>
          <w:szCs w:val="24"/>
        </w:rPr>
        <w:t>审核组别：</w:t>
      </w:r>
      <w:r>
        <w:rPr>
          <w:rFonts w:ascii="幼圆" w:eastAsia="幼圆" w:hAnsi="宋体" w:cs="宋体" w:hint="eastAsia"/>
          <w:b/>
          <w:bCs/>
          <w:color w:val="000000" w:themeColor="text1"/>
          <w:kern w:val="0"/>
          <w:sz w:val="24"/>
          <w:szCs w:val="24"/>
        </w:rPr>
        <w:t>审核组A</w:t>
      </w:r>
    </w:p>
    <w:tbl>
      <w:tblPr>
        <w:tblpPr w:leftFromText="180" w:rightFromText="180" w:vertAnchor="text" w:horzAnchor="margin" w:tblpX="108" w:tblpY="442"/>
        <w:tblW w:w="137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72"/>
        <w:gridCol w:w="1422"/>
        <w:gridCol w:w="1417"/>
        <w:gridCol w:w="3969"/>
        <w:gridCol w:w="4394"/>
        <w:gridCol w:w="1276"/>
      </w:tblGrid>
      <w:tr w:rsidR="0093377A" w:rsidRPr="00107C87" w:rsidTr="00E77F3E">
        <w:trPr>
          <w:trHeight w:val="480"/>
        </w:trPr>
        <w:tc>
          <w:tcPr>
            <w:tcW w:w="1272"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项目</w:t>
            </w:r>
          </w:p>
        </w:tc>
        <w:tc>
          <w:tcPr>
            <w:tcW w:w="1422" w:type="dxa"/>
            <w:shd w:val="clear" w:color="auto" w:fill="auto"/>
            <w:noWrap/>
            <w:vAlign w:val="center"/>
            <w:hideMark/>
          </w:tcPr>
          <w:p w:rsidR="0093377A" w:rsidRPr="00107C87" w:rsidRDefault="0093377A" w:rsidP="00037476">
            <w:pPr>
              <w:widowControl/>
              <w:jc w:val="center"/>
              <w:rPr>
                <w:rFonts w:ascii="宋体" w:hAnsi="宋体" w:cs="宋体"/>
                <w:b/>
                <w:bCs/>
                <w:kern w:val="0"/>
                <w:sz w:val="24"/>
                <w:szCs w:val="24"/>
              </w:rPr>
            </w:pPr>
            <w:r w:rsidRPr="00107C87">
              <w:rPr>
                <w:rFonts w:ascii="宋体" w:hAnsi="宋体" w:cs="宋体" w:hint="eastAsia"/>
                <w:b/>
                <w:bCs/>
                <w:kern w:val="0"/>
                <w:sz w:val="24"/>
                <w:szCs w:val="24"/>
              </w:rPr>
              <w:t>审核人</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条款号</w:t>
            </w:r>
          </w:p>
        </w:tc>
        <w:tc>
          <w:tcPr>
            <w:tcW w:w="3969"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检查点</w:t>
            </w:r>
          </w:p>
        </w:tc>
        <w:tc>
          <w:tcPr>
            <w:tcW w:w="4394"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检查记录</w:t>
            </w:r>
          </w:p>
        </w:tc>
        <w:tc>
          <w:tcPr>
            <w:tcW w:w="1276" w:type="dxa"/>
            <w:vAlign w:val="center"/>
          </w:tcPr>
          <w:p w:rsidR="0093377A" w:rsidRDefault="0093377A" w:rsidP="00E77F3E">
            <w:pPr>
              <w:jc w:val="center"/>
              <w:rPr>
                <w:rFonts w:ascii="宋体" w:hAnsi="宋体" w:cs="宋体"/>
                <w:b/>
                <w:bCs/>
                <w:sz w:val="24"/>
                <w:szCs w:val="24"/>
              </w:rPr>
            </w:pPr>
            <w:r>
              <w:rPr>
                <w:rFonts w:hint="eastAsia"/>
                <w:b/>
                <w:bCs/>
              </w:rPr>
              <w:t>检查结果</w:t>
            </w:r>
          </w:p>
        </w:tc>
      </w:tr>
      <w:tr w:rsidR="0093377A" w:rsidRPr="00107C87" w:rsidTr="00E77F3E">
        <w:trPr>
          <w:trHeight w:val="5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管理职责</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定义服务管理组织，制定管理成员协调各种服务管理活动</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IT服务管理手册3.1、服务管理角色与职责说明、服务管理组织图</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定义服务管理的目标</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IT服务管理手册2.6</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定义服务管理的关键性能指标</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关于服务管理主要程序文件中定义“流程衡量指标”</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治理各方利益相关方的操作流程</w:t>
            </w: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4.2.1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建立ITMS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2018</w:t>
            </w:r>
            <w:r w:rsidRPr="00107C87">
              <w:rPr>
                <w:rFonts w:ascii="宋体" w:hAnsi="宋体" w:cs="宋体" w:hint="eastAsia"/>
                <w:kern w:val="0"/>
                <w:sz w:val="24"/>
                <w:szCs w:val="24"/>
              </w:rPr>
              <w:t>年1月发布实施信息技术服务管理体系，共策划发布了20个程序文件。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4.2.2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实施和运行ITMS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手册规定了信息技术服务范围和方针政策。</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25"/>
        </w:trPr>
        <w:tc>
          <w:tcPr>
            <w:tcW w:w="1272"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资源管理</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定义并提供必要的资源</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IT服务管理手册及个程序文件有描述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定义服务管理各种角色、职责和所需技能</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服务管理角色与职责说明中有说明</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管理层要求</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建立服务管理体系的策略、目标和计划</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IT服务管理手册中有相关描述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定义服务管理的范围</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IT服务管理手册2.1</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00"/>
        </w:trPr>
        <w:tc>
          <w:tcPr>
            <w:tcW w:w="1272"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建立和改进SMS</w:t>
            </w:r>
          </w:p>
        </w:tc>
        <w:tc>
          <w:tcPr>
            <w:tcW w:w="1422" w:type="dxa"/>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实施运做SMS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IT服务管理手册及相关程序文件有描述具体的内容。</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服务管理体系的计</w:t>
            </w:r>
            <w:r w:rsidRPr="00107C87">
              <w:rPr>
                <w:rFonts w:ascii="宋体" w:hAnsi="宋体" w:cs="宋体" w:hint="eastAsia"/>
                <w:b/>
                <w:bCs/>
                <w:kern w:val="0"/>
                <w:sz w:val="24"/>
                <w:szCs w:val="24"/>
              </w:rPr>
              <w:lastRenderedPageBreak/>
              <w:t>划和实施</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lastRenderedPageBreak/>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定义审核的规则、标准、频率和方法</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IT服务管理手册中有关于内审和管理评审的说明</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1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4.5.4.3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定期进行管理评审，以持续改进</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每年一次，今年11月进行管理评审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记录管理评审结果并就重大不符合项与相关方沟通</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管理评审计划和管理评审报告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定义改进活动的角色和职责</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IT服务管理手册4.4</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定义服务质量改进计划，制定服务改进方针</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服务改进计划文件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制定必要的改进活动</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预防纠正活动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任何SLA的违反必须被报告并在评审之后改进，并在服务改进计划中记录</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yes，目前没有违反现象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设计和转化新的或变更的服务</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总要求</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提供了程序文件：《设计和转化新服务或变更服务管理程序》《变更管理程序》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4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规划新的或变更的服务</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检查了《新服务和变更服务管理办法》以及相关记录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设计和转化新的或变更的服务</w:t>
            </w:r>
          </w:p>
        </w:tc>
        <w:tc>
          <w:tcPr>
            <w:tcW w:w="1422" w:type="dxa"/>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设计和开发新的或变更的服务</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检查了《新服务和变更服务管理办法》以及相关记录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5.4</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4"/>
                <w:szCs w:val="24"/>
              </w:rPr>
            </w:pPr>
            <w:r w:rsidRPr="00107C87">
              <w:rPr>
                <w:rFonts w:ascii="宋体" w:hAnsi="宋体" w:cs="宋体" w:hint="eastAsia"/>
                <w:kern w:val="0"/>
                <w:sz w:val="24"/>
                <w:szCs w:val="24"/>
              </w:rPr>
              <w:t>新的或变更的服务的转换</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4"/>
                <w:szCs w:val="24"/>
              </w:rPr>
            </w:pPr>
            <w:r w:rsidRPr="00107C87">
              <w:rPr>
                <w:rFonts w:ascii="宋体" w:hAnsi="宋体" w:cs="宋体" w:hint="eastAsia"/>
                <w:kern w:val="0"/>
                <w:sz w:val="24"/>
                <w:szCs w:val="24"/>
              </w:rPr>
              <w:t>检查了《设计和转化新服务或变更服务管理程序》以及相关记录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服务级别管理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根据提供的服务来制定服务目录以及服务级别、服务团队方面的说明</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见服务级别目录文件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定义SLA来记录和管理约定的服务，包括服务提供的范围、目标、工作量、OLA和UC</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有SLA和OLA，没有外包服务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服务报告管理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为各个流程制定相应的服务报告，每一服务报告应清晰阐明其目的、制定人、阅读者以及数据来源。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见服务报告矩阵</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服务报告至少应该包括如下内容：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a) 服务级别目标与实际运行绩效之间的差距；</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b) 不符合项和问题报告；</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c) 数量统计、资源使用率等工作量特性</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能力管理相关报告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d) 重大事件报告</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e) 趋势分析信息</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f) 客户满意度分析</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信息安全管理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采取必要的安全控制措施，管理访问系统或者服务的风险</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 b)</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对于外部组织对信息系统和服务的访问，应根据安全需求制订正式协议</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在实施变更前，应对控制发生变更的影响进行评估。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风险评估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汇报和记录安全事件，确保可以调查所有的安全事故并采取管理措施。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事件处理</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 d)</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制订机制，量化和监控安全事件和故障的类型、数量和影响</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安全监控</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900"/>
        </w:trPr>
        <w:tc>
          <w:tcPr>
            <w:tcW w:w="1272" w:type="dxa"/>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服务连续性和可用性需求</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当业务环境发生重大变更时，应重新测试可用性及服务连续性计划。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900"/>
        </w:trPr>
        <w:tc>
          <w:tcPr>
            <w:tcW w:w="1272" w:type="dxa"/>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服务的连续性和可用性计划</w:t>
            </w: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制定服务可用性和连续性计划，并每年度进行评审和回顾</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lastRenderedPageBreak/>
              <w:t>服务连续性及可用性管理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采用一定的手段或者工具测量和记录可用性</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对计划外的不可用采取预防和修正措施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即使正常的办公访问被阻止时，也必须确保服务连续性计划、通讯录（联系人清单）和配置管理数据库的可用性</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应依据业务需求对服务连续性计划进行测试。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应记录所有的连续性测试。对于测试失败，应当记录在行动计划中。</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restart"/>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能力管理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制定和维护能力计划</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应确定监控服务能力、协调服务绩效和提供充足能力所需的方法、程序和技术，包括：</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 xml:space="preserve">　</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a)当前的预期的能力及性能需求</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1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b) 评价预期的服务升级、变更请求、新技术和方法对能力造成的影响；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运行评估报告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c) 预测外部变更的影响，比如立法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d) 能力预测分析所需的数据和流程。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restart"/>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信息安全管理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管理层应该建立信息安全政策，并与相关方进行交流和推广</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6.6.1 f)</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应记录该过程所确定的改进措施，提供服务改进计划。</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1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lastRenderedPageBreak/>
              <w:t>事件管理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color w:val="FF0000"/>
                <w:kern w:val="0"/>
                <w:sz w:val="24"/>
                <w:szCs w:val="24"/>
              </w:rPr>
            </w:pPr>
            <w:r w:rsidRPr="00107C87">
              <w:rPr>
                <w:rFonts w:ascii="宋体" w:hAnsi="宋体" w:cs="宋体" w:hint="eastAsia"/>
                <w:b/>
                <w:bCs/>
                <w:color w:val="FF0000"/>
                <w:kern w:val="0"/>
                <w:sz w:val="24"/>
                <w:szCs w:val="24"/>
              </w:rPr>
              <w:t>8.1</w:t>
            </w:r>
          </w:p>
        </w:tc>
        <w:tc>
          <w:tcPr>
            <w:tcW w:w="3969" w:type="dxa"/>
            <w:shd w:val="clear" w:color="auto" w:fill="auto"/>
            <w:vAlign w:val="center"/>
            <w:hideMark/>
          </w:tcPr>
          <w:p w:rsidR="0093377A" w:rsidRPr="00107C87" w:rsidRDefault="0093377A" w:rsidP="00E77F3E">
            <w:pPr>
              <w:widowControl/>
              <w:rPr>
                <w:rFonts w:ascii="幼圆" w:eastAsia="幼圆" w:hAnsi="宋体" w:cs="宋体"/>
                <w:b/>
                <w:bCs/>
                <w:color w:val="FF0000"/>
                <w:kern w:val="0"/>
                <w:sz w:val="22"/>
              </w:rPr>
            </w:pPr>
            <w:r w:rsidRPr="00107C87">
              <w:rPr>
                <w:rFonts w:ascii="幼圆" w:eastAsia="幼圆" w:hAnsi="宋体" w:cs="宋体" w:hint="eastAsia"/>
                <w:b/>
                <w:bCs/>
                <w:color w:val="FF0000"/>
                <w:kern w:val="0"/>
                <w:sz w:val="22"/>
              </w:rPr>
              <w:t>应记录所有的事件。</w:t>
            </w:r>
          </w:p>
        </w:tc>
        <w:tc>
          <w:tcPr>
            <w:tcW w:w="4394" w:type="dxa"/>
            <w:shd w:val="clear" w:color="auto" w:fill="auto"/>
            <w:noWrap/>
            <w:vAlign w:val="center"/>
            <w:hideMark/>
          </w:tcPr>
          <w:p w:rsidR="0093377A" w:rsidRPr="00107C87" w:rsidRDefault="0093377A" w:rsidP="004C5E12">
            <w:pPr>
              <w:widowControl/>
              <w:jc w:val="left"/>
              <w:rPr>
                <w:rFonts w:ascii="幼圆" w:eastAsia="幼圆" w:hAnsi="宋体" w:cs="宋体"/>
                <w:b/>
                <w:bCs/>
                <w:color w:val="FF0000"/>
                <w:kern w:val="0"/>
                <w:sz w:val="22"/>
              </w:rPr>
            </w:pPr>
            <w:r w:rsidRPr="00107C87">
              <w:rPr>
                <w:rFonts w:ascii="幼圆" w:eastAsia="幼圆" w:hAnsi="宋体" w:cs="宋体" w:hint="eastAsia"/>
                <w:b/>
                <w:bCs/>
                <w:color w:val="FF0000"/>
                <w:kern w:val="0"/>
                <w:sz w:val="22"/>
              </w:rPr>
              <w:t>检查其中一份《事件单》，服务经理意见一栏中，未见有主管签名。</w:t>
            </w:r>
          </w:p>
        </w:tc>
        <w:tc>
          <w:tcPr>
            <w:tcW w:w="1276" w:type="dxa"/>
            <w:vAlign w:val="center"/>
          </w:tcPr>
          <w:p w:rsidR="0093377A" w:rsidRDefault="0093377A" w:rsidP="00E77F3E">
            <w:pPr>
              <w:jc w:val="center"/>
              <w:rPr>
                <w:rFonts w:ascii="幼圆" w:eastAsia="幼圆" w:hAnsi="宋体" w:cs="宋体"/>
                <w:b/>
                <w:bCs/>
                <w:color w:val="FF0000"/>
                <w:sz w:val="22"/>
              </w:rPr>
            </w:pPr>
            <w:r>
              <w:rPr>
                <w:rFonts w:ascii="幼圆" w:eastAsia="幼圆" w:hint="eastAsia"/>
                <w:b/>
                <w:bCs/>
                <w:color w:val="FF0000"/>
                <w:sz w:val="22"/>
              </w:rPr>
              <w:t>N</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采用一定的规程来管理事件的影响。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事件管理程序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定义事件的记录、优先级、业务影响、分类、更新、升级、解决和正式关闭等方面的程序。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事件管理指南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通知客户其提交的事件或服务请求处理进展，当不能达到约定的服务级别或无法完成约定的行为时应提前警告客户。</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确保事件管理所涉及的所有人员应都可以访问相关的信息，如已知错误、问题解决方案和配置管理数据库。</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定义重大事件的范围和处理流程</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重大事件报告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问题管理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所有确认的问题应当予以记录。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问题单，问题汇总记录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建立事件管理与问题管理流程之间的接口</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采用程序来识别事件或问题的影响、并使影响最小化或避免发生</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定义问题的记录、分类、更新、调整、解决和关闭方面的程序。</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应采取预防措施，以减少潜在的问题，例如对事故的数量和类型的趋势分析。</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对那些为纠正潜在问题原因而需要/产生的变更，应当提交给变更管理流程处理。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变更管理</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应当对问题解决方案进行监控、评审，并对其有效性进行评估和报告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问题汇总和统计表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问题管理必须保证事件管理能及时获取最新的已知错误和纠正性措施方面的信息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7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对于问题管理流程中确认的改进行为，应当予以记录并投入计划，从而改进服务。</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问题汇总和统计表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配置管理程序</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应定义变更管理和配置管理的借口，比如在变更完成之后触发一个配置参数修改通知单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应规定与财务资产管理过程的接口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定义什么是配置项及组件</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应定义每个配置项需要记录哪些信息，包括CI之间的关系和为有效服务管理所需的文档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配置管理必须提供对服务和基础设施可辨别组件版本的识别、控制和跟踪机制，其控制级别应足够充分以满足业务要求，应对失败风险和服务临界点</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配置项的变更应是可追溯的和可审计的，如软件和硬件的变更和活动。</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配置管理应该为变更管理流程提供信息，以衡量变更请求对服务和基础设施配置产生的影响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配置控制程序应保持系统、服务和服务组件的完整性。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配置审计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应在发布到实际运行环境之前参考配置项的基线。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数据配置项的主拷贝应控制在安全的物理或电子数据库中，并同配置记录相关联，如软件、测试产品和支持文档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4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所有的配置项应能被唯一的识别，并记录在CMDB（配置管理数据库）中。应严格控制对CMDB 的升级访问。应主动管理并验证CMDB，以确保CMDB 的可靠性和准确性。对那些需要这些信息的人员，CMDB应提供配置项的状态和版本、位置、相关的变更和问题以及相关的文档。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配置信息维护表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noWrap/>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配置审计程序应包括记录偏差、发起纠正措施，报告结果。</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变更管理程序</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任何服务项的变更和SLA的变更必须走变更管理程序进行审批</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服务级别协议（SLAs）应处于变更管理过程的控制之下。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服务可用性和连续性计划的变更产生的影响应该走变更管理流程进行控制</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应明确规定服务和基础设施变更的范围</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应记录并分类所有的变更请求，如紧急、危急、重大和轻微等。</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变更请求应该评估其风险、影响和业务收益</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变更管理流程应该包括一旦变更失败时进行复原和补救的方法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变更应该被评审和批准，并在受控方式下实施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所有变更应该在实施后检查是否成功并回顾变更实施的措施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建立紧急变更的策略和程序，并控制紧急变更的授权和实施。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12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已计划好的变更日期（变更窗口）应作为制定变更和发布时间表的基础。时间表应包括批准实施的所有变更以及建议实施日期的详细信息，这些信息应与相关方沟通。</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变更记录应该被定期分析，以发现频发变更的类型、趋势和其他相关信息。变更分析的结论和结果应该被记录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统计分析表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变更管理流程识别的改进行动应该被记录并作为服务改进计划的输入</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发布管理程序</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记录并协商确定发布策略，规定发布的频率和类型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根据业务来计划服务、系统、软件和硬件的发布</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上线计划需要经过相关方的协商和批准</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发布通知单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上线流程中包括一旦失败时的发布备份或补救（回退）方法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回退计划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发布计划应记录发布的日期，以及交付物。</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发布计划应参考相关的变更请求、已知的错误和问题。</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建立发布管理与事件管理流程的接口，发布管理流程应当传递适当的信息给事件管理流程。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进行变更请求的评估时要考虑变更对发布计划的影响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应制定紧急发布流程并定义紧急发布流程与紧急变更流程的接口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应该建立一个可控的可接受的测试环境，并在分发之前对所有发布进行测试。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发布验证</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应对发布的成功或失败进行衡量。衡量指标包括：发布后一段时间与该发布相关的事件多少、评估发布对业务、IT运行和支持人员的影响等</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发布成败的衡量结果应作为服务改进计划的一个输入</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bl>
    <w:p w:rsidR="005C34AC" w:rsidRPr="005C34AC" w:rsidRDefault="005C34AC" w:rsidP="00EB00C5">
      <w:pPr>
        <w:jc w:val="left"/>
        <w:rPr>
          <w:rFonts w:ascii="幼圆" w:eastAsia="幼圆"/>
          <w:color w:val="000000" w:themeColor="text1"/>
        </w:rPr>
      </w:pPr>
    </w:p>
    <w:p w:rsidR="001228FC" w:rsidRDefault="001228FC" w:rsidP="00CC6743">
      <w:pPr>
        <w:jc w:val="center"/>
        <w:rPr>
          <w:rFonts w:ascii="幼圆" w:eastAsia="幼圆"/>
        </w:rPr>
      </w:pPr>
    </w:p>
    <w:p w:rsidR="00BC503C" w:rsidRDefault="00E77F3E" w:rsidP="00BC503C">
      <w:pPr>
        <w:jc w:val="left"/>
        <w:rPr>
          <w:rFonts w:ascii="幼圆" w:eastAsia="幼圆"/>
        </w:rPr>
      </w:pPr>
      <w:r w:rsidRPr="005C34AC">
        <w:rPr>
          <w:rFonts w:ascii="幼圆" w:eastAsia="幼圆" w:hAnsi="宋体" w:cs="宋体" w:hint="eastAsia"/>
          <w:b/>
          <w:bCs/>
          <w:color w:val="000000" w:themeColor="text1"/>
          <w:kern w:val="0"/>
          <w:sz w:val="24"/>
          <w:szCs w:val="24"/>
        </w:rPr>
        <w:t>审核组别：</w:t>
      </w:r>
      <w:r>
        <w:rPr>
          <w:rFonts w:ascii="幼圆" w:eastAsia="幼圆" w:hAnsi="宋体" w:cs="宋体" w:hint="eastAsia"/>
          <w:b/>
          <w:bCs/>
          <w:color w:val="000000" w:themeColor="text1"/>
          <w:kern w:val="0"/>
          <w:sz w:val="24"/>
          <w:szCs w:val="24"/>
        </w:rPr>
        <w:t>审核组B</w:t>
      </w:r>
    </w:p>
    <w:p w:rsidR="00BC503C" w:rsidRDefault="00BC503C" w:rsidP="00BC503C">
      <w:pPr>
        <w:jc w:val="left"/>
        <w:rPr>
          <w:rFonts w:ascii="幼圆" w:eastAsia="幼圆"/>
        </w:rPr>
      </w:pPr>
    </w:p>
    <w:tbl>
      <w:tblPr>
        <w:tblW w:w="13765" w:type="dxa"/>
        <w:tblInd w:w="93" w:type="dxa"/>
        <w:tblLook w:val="04A0" w:firstRow="1" w:lastRow="0" w:firstColumn="1" w:lastColumn="0" w:noHBand="0" w:noVBand="1"/>
      </w:tblPr>
      <w:tblGrid>
        <w:gridCol w:w="1220"/>
        <w:gridCol w:w="1489"/>
        <w:gridCol w:w="1417"/>
        <w:gridCol w:w="3969"/>
        <w:gridCol w:w="4394"/>
        <w:gridCol w:w="1276"/>
      </w:tblGrid>
      <w:tr w:rsidR="00E77F3E" w:rsidRPr="00E77F3E" w:rsidTr="00E77F3E">
        <w:trPr>
          <w:trHeight w:val="480"/>
        </w:trPr>
        <w:tc>
          <w:tcPr>
            <w:tcW w:w="12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项目</w:t>
            </w:r>
          </w:p>
        </w:tc>
        <w:tc>
          <w:tcPr>
            <w:tcW w:w="1489" w:type="dxa"/>
            <w:tcBorders>
              <w:top w:val="single" w:sz="8" w:space="0" w:color="auto"/>
              <w:left w:val="nil"/>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审核人</w:t>
            </w:r>
          </w:p>
        </w:tc>
        <w:tc>
          <w:tcPr>
            <w:tcW w:w="1417" w:type="dxa"/>
            <w:tcBorders>
              <w:top w:val="single" w:sz="8" w:space="0" w:color="auto"/>
              <w:left w:val="nil"/>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条款号</w:t>
            </w:r>
          </w:p>
        </w:tc>
        <w:tc>
          <w:tcPr>
            <w:tcW w:w="3969" w:type="dxa"/>
            <w:tcBorders>
              <w:top w:val="single" w:sz="8" w:space="0" w:color="auto"/>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检查点</w:t>
            </w:r>
          </w:p>
        </w:tc>
        <w:tc>
          <w:tcPr>
            <w:tcW w:w="4394" w:type="dxa"/>
            <w:tcBorders>
              <w:top w:val="single" w:sz="8" w:space="0" w:color="auto"/>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检查记录</w:t>
            </w:r>
          </w:p>
        </w:tc>
        <w:tc>
          <w:tcPr>
            <w:tcW w:w="1276" w:type="dxa"/>
            <w:tcBorders>
              <w:top w:val="single" w:sz="8" w:space="0" w:color="auto"/>
              <w:left w:val="nil"/>
              <w:bottom w:val="single" w:sz="4" w:space="0" w:color="auto"/>
              <w:right w:val="single" w:sz="8"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检查结果</w:t>
            </w:r>
          </w:p>
        </w:tc>
      </w:tr>
      <w:tr w:rsidR="00E77F3E" w:rsidRPr="00E77F3E" w:rsidTr="00E77F3E">
        <w:trPr>
          <w:trHeight w:val="140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文件管理</w:t>
            </w:r>
          </w:p>
        </w:tc>
        <w:tc>
          <w:tcPr>
            <w:tcW w:w="1489" w:type="dxa"/>
            <w:tcBorders>
              <w:top w:val="nil"/>
              <w:left w:val="nil"/>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文件总要求</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有手册、有20个程序。形成文件的ITMS方针[见4.2.1b）]和目标；--手册中体现。</w:t>
            </w:r>
            <w:r w:rsidRPr="00E77F3E">
              <w:rPr>
                <w:rFonts w:ascii="宋体" w:hAnsi="宋体" w:cs="宋体" w:hint="eastAsia"/>
                <w:kern w:val="0"/>
                <w:sz w:val="22"/>
              </w:rPr>
              <w:br/>
              <w:t>有描述ITMS的范围；组织为确保其信息技术服务过程的有效规划、运行和控制以及描述如何测量控制措施的有效性所需的形成文件的程序（见4.2.3c））；主要是手册、20个程序。</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99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文件控制</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提供了文件清单，主要是手册，20个程序，除存档和总经理处，其它均是电子版发放。有文件发放记录及回收记录。均有签字及对应的文件编号版本。</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64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4.3.3</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记录控制</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--提供了记录清单，内有序号，记录编号、记录名称、保存期限。</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4C5E12" w:rsidRPr="00E77F3E" w:rsidTr="003F38CE">
        <w:trPr>
          <w:trHeight w:val="495"/>
        </w:trPr>
        <w:tc>
          <w:tcPr>
            <w:tcW w:w="1220" w:type="dxa"/>
            <w:vMerge w:val="restart"/>
            <w:tcBorders>
              <w:top w:val="nil"/>
              <w:left w:val="single" w:sz="8" w:space="0" w:color="auto"/>
              <w:right w:val="single" w:sz="4" w:space="0" w:color="auto"/>
            </w:tcBorders>
            <w:shd w:val="clear" w:color="auto" w:fill="auto"/>
            <w:noWrap/>
            <w:vAlign w:val="center"/>
            <w:hideMark/>
          </w:tcPr>
          <w:p w:rsidR="004C5E12" w:rsidRPr="00E77F3E" w:rsidRDefault="004C5E12" w:rsidP="004C5E12">
            <w:pPr>
              <w:widowControl/>
              <w:jc w:val="left"/>
              <w:rPr>
                <w:rFonts w:ascii="宋体" w:hAnsi="宋体" w:cs="宋体"/>
                <w:b/>
                <w:bCs/>
                <w:kern w:val="0"/>
                <w:sz w:val="24"/>
                <w:szCs w:val="24"/>
              </w:rPr>
            </w:pPr>
            <w:r w:rsidRPr="00E77F3E">
              <w:rPr>
                <w:rFonts w:ascii="宋体" w:hAnsi="宋体" w:cs="宋体" w:hint="eastAsia"/>
                <w:b/>
                <w:bCs/>
                <w:kern w:val="0"/>
                <w:sz w:val="24"/>
                <w:szCs w:val="24"/>
              </w:rPr>
              <w:t>资源管理</w:t>
            </w:r>
          </w:p>
        </w:tc>
        <w:tc>
          <w:tcPr>
            <w:tcW w:w="14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5E12"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4C5E12" w:rsidRPr="00E77F3E" w:rsidRDefault="004C5E12"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4.4.2</w:t>
            </w:r>
          </w:p>
        </w:tc>
        <w:tc>
          <w:tcPr>
            <w:tcW w:w="3969"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制定员工培训计划、维护培训清单</w:t>
            </w:r>
          </w:p>
        </w:tc>
        <w:tc>
          <w:tcPr>
            <w:tcW w:w="4394"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年度培训计划，培训登记，培训评估报告</w:t>
            </w:r>
          </w:p>
        </w:tc>
        <w:tc>
          <w:tcPr>
            <w:tcW w:w="1276" w:type="dxa"/>
            <w:tcBorders>
              <w:top w:val="nil"/>
              <w:left w:val="nil"/>
              <w:bottom w:val="single" w:sz="4" w:space="0" w:color="auto"/>
              <w:right w:val="single" w:sz="8" w:space="0" w:color="auto"/>
            </w:tcBorders>
            <w:shd w:val="clear" w:color="auto" w:fill="auto"/>
            <w:noWrap/>
            <w:vAlign w:val="center"/>
            <w:hideMark/>
          </w:tcPr>
          <w:p w:rsidR="004C5E12" w:rsidRPr="00E77F3E" w:rsidRDefault="004C5E12" w:rsidP="00E77F3E">
            <w:pPr>
              <w:widowControl/>
              <w:jc w:val="center"/>
              <w:rPr>
                <w:rFonts w:ascii="宋体" w:hAnsi="宋体" w:cs="宋体"/>
                <w:kern w:val="0"/>
                <w:sz w:val="22"/>
              </w:rPr>
            </w:pPr>
            <w:r w:rsidRPr="00E77F3E">
              <w:rPr>
                <w:rFonts w:ascii="宋体" w:hAnsi="宋体" w:cs="宋体" w:hint="eastAsia"/>
                <w:kern w:val="0"/>
                <w:sz w:val="22"/>
              </w:rPr>
              <w:t>Y</w:t>
            </w:r>
          </w:p>
        </w:tc>
      </w:tr>
      <w:tr w:rsidR="004C5E12" w:rsidRPr="00E77F3E" w:rsidTr="003F38CE">
        <w:trPr>
          <w:trHeight w:val="495"/>
        </w:trPr>
        <w:tc>
          <w:tcPr>
            <w:tcW w:w="1220" w:type="dxa"/>
            <w:vMerge/>
            <w:tcBorders>
              <w:left w:val="single" w:sz="8" w:space="0" w:color="auto"/>
              <w:bottom w:val="single" w:sz="4" w:space="0" w:color="auto"/>
              <w:right w:val="single" w:sz="4" w:space="0" w:color="auto"/>
            </w:tcBorders>
            <w:shd w:val="clear" w:color="auto" w:fill="auto"/>
            <w:noWrap/>
            <w:vAlign w:val="center"/>
            <w:hideMark/>
          </w:tcPr>
          <w:p w:rsidR="004C5E12" w:rsidRPr="00E77F3E" w:rsidRDefault="004C5E12"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4C5E12" w:rsidRPr="00E77F3E" w:rsidRDefault="004C5E12" w:rsidP="00037476">
            <w:pPr>
              <w:widowControl/>
              <w:jc w:val="center"/>
              <w:rPr>
                <w:rFonts w:ascii="宋体" w:hAnsi="宋体" w:cs="宋体"/>
                <w:b/>
                <w:bCs/>
                <w:kern w:val="0"/>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rsidR="004C5E12" w:rsidRPr="00E77F3E" w:rsidRDefault="004C5E12" w:rsidP="00037476">
            <w:pPr>
              <w:widowControl/>
              <w:jc w:val="center"/>
              <w:rPr>
                <w:rFonts w:ascii="宋体" w:hAnsi="宋体" w:cs="宋体"/>
                <w:b/>
                <w:bCs/>
                <w:kern w:val="0"/>
                <w:sz w:val="24"/>
                <w:szCs w:val="24"/>
              </w:rPr>
            </w:pPr>
          </w:p>
        </w:tc>
        <w:tc>
          <w:tcPr>
            <w:tcW w:w="3969"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定期回顾员工的资格能力和培训需求</w:t>
            </w:r>
          </w:p>
        </w:tc>
        <w:tc>
          <w:tcPr>
            <w:tcW w:w="4394"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每年组织一次，收集培训需求制定培训计划</w:t>
            </w:r>
          </w:p>
        </w:tc>
        <w:tc>
          <w:tcPr>
            <w:tcW w:w="1276" w:type="dxa"/>
            <w:tcBorders>
              <w:top w:val="nil"/>
              <w:left w:val="nil"/>
              <w:bottom w:val="single" w:sz="4" w:space="0" w:color="auto"/>
              <w:right w:val="single" w:sz="8" w:space="0" w:color="auto"/>
            </w:tcBorders>
            <w:shd w:val="clear" w:color="auto" w:fill="auto"/>
            <w:noWrap/>
            <w:vAlign w:val="center"/>
            <w:hideMark/>
          </w:tcPr>
          <w:p w:rsidR="004C5E12" w:rsidRPr="00E77F3E" w:rsidRDefault="004C5E12"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b/>
                <w:bCs/>
                <w:kern w:val="0"/>
                <w:sz w:val="24"/>
                <w:szCs w:val="24"/>
              </w:rPr>
            </w:pPr>
            <w:r w:rsidRPr="00E77F3E">
              <w:rPr>
                <w:rFonts w:ascii="宋体" w:hAnsi="宋体" w:cs="宋体" w:hint="eastAsia"/>
                <w:b/>
                <w:bCs/>
                <w:kern w:val="0"/>
                <w:sz w:val="24"/>
                <w:szCs w:val="24"/>
              </w:rPr>
              <w:t>IT服务预算及核算管理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应为下列活动建立清晰的策略和程序：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a) 为所有的组件（包括IT 资产、管理费用、外部提供的服务、人员、维保和许可证）制定预算并进行核算；</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预算记录表</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b) 服务的间接成本的摊销和分配</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c) 有效的财务控制和授权。</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应制定详细的成本预算表</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预算记录表</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5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对预算进行监控并进行报告</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应计算服务变更的成本的，服务变更成本的批准必须通过变更管理程序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8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业务关系管理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通过必要的手段监控SLA指标的实现情况，并出具监控报告</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满意度调查，客户回访，审核工作</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识别并记录服务的利益相关者和客户。</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140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服务提供商和客户应每年至少进行一次服务评审，来讨论服务范围、服务级别协议、合同或业务需求的任何变更，并按约定的定期召开中间会议来讨论绩效、成绩、问题和改进计划。这些会议应形成书面的会议记录。</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如果出现合同变更，那么适当时在这些会议上应讨论服务级别协议变更的问题。这些变更应遵循变更管理流程。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变更管理</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建立投诉处理程序，定义投诉渠道和受理人</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制定投诉的记录、调查、响应、报告并正式关闭等处理过程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建立投诉的升级机制，以处理非常规渠道的投诉</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建立客户满意度调查程序并定期报告客户满意度</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任命客户关系管理过程的负责人</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供应商管理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与供应商协商必要的支持服务、考核条款并签订合同来进行管理</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签定供应商服务协议</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为每一供应商指定合同管理者和联系人。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在支持合同中协定和记录供应商所提供服务的要求、范围和级别以及沟通过程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与供应商签订的服务级别协议应与业务的服务级别协议保持一致。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应清楚规定主供应商与分包方之间的角色、接口及关系。主供应商应确保分包方</w:t>
            </w:r>
            <w:r w:rsidRPr="00E77F3E">
              <w:rPr>
                <w:rFonts w:ascii="宋体" w:hAnsi="宋体" w:cs="宋体" w:hint="eastAsia"/>
                <w:color w:val="000000"/>
                <w:kern w:val="0"/>
                <w:sz w:val="22"/>
              </w:rPr>
              <w:t xml:space="preserve">满足合同要求的过程。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112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有建立合同或正式协议的评审过程。评审每年至少进行一次，以确保合同仍能继续满足业务需求和合同要求。适当时，合同或服务级别协议的变更应紧随评审之后或在其他所需的时间。</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幼圆" w:eastAsia="幼圆" w:hAnsi="宋体" w:cs="宋体"/>
                <w:kern w:val="0"/>
                <w:sz w:val="22"/>
              </w:rPr>
            </w:pPr>
            <w:r w:rsidRPr="00E77F3E">
              <w:rPr>
                <w:rFonts w:ascii="幼圆" w:eastAsia="幼圆" w:hAnsi="宋体" w:cs="宋体" w:hint="eastAsia"/>
                <w:kern w:val="0"/>
                <w:sz w:val="22"/>
              </w:rPr>
              <w:t>年底实施</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幼圆" w:eastAsia="幼圆" w:hAnsi="宋体" w:cs="宋体"/>
                <w:kern w:val="0"/>
                <w:sz w:val="22"/>
              </w:rPr>
            </w:pPr>
            <w:r w:rsidRPr="00E77F3E">
              <w:rPr>
                <w:rFonts w:ascii="幼圆" w:eastAsia="幼圆"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应建立解决合同争议和纠纷的程序。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应建立程序以管理供应商服务的预期结果、提前终结，或将服务移交第三方。</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871323">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根据服务级别目标来监视和评审业绩，应记录在这一过程中确定出的改进措施并作为</w:t>
            </w:r>
            <w:r w:rsidRPr="00E77F3E">
              <w:rPr>
                <w:rFonts w:ascii="宋体" w:hAnsi="宋体" w:cs="宋体" w:hint="eastAsia"/>
                <w:kern w:val="0"/>
                <w:sz w:val="22"/>
              </w:rPr>
              <w:t>服务改进计划的输入。</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bl>
    <w:p w:rsidR="00BC503C" w:rsidRDefault="00BC503C" w:rsidP="00BC503C">
      <w:pPr>
        <w:jc w:val="left"/>
        <w:rPr>
          <w:rFonts w:ascii="幼圆" w:eastAsia="幼圆"/>
        </w:rPr>
      </w:pPr>
    </w:p>
    <w:p w:rsidR="0093377A" w:rsidRDefault="0093377A" w:rsidP="00BC503C">
      <w:pPr>
        <w:jc w:val="left"/>
        <w:rPr>
          <w:rFonts w:ascii="幼圆" w:eastAsia="幼圆"/>
        </w:rPr>
      </w:pPr>
    </w:p>
    <w:p w:rsidR="00107C87" w:rsidRPr="00107C87" w:rsidRDefault="00107C87" w:rsidP="00107C87">
      <w:pPr>
        <w:widowControl/>
        <w:spacing w:line="720" w:lineRule="auto"/>
        <w:ind w:firstLineChars="55" w:firstLine="132"/>
        <w:rPr>
          <w:rFonts w:ascii="幼圆" w:eastAsia="幼圆" w:hAnsi="Times New Roman"/>
          <w:sz w:val="24"/>
          <w:szCs w:val="24"/>
        </w:rPr>
      </w:pPr>
      <w:r w:rsidRPr="00107C87">
        <w:rPr>
          <w:rFonts w:ascii="幼圆" w:eastAsia="幼圆" w:hAnsi="Times New Roman" w:hint="eastAsia"/>
          <w:sz w:val="24"/>
          <w:szCs w:val="24"/>
        </w:rPr>
        <w:t>编制人：</w:t>
      </w:r>
      <w:r w:rsidRPr="00107C87">
        <w:rPr>
          <w:rFonts w:ascii="幼圆" w:eastAsia="幼圆" w:hAnsi="Times New Roman" w:hint="eastAsia"/>
          <w:color w:val="FF0000"/>
          <w:sz w:val="24"/>
          <w:szCs w:val="24"/>
          <w:highlight w:val="yellow"/>
        </w:rPr>
        <w:t>（审核编制人）</w:t>
      </w:r>
      <w:r w:rsidRPr="00107C87">
        <w:rPr>
          <w:rFonts w:ascii="幼圆" w:eastAsia="幼圆" w:hAnsi="Times New Roman" w:hint="eastAsia"/>
          <w:color w:val="FF0000"/>
          <w:sz w:val="24"/>
          <w:szCs w:val="24"/>
        </w:rPr>
        <w:t xml:space="preserve"> </w:t>
      </w:r>
      <w:r w:rsidRPr="00107C87">
        <w:rPr>
          <w:rFonts w:ascii="幼圆" w:eastAsia="幼圆" w:hAnsi="Times New Roman" w:hint="eastAsia"/>
          <w:sz w:val="24"/>
          <w:szCs w:val="24"/>
        </w:rPr>
        <w:t xml:space="preserve">           编制时间： </w:t>
      </w:r>
      <w:r w:rsidRPr="00107C87">
        <w:rPr>
          <w:rFonts w:ascii="幼圆" w:eastAsia="幼圆" w:hAnsi="Times New Roman"/>
          <w:color w:val="FF0000"/>
          <w:sz w:val="24"/>
          <w:szCs w:val="24"/>
          <w:highlight w:val="yellow"/>
        </w:rPr>
        <w:t>（</w:t>
      </w:r>
      <w:r w:rsidRPr="00107C87">
        <w:rPr>
          <w:rFonts w:ascii="幼圆" w:eastAsia="幼圆" w:hAnsi="Times New Roman" w:hint="eastAsia"/>
          <w:color w:val="FF0000"/>
          <w:sz w:val="24"/>
          <w:szCs w:val="24"/>
          <w:highlight w:val="yellow"/>
        </w:rPr>
        <w:t>审核编制日期）</w:t>
      </w:r>
    </w:p>
    <w:p w:rsidR="00107C87" w:rsidRPr="00107C87" w:rsidRDefault="00107C87" w:rsidP="00107C87">
      <w:pPr>
        <w:widowControl/>
        <w:spacing w:line="720" w:lineRule="auto"/>
        <w:ind w:firstLineChars="55" w:firstLine="132"/>
        <w:rPr>
          <w:rFonts w:ascii="幼圆" w:eastAsia="幼圆" w:hAnsi="Times New Roman"/>
          <w:sz w:val="24"/>
          <w:szCs w:val="24"/>
        </w:rPr>
      </w:pPr>
      <w:r w:rsidRPr="00107C87">
        <w:rPr>
          <w:rFonts w:ascii="幼圆" w:eastAsia="幼圆" w:hAnsi="Times New Roman" w:hint="eastAsia"/>
          <w:sz w:val="24"/>
          <w:szCs w:val="24"/>
        </w:rPr>
        <w:t>审批人：</w:t>
      </w:r>
      <w:r w:rsidRPr="00107C87">
        <w:rPr>
          <w:rFonts w:ascii="幼圆" w:eastAsia="幼圆" w:hAnsi="Times New Roman" w:hint="eastAsia"/>
          <w:color w:val="FF0000"/>
          <w:sz w:val="24"/>
          <w:szCs w:val="24"/>
          <w:highlight w:val="yellow"/>
        </w:rPr>
        <w:t>（审核审批人）</w:t>
      </w:r>
      <w:r w:rsidRPr="00107C87">
        <w:rPr>
          <w:rFonts w:ascii="幼圆" w:eastAsia="幼圆" w:hAnsi="Times New Roman" w:hint="eastAsia"/>
          <w:sz w:val="24"/>
          <w:szCs w:val="24"/>
        </w:rPr>
        <w:t xml:space="preserve">            审批时间： </w:t>
      </w:r>
      <w:r w:rsidRPr="00107C87">
        <w:rPr>
          <w:rFonts w:ascii="幼圆" w:eastAsia="幼圆" w:hAnsi="Times New Roman"/>
          <w:color w:val="FF0000"/>
          <w:sz w:val="24"/>
          <w:szCs w:val="24"/>
          <w:highlight w:val="yellow"/>
        </w:rPr>
        <w:t>（</w:t>
      </w:r>
      <w:r w:rsidRPr="00107C87">
        <w:rPr>
          <w:rFonts w:ascii="幼圆" w:eastAsia="幼圆" w:hAnsi="Times New Roman" w:hint="eastAsia"/>
          <w:color w:val="FF0000"/>
          <w:sz w:val="24"/>
          <w:szCs w:val="24"/>
          <w:highlight w:val="yellow"/>
        </w:rPr>
        <w:t>审核批准日期）</w:t>
      </w:r>
    </w:p>
    <w:p w:rsidR="003E7B91" w:rsidRPr="009A2919" w:rsidRDefault="003E7B91" w:rsidP="001D3963">
      <w:pPr>
        <w:jc w:val="center"/>
        <w:outlineLvl w:val="0"/>
        <w:rPr>
          <w:rFonts w:ascii="幼圆" w:eastAsia="幼圆"/>
        </w:rPr>
      </w:pPr>
    </w:p>
    <w:sectPr w:rsidR="003E7B91" w:rsidRPr="009A2919" w:rsidSect="0093377A">
      <w:headerReference w:type="default" r:id="rId6"/>
      <w:footerReference w:type="default" r:id="rId7"/>
      <w:pgSz w:w="16838" w:h="11906" w:orient="landscape"/>
      <w:pgMar w:top="1418" w:right="1418" w:bottom="1418"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C24" w:rsidRDefault="00135C24" w:rsidP="00AB2311">
      <w:r>
        <w:separator/>
      </w:r>
    </w:p>
  </w:endnote>
  <w:endnote w:type="continuationSeparator" w:id="0">
    <w:p w:rsidR="00135C24" w:rsidRDefault="00135C24" w:rsidP="00AB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03C" w:rsidRPr="0012251C" w:rsidRDefault="00BC503C">
    <w:pPr>
      <w:pStyle w:val="a6"/>
      <w:rPr>
        <w:rFonts w:ascii="幼圆" w:eastAsia="幼圆"/>
        <w:lang w:eastAsia="zh-CN"/>
      </w:rPr>
    </w:pPr>
    <w:r w:rsidRPr="00E624F3">
      <w:rPr>
        <w:rFonts w:ascii="幼圆" w:eastAsia="幼圆" w:hint="eastAsia"/>
        <w:color w:val="FE0000"/>
        <w:highlight w:val="yellow"/>
        <w:lang w:eastAsia="zh-CN"/>
      </w:rPr>
      <w:t>广东科技有限公司</w:t>
    </w:r>
    <w:r w:rsidRPr="00A91EA8">
      <w:rPr>
        <w:rFonts w:ascii="幼圆" w:eastAsia="幼圆" w:hint="eastAsia"/>
        <w:color w:val="FF0000"/>
        <w:lang w:eastAsia="zh-CN"/>
      </w:rPr>
      <w:t xml:space="preserve"> </w:t>
    </w:r>
    <w:r w:rsidRPr="00A90539">
      <w:rPr>
        <w:rFonts w:ascii="幼圆" w:eastAsia="幼圆" w:hint="eastAsia"/>
        <w:lang w:eastAsia="zh-CN"/>
      </w:rPr>
      <w:t xml:space="preserve">                                                                                                              第</w:t>
    </w:r>
    <w:r w:rsidRPr="00A90539">
      <w:rPr>
        <w:rFonts w:ascii="幼圆" w:eastAsia="幼圆" w:hint="eastAsia"/>
        <w:lang w:val="zh-CN" w:eastAsia="zh-CN"/>
      </w:rPr>
      <w:t xml:space="preserve"> </w:t>
    </w:r>
    <w:r w:rsidRPr="00A90539">
      <w:rPr>
        <w:rFonts w:ascii="幼圆" w:eastAsia="幼圆" w:hint="eastAsia"/>
        <w:bCs/>
      </w:rPr>
      <w:fldChar w:fldCharType="begin"/>
    </w:r>
    <w:r w:rsidRPr="00A90539">
      <w:rPr>
        <w:rFonts w:ascii="幼圆" w:eastAsia="幼圆" w:hint="eastAsia"/>
        <w:bCs/>
      </w:rPr>
      <w:instrText>PAGE</w:instrText>
    </w:r>
    <w:r w:rsidRPr="00A90539">
      <w:rPr>
        <w:rFonts w:ascii="幼圆" w:eastAsia="幼圆" w:hint="eastAsia"/>
        <w:bCs/>
      </w:rPr>
      <w:fldChar w:fldCharType="separate"/>
    </w:r>
    <w:r w:rsidR="0095213C">
      <w:rPr>
        <w:rFonts w:ascii="幼圆" w:eastAsia="幼圆"/>
        <w:bCs/>
        <w:noProof/>
      </w:rPr>
      <w:t>1</w:t>
    </w:r>
    <w:r w:rsidRPr="00A90539">
      <w:rPr>
        <w:rFonts w:ascii="幼圆" w:eastAsia="幼圆" w:hint="eastAsia"/>
        <w:bCs/>
      </w:rPr>
      <w:fldChar w:fldCharType="end"/>
    </w:r>
    <w:r w:rsidRPr="00A90539">
      <w:rPr>
        <w:rFonts w:ascii="幼圆" w:eastAsia="幼圆" w:hint="eastAsia"/>
        <w:lang w:val="zh-CN" w:eastAsia="zh-CN"/>
      </w:rPr>
      <w:t xml:space="preserve"> 页，共 </w:t>
    </w:r>
    <w:r w:rsidRPr="00A90539">
      <w:rPr>
        <w:rFonts w:ascii="幼圆" w:eastAsia="幼圆" w:hint="eastAsia"/>
        <w:bCs/>
      </w:rPr>
      <w:fldChar w:fldCharType="begin"/>
    </w:r>
    <w:r w:rsidRPr="00A90539">
      <w:rPr>
        <w:rFonts w:ascii="幼圆" w:eastAsia="幼圆" w:hint="eastAsia"/>
        <w:bCs/>
      </w:rPr>
      <w:instrText>NUMPAGES</w:instrText>
    </w:r>
    <w:r w:rsidRPr="00A90539">
      <w:rPr>
        <w:rFonts w:ascii="幼圆" w:eastAsia="幼圆" w:hint="eastAsia"/>
        <w:bCs/>
      </w:rPr>
      <w:fldChar w:fldCharType="separate"/>
    </w:r>
    <w:r w:rsidR="0095213C">
      <w:rPr>
        <w:rFonts w:ascii="幼圆" w:eastAsia="幼圆"/>
        <w:bCs/>
        <w:noProof/>
      </w:rPr>
      <w:t>12</w:t>
    </w:r>
    <w:r w:rsidRPr="00A90539">
      <w:rPr>
        <w:rFonts w:ascii="幼圆" w:eastAsia="幼圆" w:hint="eastAsia"/>
        <w:bCs/>
      </w:rPr>
      <w:fldChar w:fldCharType="end"/>
    </w:r>
    <w:r w:rsidRPr="00A90539">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C24" w:rsidRDefault="00135C24" w:rsidP="00AB2311">
      <w:r>
        <w:separator/>
      </w:r>
    </w:p>
  </w:footnote>
  <w:footnote w:type="continuationSeparator" w:id="0">
    <w:p w:rsidR="00135C24" w:rsidRDefault="00135C24" w:rsidP="00AB2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03C" w:rsidRPr="00DD703B" w:rsidRDefault="00BC503C" w:rsidP="00DD703B">
    <w:pPr>
      <w:rPr>
        <w:rFonts w:ascii="幼圆" w:eastAsia="幼圆"/>
        <w:sz w:val="18"/>
        <w:szCs w:val="18"/>
      </w:rPr>
    </w:pPr>
    <w:r w:rsidRPr="00A91EA8">
      <w:rPr>
        <w:rFonts w:ascii="幼圆" w:eastAsia="幼圆" w:hint="eastAsia"/>
        <w:color w:val="FF0000"/>
        <w:sz w:val="18"/>
        <w:szCs w:val="18"/>
        <w:highlight w:val="yellow"/>
      </w:rPr>
      <w:t>ZRXX</w:t>
    </w:r>
    <w:r w:rsidRPr="00A91EA8">
      <w:rPr>
        <w:rFonts w:ascii="幼圆" w:eastAsia="幼圆" w:hint="eastAsia"/>
        <w:sz w:val="18"/>
        <w:szCs w:val="18"/>
      </w:rPr>
      <w:t>-20000-</w:t>
    </w:r>
    <w:r>
      <w:rPr>
        <w:rFonts w:ascii="幼圆" w:eastAsia="幼圆" w:hint="eastAsia"/>
        <w:sz w:val="18"/>
        <w:szCs w:val="18"/>
      </w:rPr>
      <w:t>GP</w:t>
    </w:r>
    <w:r w:rsidRPr="00A91EA8">
      <w:rPr>
        <w:rFonts w:ascii="幼圆" w:eastAsia="幼圆" w:hint="eastAsia"/>
        <w:sz w:val="18"/>
        <w:szCs w:val="18"/>
      </w:rPr>
      <w:t>-R-0</w:t>
    </w:r>
    <w:r>
      <w:rPr>
        <w:rFonts w:ascii="幼圆" w:eastAsia="幼圆" w:hint="eastAsia"/>
        <w:sz w:val="18"/>
        <w:szCs w:val="18"/>
      </w:rPr>
      <w:t>5</w:t>
    </w:r>
    <w:r w:rsidRPr="00A91EA8">
      <w:rPr>
        <w:rFonts w:ascii="幼圆" w:eastAsia="幼圆" w:hint="eastAsia"/>
        <w:sz w:val="18"/>
        <w:szCs w:val="18"/>
      </w:rPr>
      <w:t xml:space="preserve"> </w:t>
    </w:r>
    <w:r w:rsidRPr="005C34AC">
      <w:rPr>
        <w:rFonts w:ascii="幼圆" w:eastAsia="幼圆" w:hint="eastAsia"/>
        <w:sz w:val="18"/>
        <w:szCs w:val="18"/>
      </w:rPr>
      <w:t>内审检查项清单</w:t>
    </w:r>
    <w:r>
      <w:rPr>
        <w:rFonts w:ascii="幼圆" w:eastAsia="幼圆" w:hint="eastAsia"/>
        <w:sz w:val="18"/>
        <w:szCs w:val="18"/>
      </w:rPr>
      <w:t xml:space="preserve">        </w:t>
    </w:r>
    <w:r w:rsidRPr="007E3EE3">
      <w:rPr>
        <w:rFonts w:ascii="幼圆" w:eastAsia="幼圆" w:hint="eastAsia"/>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B91"/>
    <w:rsid w:val="00037476"/>
    <w:rsid w:val="00053B23"/>
    <w:rsid w:val="00064268"/>
    <w:rsid w:val="000D5887"/>
    <w:rsid w:val="00107C87"/>
    <w:rsid w:val="0012251C"/>
    <w:rsid w:val="001228FC"/>
    <w:rsid w:val="001236DF"/>
    <w:rsid w:val="00135C24"/>
    <w:rsid w:val="00197221"/>
    <w:rsid w:val="001A554E"/>
    <w:rsid w:val="001C0A01"/>
    <w:rsid w:val="001D3963"/>
    <w:rsid w:val="00244D13"/>
    <w:rsid w:val="002540F2"/>
    <w:rsid w:val="00273E5E"/>
    <w:rsid w:val="002A662E"/>
    <w:rsid w:val="002F7ED6"/>
    <w:rsid w:val="0030739C"/>
    <w:rsid w:val="00333EEC"/>
    <w:rsid w:val="003423AB"/>
    <w:rsid w:val="003D4ACF"/>
    <w:rsid w:val="003E7B91"/>
    <w:rsid w:val="003F363D"/>
    <w:rsid w:val="0040080F"/>
    <w:rsid w:val="0041040C"/>
    <w:rsid w:val="00411470"/>
    <w:rsid w:val="004544C4"/>
    <w:rsid w:val="00474385"/>
    <w:rsid w:val="004977F6"/>
    <w:rsid w:val="004A11F7"/>
    <w:rsid w:val="004C5E12"/>
    <w:rsid w:val="004F4FBA"/>
    <w:rsid w:val="00546568"/>
    <w:rsid w:val="005C34AC"/>
    <w:rsid w:val="005C3AB4"/>
    <w:rsid w:val="00606071"/>
    <w:rsid w:val="00686890"/>
    <w:rsid w:val="006874E7"/>
    <w:rsid w:val="00690BEC"/>
    <w:rsid w:val="00697978"/>
    <w:rsid w:val="0076768C"/>
    <w:rsid w:val="00780ABC"/>
    <w:rsid w:val="00833AD6"/>
    <w:rsid w:val="0083639B"/>
    <w:rsid w:val="00850779"/>
    <w:rsid w:val="008529B9"/>
    <w:rsid w:val="0086240D"/>
    <w:rsid w:val="00871323"/>
    <w:rsid w:val="0087303B"/>
    <w:rsid w:val="008827E6"/>
    <w:rsid w:val="008C5263"/>
    <w:rsid w:val="0093377A"/>
    <w:rsid w:val="009416A2"/>
    <w:rsid w:val="0095213C"/>
    <w:rsid w:val="0096252B"/>
    <w:rsid w:val="0097558F"/>
    <w:rsid w:val="00995B91"/>
    <w:rsid w:val="009A26C6"/>
    <w:rsid w:val="009A2919"/>
    <w:rsid w:val="00A22F7F"/>
    <w:rsid w:val="00A345DF"/>
    <w:rsid w:val="00A42B91"/>
    <w:rsid w:val="00A479D5"/>
    <w:rsid w:val="00A63976"/>
    <w:rsid w:val="00A91EA8"/>
    <w:rsid w:val="00AB2311"/>
    <w:rsid w:val="00B12424"/>
    <w:rsid w:val="00B77B62"/>
    <w:rsid w:val="00BB6C79"/>
    <w:rsid w:val="00BC503C"/>
    <w:rsid w:val="00C205A7"/>
    <w:rsid w:val="00C23867"/>
    <w:rsid w:val="00C44509"/>
    <w:rsid w:val="00C46D65"/>
    <w:rsid w:val="00C61E18"/>
    <w:rsid w:val="00C919B0"/>
    <w:rsid w:val="00CA3579"/>
    <w:rsid w:val="00CC6743"/>
    <w:rsid w:val="00CF1CCD"/>
    <w:rsid w:val="00CF4E8D"/>
    <w:rsid w:val="00D065DE"/>
    <w:rsid w:val="00D23F97"/>
    <w:rsid w:val="00D24518"/>
    <w:rsid w:val="00D7505B"/>
    <w:rsid w:val="00D866E4"/>
    <w:rsid w:val="00DD703B"/>
    <w:rsid w:val="00DD79B9"/>
    <w:rsid w:val="00DE559B"/>
    <w:rsid w:val="00DF1E95"/>
    <w:rsid w:val="00E44BA5"/>
    <w:rsid w:val="00E624F3"/>
    <w:rsid w:val="00E7189D"/>
    <w:rsid w:val="00E77F3E"/>
    <w:rsid w:val="00EB00C5"/>
    <w:rsid w:val="00EE1307"/>
    <w:rsid w:val="00F060BB"/>
    <w:rsid w:val="00F2787C"/>
    <w:rsid w:val="00F57CEB"/>
    <w:rsid w:val="00F70712"/>
    <w:rsid w:val="00F718ED"/>
    <w:rsid w:val="00F7379D"/>
    <w:rsid w:val="00F969C8"/>
    <w:rsid w:val="00FD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984B2"/>
  <w15:docId w15:val="{7E5443EB-F8C6-43EF-80D1-50E8525F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2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7B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AB2311"/>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5">
    <w:name w:val="页眉 字符"/>
    <w:link w:val="a4"/>
    <w:uiPriority w:val="99"/>
    <w:rsid w:val="00AB2311"/>
    <w:rPr>
      <w:sz w:val="18"/>
      <w:szCs w:val="18"/>
    </w:rPr>
  </w:style>
  <w:style w:type="paragraph" w:styleId="a6">
    <w:name w:val="footer"/>
    <w:basedOn w:val="a"/>
    <w:link w:val="a7"/>
    <w:uiPriority w:val="99"/>
    <w:unhideWhenUsed/>
    <w:rsid w:val="00AB2311"/>
    <w:pPr>
      <w:tabs>
        <w:tab w:val="center" w:pos="4153"/>
        <w:tab w:val="right" w:pos="8306"/>
      </w:tabs>
      <w:snapToGrid w:val="0"/>
      <w:jc w:val="left"/>
    </w:pPr>
    <w:rPr>
      <w:kern w:val="0"/>
      <w:sz w:val="18"/>
      <w:szCs w:val="18"/>
      <w:lang w:val="x-none" w:eastAsia="x-none"/>
    </w:rPr>
  </w:style>
  <w:style w:type="character" w:customStyle="1" w:styleId="a7">
    <w:name w:val="页脚 字符"/>
    <w:link w:val="a6"/>
    <w:uiPriority w:val="99"/>
    <w:rsid w:val="00AB2311"/>
    <w:rPr>
      <w:sz w:val="18"/>
      <w:szCs w:val="18"/>
    </w:rPr>
  </w:style>
  <w:style w:type="paragraph" w:styleId="a8">
    <w:name w:val="Document Map"/>
    <w:basedOn w:val="a"/>
    <w:semiHidden/>
    <w:rsid w:val="00E7189D"/>
    <w:pPr>
      <w:shd w:val="clear" w:color="auto" w:fill="000080"/>
    </w:pPr>
  </w:style>
  <w:style w:type="character" w:styleId="a9">
    <w:name w:val="Emphasis"/>
    <w:uiPriority w:val="20"/>
    <w:qFormat/>
    <w:rsid w:val="00DD703B"/>
    <w:rPr>
      <w:i/>
      <w:iCs/>
    </w:rPr>
  </w:style>
  <w:style w:type="paragraph" w:customStyle="1" w:styleId="2">
    <w:name w:val="正文缩进2字符"/>
    <w:rsid w:val="001228FC"/>
    <w:pPr>
      <w:spacing w:line="300" w:lineRule="auto"/>
      <w:ind w:firstLineChars="200" w:firstLine="200"/>
      <w:jc w:val="both"/>
    </w:pPr>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3153">
      <w:bodyDiv w:val="1"/>
      <w:marLeft w:val="0"/>
      <w:marRight w:val="0"/>
      <w:marTop w:val="0"/>
      <w:marBottom w:val="0"/>
      <w:divBdr>
        <w:top w:val="none" w:sz="0" w:space="0" w:color="auto"/>
        <w:left w:val="none" w:sz="0" w:space="0" w:color="auto"/>
        <w:bottom w:val="none" w:sz="0" w:space="0" w:color="auto"/>
        <w:right w:val="none" w:sz="0" w:space="0" w:color="auto"/>
      </w:divBdr>
    </w:div>
    <w:div w:id="338774729">
      <w:bodyDiv w:val="1"/>
      <w:marLeft w:val="0"/>
      <w:marRight w:val="0"/>
      <w:marTop w:val="0"/>
      <w:marBottom w:val="0"/>
      <w:divBdr>
        <w:top w:val="none" w:sz="0" w:space="0" w:color="auto"/>
        <w:left w:val="none" w:sz="0" w:space="0" w:color="auto"/>
        <w:bottom w:val="none" w:sz="0" w:space="0" w:color="auto"/>
        <w:right w:val="none" w:sz="0" w:space="0" w:color="auto"/>
      </w:divBdr>
    </w:div>
    <w:div w:id="794906919">
      <w:bodyDiv w:val="1"/>
      <w:marLeft w:val="0"/>
      <w:marRight w:val="0"/>
      <w:marTop w:val="0"/>
      <w:marBottom w:val="0"/>
      <w:divBdr>
        <w:top w:val="none" w:sz="0" w:space="0" w:color="auto"/>
        <w:left w:val="none" w:sz="0" w:space="0" w:color="auto"/>
        <w:bottom w:val="none" w:sz="0" w:space="0" w:color="auto"/>
        <w:right w:val="none" w:sz="0" w:space="0" w:color="auto"/>
      </w:divBdr>
    </w:div>
    <w:div w:id="947354104">
      <w:bodyDiv w:val="1"/>
      <w:marLeft w:val="0"/>
      <w:marRight w:val="0"/>
      <w:marTop w:val="0"/>
      <w:marBottom w:val="0"/>
      <w:divBdr>
        <w:top w:val="none" w:sz="0" w:space="0" w:color="auto"/>
        <w:left w:val="none" w:sz="0" w:space="0" w:color="auto"/>
        <w:bottom w:val="none" w:sz="0" w:space="0" w:color="auto"/>
        <w:right w:val="none" w:sz="0" w:space="0" w:color="auto"/>
      </w:divBdr>
    </w:div>
    <w:div w:id="1091462920">
      <w:bodyDiv w:val="1"/>
      <w:marLeft w:val="0"/>
      <w:marRight w:val="0"/>
      <w:marTop w:val="0"/>
      <w:marBottom w:val="0"/>
      <w:divBdr>
        <w:top w:val="none" w:sz="0" w:space="0" w:color="auto"/>
        <w:left w:val="none" w:sz="0" w:space="0" w:color="auto"/>
        <w:bottom w:val="none" w:sz="0" w:space="0" w:color="auto"/>
        <w:right w:val="none" w:sz="0" w:space="0" w:color="auto"/>
      </w:divBdr>
    </w:div>
    <w:div w:id="1176067766">
      <w:bodyDiv w:val="1"/>
      <w:marLeft w:val="0"/>
      <w:marRight w:val="0"/>
      <w:marTop w:val="0"/>
      <w:marBottom w:val="0"/>
      <w:divBdr>
        <w:top w:val="none" w:sz="0" w:space="0" w:color="auto"/>
        <w:left w:val="none" w:sz="0" w:space="0" w:color="auto"/>
        <w:bottom w:val="none" w:sz="0" w:space="0" w:color="auto"/>
        <w:right w:val="none" w:sz="0" w:space="0" w:color="auto"/>
      </w:divBdr>
    </w:div>
    <w:div w:id="1583559946">
      <w:bodyDiv w:val="1"/>
      <w:marLeft w:val="0"/>
      <w:marRight w:val="0"/>
      <w:marTop w:val="0"/>
      <w:marBottom w:val="0"/>
      <w:divBdr>
        <w:top w:val="none" w:sz="0" w:space="0" w:color="auto"/>
        <w:left w:val="none" w:sz="0" w:space="0" w:color="auto"/>
        <w:bottom w:val="none" w:sz="0" w:space="0" w:color="auto"/>
        <w:right w:val="none" w:sz="0" w:space="0" w:color="auto"/>
      </w:divBdr>
    </w:div>
    <w:div w:id="1898054917">
      <w:bodyDiv w:val="1"/>
      <w:marLeft w:val="0"/>
      <w:marRight w:val="0"/>
      <w:marTop w:val="0"/>
      <w:marBottom w:val="0"/>
      <w:divBdr>
        <w:top w:val="none" w:sz="0" w:space="0" w:color="auto"/>
        <w:left w:val="none" w:sz="0" w:space="0" w:color="auto"/>
        <w:bottom w:val="none" w:sz="0" w:space="0" w:color="auto"/>
        <w:right w:val="none" w:sz="0" w:space="0" w:color="auto"/>
      </w:divBdr>
    </w:div>
    <w:div w:id="2008821569">
      <w:bodyDiv w:val="1"/>
      <w:marLeft w:val="0"/>
      <w:marRight w:val="0"/>
      <w:marTop w:val="0"/>
      <w:marBottom w:val="0"/>
      <w:divBdr>
        <w:top w:val="none" w:sz="0" w:space="0" w:color="auto"/>
        <w:left w:val="none" w:sz="0" w:space="0" w:color="auto"/>
        <w:bottom w:val="none" w:sz="0" w:space="0" w:color="auto"/>
        <w:right w:val="none" w:sz="0" w:space="0" w:color="auto"/>
      </w:divBdr>
    </w:div>
    <w:div w:id="2015690963">
      <w:bodyDiv w:val="1"/>
      <w:marLeft w:val="0"/>
      <w:marRight w:val="0"/>
      <w:marTop w:val="0"/>
      <w:marBottom w:val="0"/>
      <w:divBdr>
        <w:top w:val="none" w:sz="0" w:space="0" w:color="auto"/>
        <w:left w:val="none" w:sz="0" w:space="0" w:color="auto"/>
        <w:bottom w:val="none" w:sz="0" w:space="0" w:color="auto"/>
        <w:right w:val="none" w:sz="0" w:space="0" w:color="auto"/>
      </w:divBdr>
    </w:div>
    <w:div w:id="20798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1004</Words>
  <Characters>5724</Characters>
  <Application>Microsoft Office Word</Application>
  <DocSecurity>0</DocSecurity>
  <Lines>47</Lines>
  <Paragraphs>13</Paragraphs>
  <ScaleCrop>false</ScaleCrop>
  <Company>gzbrt.com</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YX-ISMS-2009-0105-JL14</dc:title>
  <dc:creator>gzbrt</dc:creator>
  <cp:lastModifiedBy>Ming</cp:lastModifiedBy>
  <cp:revision>25</cp:revision>
  <cp:lastPrinted>2015-07-02T05:57:00Z</cp:lastPrinted>
  <dcterms:created xsi:type="dcterms:W3CDTF">2019-05-10T07:08:00Z</dcterms:created>
  <dcterms:modified xsi:type="dcterms:W3CDTF">2019-07-22T07:14:00Z</dcterms:modified>
</cp:coreProperties>
</file>