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E73FB3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能力运行评估报告</w:t>
      </w:r>
    </w:p>
    <w:p w:rsidR="00CC6743" w:rsidRDefault="008D0262" w:rsidP="00CC6743">
      <w:pPr>
        <w:jc w:val="center"/>
        <w:rPr>
          <w:rFonts w:ascii="幼圆" w:eastAsia="幼圆"/>
        </w:rPr>
      </w:pPr>
      <w:bookmarkStart w:id="0" w:name="_GoBack"/>
      <w:bookmarkEnd w:id="0"/>
      <w:r w:rsidRPr="008D0262">
        <w:rPr>
          <w:rFonts w:ascii="幼圆" w:eastAsia="幼圆"/>
          <w:color w:val="FF0000"/>
          <w:highlight w:val="yellow"/>
        </w:rPr>
        <w:t>ZRXX</w:t>
      </w:r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1228FC">
        <w:rPr>
          <w:rFonts w:ascii="幼圆" w:eastAsia="幼圆" w:hint="eastAsia"/>
        </w:rPr>
        <w:t>C</w:t>
      </w:r>
      <w:r w:rsidR="00E73FB3">
        <w:rPr>
          <w:rFonts w:ascii="幼圆" w:eastAsia="幼圆" w:hint="eastAsia"/>
        </w:rPr>
        <w:t>A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E73FB3">
        <w:rPr>
          <w:rFonts w:ascii="幼圆" w:eastAsia="幼圆" w:hint="eastAsia"/>
        </w:rPr>
        <w:t>2</w:t>
      </w:r>
    </w:p>
    <w:p w:rsidR="00E73FB3" w:rsidRPr="00E9698F" w:rsidRDefault="00E9698F" w:rsidP="00E73FB3">
      <w:pPr>
        <w:jc w:val="left"/>
        <w:rPr>
          <w:rFonts w:ascii="幼圆" w:eastAsia="幼圆" w:hAnsi="宋体" w:cs="宋体"/>
          <w:b/>
          <w:bCs/>
          <w:color w:val="D40000"/>
          <w:kern w:val="0"/>
          <w:sz w:val="24"/>
          <w:szCs w:val="24"/>
        </w:rPr>
      </w:pPr>
      <w:r w:rsidRPr="00E9698F">
        <w:rPr>
          <w:rFonts w:ascii="幼圆" w:eastAsia="幼圆" w:hAnsi="宋体" w:cs="宋体" w:hint="eastAsia"/>
          <w:b/>
          <w:bCs/>
          <w:color w:val="D40000"/>
          <w:kern w:val="0"/>
          <w:sz w:val="24"/>
          <w:szCs w:val="24"/>
          <w:highlight w:val="yellow"/>
        </w:rPr>
        <w:t>项目名称</w:t>
      </w:r>
    </w:p>
    <w:tbl>
      <w:tblPr>
        <w:tblW w:w="141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20"/>
        <w:gridCol w:w="1647"/>
        <w:gridCol w:w="1701"/>
        <w:gridCol w:w="1701"/>
        <w:gridCol w:w="992"/>
        <w:gridCol w:w="2239"/>
        <w:gridCol w:w="1520"/>
        <w:gridCol w:w="1628"/>
        <w:gridCol w:w="1842"/>
      </w:tblGrid>
      <w:tr w:rsidR="00E73FB3" w:rsidRPr="00E73FB3" w:rsidTr="00D52359">
        <w:trPr>
          <w:trHeight w:val="330"/>
        </w:trPr>
        <w:tc>
          <w:tcPr>
            <w:tcW w:w="9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类目</w:t>
            </w:r>
          </w:p>
        </w:tc>
        <w:tc>
          <w:tcPr>
            <w:tcW w:w="1647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子类</w:t>
            </w:r>
          </w:p>
        </w:tc>
        <w:tc>
          <w:tcPr>
            <w:tcW w:w="1701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现状</w:t>
            </w:r>
          </w:p>
        </w:tc>
        <w:tc>
          <w:tcPr>
            <w:tcW w:w="1701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可用性目标</w:t>
            </w: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差异</w:t>
            </w:r>
          </w:p>
        </w:tc>
        <w:tc>
          <w:tcPr>
            <w:tcW w:w="2239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改进方案</w:t>
            </w:r>
          </w:p>
        </w:tc>
        <w:tc>
          <w:tcPr>
            <w:tcW w:w="15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改进实施说明</w:t>
            </w:r>
          </w:p>
        </w:tc>
        <w:tc>
          <w:tcPr>
            <w:tcW w:w="1628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可用性需求满足说明</w:t>
            </w:r>
          </w:p>
        </w:tc>
        <w:tc>
          <w:tcPr>
            <w:tcW w:w="1842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运行说明</w:t>
            </w:r>
          </w:p>
        </w:tc>
      </w:tr>
      <w:tr w:rsidR="00E73FB3" w:rsidRPr="00E73FB3" w:rsidTr="00D52359">
        <w:trPr>
          <w:trHeight w:val="330"/>
        </w:trPr>
        <w:tc>
          <w:tcPr>
            <w:tcW w:w="920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7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239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28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工程师</w:t>
            </w: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维护工程师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E73FB3" w:rsidRPr="00292258" w:rsidRDefault="00292258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highlight w:val="lightGray"/>
              </w:rPr>
              <w:t>人数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E73FB3" w:rsidRPr="00292258" w:rsidRDefault="00292258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highlight w:val="lightGray"/>
              </w:rPr>
              <w:t>人数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技术经理</w:t>
            </w: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负责</w:t>
            </w: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br/>
            </w:r>
            <w:r>
              <w:rPr>
                <w:rFonts w:ascii="幼圆" w:eastAsia="幼圆" w:hAnsi="宋体" w:cs="宋体" w:hint="eastAsia"/>
                <w:kern w:val="0"/>
                <w:sz w:val="22"/>
              </w:rPr>
              <w:t>项目经理</w:t>
            </w: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监控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9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软件产品</w:t>
            </w: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292258" w:rsidRDefault="00292258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lightGray"/>
              </w:rPr>
              <w:t>产品名</w:t>
            </w:r>
            <w:r w:rsidR="00E73FB3" w:rsidRPr="00292258">
              <w:rPr>
                <w:rFonts w:ascii="宋体" w:hAnsi="宋体" w:cs="宋体" w:hint="eastAsia"/>
                <w:kern w:val="0"/>
                <w:sz w:val="22"/>
                <w:highlight w:val="lightGray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V1.0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V2.0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进行系统升级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292258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 w:rsidRPr="00292258">
              <w:rPr>
                <w:rFonts w:ascii="宋体" w:hAnsi="宋体" w:cs="宋体" w:hint="eastAsia"/>
                <w:kern w:val="0"/>
                <w:sz w:val="22"/>
                <w:highlight w:val="lightGray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V1.0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V2.0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进行系统升级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292258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 w:rsidRPr="00292258">
              <w:rPr>
                <w:rFonts w:ascii="宋体" w:hAnsi="宋体" w:cs="宋体" w:hint="eastAsia"/>
                <w:kern w:val="0"/>
                <w:sz w:val="22"/>
                <w:highlight w:val="lightGray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V1.0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V2.0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进行系统升级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292258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 w:rsidRPr="00292258">
              <w:rPr>
                <w:rFonts w:ascii="宋体" w:hAnsi="宋体" w:cs="宋体" w:hint="eastAsia"/>
                <w:kern w:val="0"/>
                <w:sz w:val="22"/>
                <w:highlight w:val="lightGray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V1.0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V2.0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进行系统升级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客户应用系统资源</w:t>
            </w: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服务器操作系统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windows 2008 server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windows 2008 server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采用更高的版本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性能更优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服务器数据库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SQLserver205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SQLserver2005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采用更高的版本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稳定性、性能更优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405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服务器CPU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intel3.0Ghz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intel3.0Ghz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405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服务器内存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4G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4G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405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服务器硬盘容量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827EF5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1T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2T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硬盘扩容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存储空间</w:t>
            </w:r>
            <w:r w:rsidR="00827EF5">
              <w:rPr>
                <w:rFonts w:ascii="幼圆" w:eastAsia="幼圆" w:hAnsi="宋体" w:cs="宋体" w:hint="eastAsia"/>
                <w:kern w:val="0"/>
                <w:sz w:val="22"/>
              </w:rPr>
              <w:t>更充裕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本公司应用系统资源</w:t>
            </w: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服务器操作系统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windows 2008 server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windows 2008 server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采用更高的版本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性能更优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服务器数据库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sqlserver2005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sqlserver2005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采用更高的版本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稳定性、性能更优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3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服务器CPU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intel3.0Ghz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intel3.0Ghz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3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服务器内存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8G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8G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3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服务器硬盘容</w:t>
            </w: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lastRenderedPageBreak/>
              <w:t>量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lastRenderedPageBreak/>
              <w:t>208G/300G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750G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14190" w:type="dxa"/>
            <w:gridSpan w:val="9"/>
            <w:shd w:val="clear" w:color="000000" w:fill="FFFFFF"/>
            <w:noWrap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能力运行分析及改进意见：</w:t>
            </w:r>
            <w:r w:rsidR="00827EF5"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按计划正常运行，没有问题。</w:t>
            </w:r>
          </w:p>
        </w:tc>
      </w:tr>
    </w:tbl>
    <w:p w:rsidR="00E73FB3" w:rsidRPr="00E73FB3" w:rsidRDefault="00E73FB3" w:rsidP="00E73FB3">
      <w:pPr>
        <w:jc w:val="left"/>
        <w:rPr>
          <w:rFonts w:ascii="幼圆" w:eastAsia="幼圆"/>
        </w:rPr>
      </w:pPr>
    </w:p>
    <w:p w:rsidR="001228FC" w:rsidRDefault="001228FC" w:rsidP="00CC6743">
      <w:pPr>
        <w:jc w:val="center"/>
        <w:rPr>
          <w:rFonts w:ascii="幼圆" w:eastAsia="幼圆"/>
        </w:rPr>
      </w:pPr>
    </w:p>
    <w:p w:rsidR="0061213C" w:rsidRPr="00116E8F" w:rsidRDefault="0061213C" w:rsidP="0061213C">
      <w:pPr>
        <w:pStyle w:val="2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61213C" w:rsidRPr="006472DE" w:rsidRDefault="0061213C" w:rsidP="0061213C">
      <w:pPr>
        <w:pStyle w:val="2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p w:rsidR="003E7B91" w:rsidRPr="0061213C" w:rsidRDefault="003E7B91" w:rsidP="001D3963">
      <w:pPr>
        <w:jc w:val="center"/>
        <w:outlineLvl w:val="0"/>
        <w:rPr>
          <w:rFonts w:ascii="幼圆" w:eastAsia="幼圆"/>
        </w:rPr>
      </w:pPr>
    </w:p>
    <w:sectPr w:rsidR="003E7B91" w:rsidRPr="0061213C" w:rsidSect="00827EF5">
      <w:headerReference w:type="default" r:id="rId6"/>
      <w:footerReference w:type="default" r:id="rId7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35" w:rsidRDefault="00B10235" w:rsidP="00AB2311">
      <w:r>
        <w:separator/>
      </w:r>
    </w:p>
  </w:endnote>
  <w:endnote w:type="continuationSeparator" w:id="0">
    <w:p w:rsidR="00B10235" w:rsidRDefault="00B10235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A42B91">
    <w:pPr>
      <w:pStyle w:val="a6"/>
      <w:rPr>
        <w:rFonts w:ascii="幼圆" w:eastAsia="幼圆"/>
        <w:lang w:eastAsia="zh-CN"/>
      </w:rPr>
    </w:pPr>
    <w:r w:rsidRPr="0061213C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8D0262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8D0262">
      <w:rPr>
        <w:rFonts w:ascii="幼圆" w:eastAsia="幼圆"/>
        <w:bCs/>
        <w:noProof/>
      </w:rPr>
      <w:t>2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35" w:rsidRDefault="00B10235" w:rsidP="00AB2311">
      <w:r>
        <w:separator/>
      </w:r>
    </w:p>
  </w:footnote>
  <w:footnote w:type="continuationSeparator" w:id="0">
    <w:p w:rsidR="00B10235" w:rsidRDefault="00B10235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E73FB3" w:rsidP="00DD703B">
    <w:pPr>
      <w:rPr>
        <w:rFonts w:ascii="幼圆" w:eastAsia="幼圆"/>
        <w:sz w:val="18"/>
        <w:szCs w:val="18"/>
      </w:rPr>
    </w:pPr>
    <w:r w:rsidRPr="002E761C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2E761C">
      <w:rPr>
        <w:rFonts w:ascii="幼圆" w:eastAsia="幼圆" w:hint="eastAsia"/>
        <w:sz w:val="18"/>
        <w:szCs w:val="18"/>
      </w:rPr>
      <w:t>-20000-CA-R-02 能力运行评估报告</w:t>
    </w:r>
    <w:r w:rsidR="00DD703B">
      <w:rPr>
        <w:rFonts w:ascii="幼圆" w:eastAsia="幼圆" w:hint="eastAsia"/>
        <w:sz w:val="18"/>
        <w:szCs w:val="18"/>
      </w:rPr>
      <w:t xml:space="preserve">   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28FC"/>
    <w:rsid w:val="001236DF"/>
    <w:rsid w:val="001C0A01"/>
    <w:rsid w:val="001D3963"/>
    <w:rsid w:val="00244D13"/>
    <w:rsid w:val="002540F2"/>
    <w:rsid w:val="00273E5E"/>
    <w:rsid w:val="00292258"/>
    <w:rsid w:val="002A662E"/>
    <w:rsid w:val="002E761C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74385"/>
    <w:rsid w:val="004977F6"/>
    <w:rsid w:val="004A11F7"/>
    <w:rsid w:val="004F4FBA"/>
    <w:rsid w:val="00501A74"/>
    <w:rsid w:val="00546568"/>
    <w:rsid w:val="005C3AB4"/>
    <w:rsid w:val="00606071"/>
    <w:rsid w:val="0061213C"/>
    <w:rsid w:val="006874E7"/>
    <w:rsid w:val="00690BEC"/>
    <w:rsid w:val="00697978"/>
    <w:rsid w:val="0076768C"/>
    <w:rsid w:val="00780ABC"/>
    <w:rsid w:val="00827EF5"/>
    <w:rsid w:val="00833AD6"/>
    <w:rsid w:val="0083639B"/>
    <w:rsid w:val="00850779"/>
    <w:rsid w:val="008529B9"/>
    <w:rsid w:val="0086240D"/>
    <w:rsid w:val="008827E6"/>
    <w:rsid w:val="008C5263"/>
    <w:rsid w:val="008D0262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B2311"/>
    <w:rsid w:val="00AF3474"/>
    <w:rsid w:val="00B10235"/>
    <w:rsid w:val="00BB6C79"/>
    <w:rsid w:val="00C16332"/>
    <w:rsid w:val="00C23867"/>
    <w:rsid w:val="00C44509"/>
    <w:rsid w:val="00C46D65"/>
    <w:rsid w:val="00C61E18"/>
    <w:rsid w:val="00CC6743"/>
    <w:rsid w:val="00CF1CCD"/>
    <w:rsid w:val="00CF4E8D"/>
    <w:rsid w:val="00D065DE"/>
    <w:rsid w:val="00D22A40"/>
    <w:rsid w:val="00D24518"/>
    <w:rsid w:val="00D52359"/>
    <w:rsid w:val="00D866E4"/>
    <w:rsid w:val="00DD703B"/>
    <w:rsid w:val="00DD79B9"/>
    <w:rsid w:val="00DE559B"/>
    <w:rsid w:val="00DF1E95"/>
    <w:rsid w:val="00E44BA5"/>
    <w:rsid w:val="00E7189D"/>
    <w:rsid w:val="00E73FB3"/>
    <w:rsid w:val="00E9698F"/>
    <w:rsid w:val="00EE1307"/>
    <w:rsid w:val="00F060BB"/>
    <w:rsid w:val="00F2787C"/>
    <w:rsid w:val="00F57CEB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7D213"/>
  <w15:docId w15:val="{A89257FB-B9E4-4CA1-96AE-9854B00E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787</Characters>
  <Application>Microsoft Office Word</Application>
  <DocSecurity>0</DocSecurity>
  <Lines>6</Lines>
  <Paragraphs>1</Paragraphs>
  <ScaleCrop>false</ScaleCrop>
  <Company>gzbrt.com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6</cp:revision>
  <cp:lastPrinted>2015-07-02T05:57:00Z</cp:lastPrinted>
  <dcterms:created xsi:type="dcterms:W3CDTF">2019-05-13T02:11:00Z</dcterms:created>
  <dcterms:modified xsi:type="dcterms:W3CDTF">2019-08-13T05:21:00Z</dcterms:modified>
</cp:coreProperties>
</file>