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09" w:rsidRPr="00612039" w:rsidRDefault="00713C09" w:rsidP="00713C09">
      <w:pPr>
        <w:spacing w:line="480" w:lineRule="auto"/>
        <w:jc w:val="both"/>
        <w:rPr>
          <w:rFonts w:ascii="Arial" w:hAnsi="Arial" w:cs="Arial"/>
          <w:b/>
        </w:rPr>
      </w:pPr>
      <w:bookmarkStart w:id="0" w:name="_GoBack"/>
      <w:bookmarkEnd w:id="0"/>
      <w:r w:rsidRPr="00612039">
        <w:rPr>
          <w:rFonts w:ascii="Arial" w:hAnsi="Arial" w:cs="Arial"/>
          <w:b/>
        </w:rPr>
        <w:t xml:space="preserve">RNA-seq </w:t>
      </w:r>
      <w:r w:rsidR="00A850B7" w:rsidRPr="00612039">
        <w:rPr>
          <w:rFonts w:ascii="Arial" w:hAnsi="Arial" w:cs="Arial"/>
          <w:b/>
        </w:rPr>
        <w:t>library preparation and sequencing</w:t>
      </w:r>
    </w:p>
    <w:p w:rsidR="00646436" w:rsidRPr="00612039" w:rsidRDefault="00713C09" w:rsidP="0017408D">
      <w:pPr>
        <w:spacing w:line="360" w:lineRule="auto"/>
        <w:ind w:firstLine="720"/>
        <w:jc w:val="both"/>
        <w:rPr>
          <w:rFonts w:ascii="Arial" w:hAnsi="Arial" w:cs="Arial"/>
        </w:rPr>
      </w:pPr>
      <w:r w:rsidRPr="00612039">
        <w:rPr>
          <w:rFonts w:ascii="Arial" w:hAnsi="Arial" w:cs="Arial"/>
        </w:rPr>
        <w:t>Total RNA was extracted from _______ using ________</w:t>
      </w:r>
      <w:r w:rsidR="004708A0" w:rsidRPr="00612039">
        <w:rPr>
          <w:rFonts w:ascii="Arial" w:hAnsi="Arial" w:cs="Arial"/>
        </w:rPr>
        <w:t xml:space="preserve"> k</w:t>
      </w:r>
      <w:r w:rsidRPr="00612039">
        <w:rPr>
          <w:rFonts w:ascii="Arial" w:hAnsi="Arial" w:cs="Arial"/>
        </w:rPr>
        <w:t xml:space="preserve">it with on-column </w:t>
      </w:r>
      <w:proofErr w:type="spellStart"/>
      <w:r w:rsidRPr="00612039">
        <w:rPr>
          <w:rFonts w:ascii="Arial" w:hAnsi="Arial" w:cs="Arial"/>
        </w:rPr>
        <w:t>DNase</w:t>
      </w:r>
      <w:proofErr w:type="spellEnd"/>
      <w:r w:rsidRPr="00612039">
        <w:rPr>
          <w:rFonts w:ascii="Arial" w:hAnsi="Arial" w:cs="Arial"/>
        </w:rPr>
        <w:t xml:space="preserve"> treatment according to manufacturer's protocol. Final elution was made in ____µl of _________. The concentration and integrity of the total RNA was estimated by Qubit® 2.0 Fluorometer (Invitrogen, Carlsbad, California), and Agilent 2100 Bioanalyzer (</w:t>
      </w:r>
      <w:r w:rsidRPr="00612039">
        <w:rPr>
          <w:rFonts w:ascii="Arial" w:hAnsi="Arial" w:cs="Arial"/>
          <w:shd w:val="clear" w:color="auto" w:fill="FFFFFF"/>
        </w:rPr>
        <w:t xml:space="preserve">Applied Biosystems, Carlsbad, CA), </w:t>
      </w:r>
      <w:r w:rsidRPr="00612039">
        <w:rPr>
          <w:rFonts w:ascii="Arial" w:hAnsi="Arial" w:cs="Arial"/>
        </w:rPr>
        <w:t xml:space="preserve">respectively.  </w:t>
      </w:r>
    </w:p>
    <w:p w:rsidR="004504AB" w:rsidRPr="00612039" w:rsidRDefault="00713C09" w:rsidP="004504AB">
      <w:pPr>
        <w:spacing w:line="360" w:lineRule="auto"/>
        <w:ind w:firstLine="720"/>
        <w:jc w:val="both"/>
        <w:rPr>
          <w:rFonts w:ascii="Arial" w:hAnsi="Arial" w:cs="Arial"/>
        </w:rPr>
      </w:pPr>
      <w:r w:rsidRPr="00612039">
        <w:rPr>
          <w:rFonts w:ascii="Arial" w:hAnsi="Arial" w:cs="Arial"/>
          <w:color w:val="000000"/>
        </w:rPr>
        <w:t xml:space="preserve">Five hundred </w:t>
      </w:r>
      <w:proofErr w:type="spellStart"/>
      <w:r w:rsidRPr="00612039">
        <w:rPr>
          <w:rFonts w:ascii="Arial" w:hAnsi="Arial" w:cs="Arial"/>
          <w:color w:val="000000"/>
        </w:rPr>
        <w:t>ng</w:t>
      </w:r>
      <w:proofErr w:type="spellEnd"/>
      <w:r w:rsidRPr="00612039">
        <w:rPr>
          <w:rFonts w:ascii="Arial" w:hAnsi="Arial" w:cs="Arial"/>
          <w:color w:val="000000"/>
        </w:rPr>
        <w:t xml:space="preserve"> of total RNA was required for proceeding to downstream RNA-seq applications. </w:t>
      </w:r>
      <w:r w:rsidR="00646436" w:rsidRPr="00612039">
        <w:rPr>
          <w:rFonts w:ascii="Arial" w:hAnsi="Arial" w:cs="Arial"/>
          <w:color w:val="000000"/>
        </w:rPr>
        <w:t>First, r</w:t>
      </w:r>
      <w:r w:rsidRPr="00612039">
        <w:rPr>
          <w:rFonts w:ascii="Arial" w:hAnsi="Arial" w:cs="Arial"/>
        </w:rPr>
        <w:t>ibosomal RNA (</w:t>
      </w:r>
      <w:proofErr w:type="spellStart"/>
      <w:r w:rsidRPr="00612039">
        <w:rPr>
          <w:rFonts w:ascii="Arial" w:hAnsi="Arial" w:cs="Arial"/>
        </w:rPr>
        <w:t>rRNA</w:t>
      </w:r>
      <w:proofErr w:type="spellEnd"/>
      <w:r w:rsidRPr="00612039">
        <w:rPr>
          <w:rFonts w:ascii="Arial" w:hAnsi="Arial" w:cs="Arial"/>
        </w:rPr>
        <w:t xml:space="preserve">) was removed using </w:t>
      </w:r>
      <w:proofErr w:type="spellStart"/>
      <w:r w:rsidRPr="00612039">
        <w:rPr>
          <w:rFonts w:ascii="Arial" w:hAnsi="Arial" w:cs="Arial"/>
        </w:rPr>
        <w:t>Ribo</w:t>
      </w:r>
      <w:proofErr w:type="spellEnd"/>
      <w:r w:rsidRPr="00612039">
        <w:rPr>
          <w:rFonts w:ascii="Arial" w:hAnsi="Arial" w:cs="Arial"/>
        </w:rPr>
        <w:t>-Zero™ Gold (</w:t>
      </w:r>
      <w:r w:rsidR="004504AB" w:rsidRPr="00612039">
        <w:rPr>
          <w:rFonts w:ascii="Arial" w:hAnsi="Arial" w:cs="Arial"/>
        </w:rPr>
        <w:t>Epidemiology</w:t>
      </w:r>
      <w:r w:rsidRPr="00612039">
        <w:rPr>
          <w:rFonts w:ascii="Arial" w:hAnsi="Arial" w:cs="Arial"/>
        </w:rPr>
        <w:t>) kit (</w:t>
      </w:r>
      <w:r w:rsidR="004504AB" w:rsidRPr="00612039">
        <w:rPr>
          <w:rFonts w:ascii="Arial" w:hAnsi="Arial" w:cs="Arial"/>
        </w:rPr>
        <w:t>Illumina, San Diego, CA</w:t>
      </w:r>
      <w:r w:rsidRPr="00612039">
        <w:rPr>
          <w:rFonts w:ascii="Arial" w:hAnsi="Arial" w:cs="Arial"/>
        </w:rPr>
        <w:t xml:space="preserve">) using manufacturer's recommended protocol. </w:t>
      </w:r>
      <w:r w:rsidR="004504AB" w:rsidRPr="00612039">
        <w:rPr>
          <w:rFonts w:ascii="Arial" w:hAnsi="Arial" w:cs="Arial"/>
        </w:rPr>
        <w:t xml:space="preserve">Immediately after the </w:t>
      </w:r>
      <w:proofErr w:type="spellStart"/>
      <w:r w:rsidR="004504AB" w:rsidRPr="00612039">
        <w:rPr>
          <w:rFonts w:ascii="Arial" w:hAnsi="Arial" w:cs="Arial"/>
        </w:rPr>
        <w:t>rRNA</w:t>
      </w:r>
      <w:proofErr w:type="spellEnd"/>
      <w:r w:rsidR="004504AB" w:rsidRPr="00612039">
        <w:rPr>
          <w:rFonts w:ascii="Arial" w:hAnsi="Arial" w:cs="Arial"/>
        </w:rPr>
        <w:t xml:space="preserve"> removal the RNA was fragmented and primed for the first strand synthesis using the </w:t>
      </w:r>
      <w:proofErr w:type="spellStart"/>
      <w:r w:rsidR="004504AB" w:rsidRPr="00612039">
        <w:rPr>
          <w:rFonts w:ascii="Arial" w:hAnsi="Arial" w:cs="Arial"/>
        </w:rPr>
        <w:t>NEBnext</w:t>
      </w:r>
      <w:proofErr w:type="spellEnd"/>
      <w:r w:rsidR="004504AB" w:rsidRPr="00612039">
        <w:rPr>
          <w:rFonts w:ascii="Arial" w:hAnsi="Arial" w:cs="Arial"/>
        </w:rPr>
        <w:t xml:space="preserve"> First Strand synthesis module (New England </w:t>
      </w:r>
      <w:proofErr w:type="spellStart"/>
      <w:r w:rsidR="004504AB" w:rsidRPr="00612039">
        <w:rPr>
          <w:rFonts w:ascii="Arial" w:hAnsi="Arial" w:cs="Arial"/>
        </w:rPr>
        <w:t>BioLabs</w:t>
      </w:r>
      <w:proofErr w:type="spellEnd"/>
      <w:r w:rsidR="004504AB" w:rsidRPr="00612039">
        <w:rPr>
          <w:rFonts w:ascii="Arial" w:hAnsi="Arial" w:cs="Arial"/>
        </w:rPr>
        <w:t xml:space="preserve"> Inc., Ipswich, MA). Directional second strand synthesis was performed using </w:t>
      </w:r>
      <w:proofErr w:type="spellStart"/>
      <w:r w:rsidR="004504AB" w:rsidRPr="00612039">
        <w:rPr>
          <w:rFonts w:ascii="Arial" w:hAnsi="Arial" w:cs="Arial"/>
        </w:rPr>
        <w:t>NEBNExt</w:t>
      </w:r>
      <w:proofErr w:type="spellEnd"/>
      <w:r w:rsidR="004504AB" w:rsidRPr="00612039">
        <w:rPr>
          <w:rFonts w:ascii="Arial" w:hAnsi="Arial" w:cs="Arial"/>
        </w:rPr>
        <w:t xml:space="preserve"> Ultra Directional second strand synthesis kit. Following</w:t>
      </w:r>
      <w:r w:rsidR="004504AB" w:rsidRPr="00612039">
        <w:rPr>
          <w:rFonts w:ascii="Arial" w:hAnsi="Arial" w:cs="Arial"/>
          <w:spacing w:val="5"/>
        </w:rPr>
        <w:t xml:space="preserve"> </w:t>
      </w:r>
      <w:r w:rsidR="004504AB" w:rsidRPr="00612039">
        <w:rPr>
          <w:rFonts w:ascii="Arial" w:hAnsi="Arial" w:cs="Arial"/>
        </w:rPr>
        <w:t>this</w:t>
      </w:r>
      <w:r w:rsidR="004504AB" w:rsidRPr="00612039">
        <w:rPr>
          <w:rFonts w:ascii="Arial" w:hAnsi="Arial" w:cs="Arial"/>
          <w:spacing w:val="7"/>
        </w:rPr>
        <w:t xml:space="preserve"> </w:t>
      </w:r>
      <w:r w:rsidR="004504AB" w:rsidRPr="00612039">
        <w:rPr>
          <w:rFonts w:ascii="Arial" w:hAnsi="Arial" w:cs="Arial"/>
        </w:rPr>
        <w:t>the</w:t>
      </w:r>
      <w:r w:rsidR="004504AB" w:rsidRPr="00612039">
        <w:rPr>
          <w:rFonts w:ascii="Arial" w:hAnsi="Arial" w:cs="Arial"/>
          <w:spacing w:val="6"/>
        </w:rPr>
        <w:t xml:space="preserve"> </w:t>
      </w:r>
      <w:r w:rsidR="004504AB" w:rsidRPr="00612039">
        <w:rPr>
          <w:rFonts w:ascii="Arial" w:hAnsi="Arial" w:cs="Arial"/>
          <w:spacing w:val="-1"/>
        </w:rPr>
        <w:t>samples were</w:t>
      </w:r>
      <w:r w:rsidR="004504AB" w:rsidRPr="00612039">
        <w:rPr>
          <w:rFonts w:ascii="Arial" w:hAnsi="Arial" w:cs="Arial"/>
          <w:spacing w:val="7"/>
        </w:rPr>
        <w:t xml:space="preserve"> </w:t>
      </w:r>
      <w:r w:rsidR="004504AB" w:rsidRPr="00612039">
        <w:rPr>
          <w:rFonts w:ascii="Arial" w:hAnsi="Arial" w:cs="Arial"/>
        </w:rPr>
        <w:t>taken</w:t>
      </w:r>
      <w:r w:rsidR="004504AB" w:rsidRPr="00612039">
        <w:rPr>
          <w:rFonts w:ascii="Arial" w:hAnsi="Arial" w:cs="Arial"/>
          <w:spacing w:val="6"/>
        </w:rPr>
        <w:t xml:space="preserve"> </w:t>
      </w:r>
      <w:r w:rsidR="004504AB" w:rsidRPr="00612039">
        <w:rPr>
          <w:rFonts w:ascii="Arial" w:hAnsi="Arial" w:cs="Arial"/>
        </w:rPr>
        <w:t>into</w:t>
      </w:r>
      <w:r w:rsidR="004504AB" w:rsidRPr="00612039">
        <w:rPr>
          <w:rFonts w:ascii="Arial" w:hAnsi="Arial" w:cs="Arial"/>
          <w:spacing w:val="6"/>
        </w:rPr>
        <w:t xml:space="preserve"> </w:t>
      </w:r>
      <w:r w:rsidR="004504AB" w:rsidRPr="00612039">
        <w:rPr>
          <w:rFonts w:ascii="Arial" w:hAnsi="Arial" w:cs="Arial"/>
          <w:spacing w:val="-1"/>
        </w:rPr>
        <w:t>standard</w:t>
      </w:r>
      <w:r w:rsidR="004504AB" w:rsidRPr="00612039">
        <w:rPr>
          <w:rFonts w:ascii="Arial" w:hAnsi="Arial" w:cs="Arial"/>
          <w:spacing w:val="6"/>
        </w:rPr>
        <w:t xml:space="preserve"> </w:t>
      </w:r>
      <w:r w:rsidR="004504AB" w:rsidRPr="00612039">
        <w:rPr>
          <w:rFonts w:ascii="Arial" w:hAnsi="Arial" w:cs="Arial"/>
        </w:rPr>
        <w:t>library</w:t>
      </w:r>
      <w:r w:rsidR="004504AB" w:rsidRPr="00612039">
        <w:rPr>
          <w:rFonts w:ascii="Arial" w:hAnsi="Arial" w:cs="Arial"/>
          <w:spacing w:val="67"/>
        </w:rPr>
        <w:t xml:space="preserve"> </w:t>
      </w:r>
      <w:r w:rsidR="004504AB" w:rsidRPr="00612039">
        <w:rPr>
          <w:rFonts w:ascii="Arial" w:hAnsi="Arial" w:cs="Arial"/>
          <w:spacing w:val="-1"/>
        </w:rPr>
        <w:t>preparation</w:t>
      </w:r>
      <w:r w:rsidR="004504AB" w:rsidRPr="00612039">
        <w:rPr>
          <w:rFonts w:ascii="Arial" w:hAnsi="Arial" w:cs="Arial"/>
          <w:spacing w:val="11"/>
        </w:rPr>
        <w:t xml:space="preserve"> </w:t>
      </w:r>
      <w:r w:rsidR="004504AB" w:rsidRPr="00612039">
        <w:rPr>
          <w:rFonts w:ascii="Arial" w:hAnsi="Arial" w:cs="Arial"/>
          <w:spacing w:val="-1"/>
        </w:rPr>
        <w:t>protocol</w:t>
      </w:r>
      <w:r w:rsidR="004504AB" w:rsidRPr="00612039">
        <w:rPr>
          <w:rFonts w:ascii="Arial" w:hAnsi="Arial" w:cs="Arial"/>
          <w:spacing w:val="11"/>
        </w:rPr>
        <w:t xml:space="preserve"> </w:t>
      </w:r>
      <w:r w:rsidR="004504AB" w:rsidRPr="00612039">
        <w:rPr>
          <w:rFonts w:ascii="Arial" w:hAnsi="Arial" w:cs="Arial"/>
        </w:rPr>
        <w:t>using</w:t>
      </w:r>
      <w:r w:rsidR="004504AB" w:rsidRPr="00612039">
        <w:rPr>
          <w:rFonts w:ascii="Arial" w:hAnsi="Arial" w:cs="Arial"/>
          <w:spacing w:val="11"/>
        </w:rPr>
        <w:t xml:space="preserve"> </w:t>
      </w:r>
      <w:proofErr w:type="spellStart"/>
      <w:r w:rsidR="004504AB" w:rsidRPr="00612039">
        <w:rPr>
          <w:rFonts w:ascii="Arial" w:hAnsi="Arial" w:cs="Arial"/>
          <w:spacing w:val="-1"/>
        </w:rPr>
        <w:t>NEBNext</w:t>
      </w:r>
      <w:proofErr w:type="spellEnd"/>
      <w:r w:rsidR="004504AB" w:rsidRPr="00612039">
        <w:rPr>
          <w:rFonts w:ascii="Arial" w:hAnsi="Arial" w:cs="Arial"/>
          <w:spacing w:val="-1"/>
        </w:rPr>
        <w:t>®</w:t>
      </w:r>
      <w:r w:rsidR="004504AB" w:rsidRPr="00612039">
        <w:rPr>
          <w:rFonts w:ascii="Arial" w:hAnsi="Arial" w:cs="Arial"/>
          <w:spacing w:val="1"/>
        </w:rPr>
        <w:t xml:space="preserve"> </w:t>
      </w:r>
      <w:r w:rsidR="004504AB" w:rsidRPr="00612039">
        <w:rPr>
          <w:rFonts w:ascii="Arial" w:hAnsi="Arial" w:cs="Arial"/>
          <w:spacing w:val="-1"/>
        </w:rPr>
        <w:t>DNA</w:t>
      </w:r>
      <w:r w:rsidR="004504AB" w:rsidRPr="00612039">
        <w:rPr>
          <w:rFonts w:ascii="Arial" w:hAnsi="Arial" w:cs="Arial"/>
          <w:spacing w:val="13"/>
        </w:rPr>
        <w:t xml:space="preserve"> </w:t>
      </w:r>
      <w:r w:rsidR="004504AB" w:rsidRPr="00612039">
        <w:rPr>
          <w:rFonts w:ascii="Arial" w:hAnsi="Arial" w:cs="Arial"/>
          <w:spacing w:val="-1"/>
        </w:rPr>
        <w:t>Library</w:t>
      </w:r>
      <w:r w:rsidR="004504AB" w:rsidRPr="00612039">
        <w:rPr>
          <w:rFonts w:ascii="Arial" w:hAnsi="Arial" w:cs="Arial"/>
          <w:spacing w:val="4"/>
        </w:rPr>
        <w:t xml:space="preserve"> </w:t>
      </w:r>
      <w:r w:rsidR="004504AB" w:rsidRPr="00612039">
        <w:rPr>
          <w:rFonts w:ascii="Arial" w:hAnsi="Arial" w:cs="Arial"/>
        </w:rPr>
        <w:t>Prep</w:t>
      </w:r>
      <w:r w:rsidR="004504AB" w:rsidRPr="00612039">
        <w:rPr>
          <w:rFonts w:ascii="Arial" w:hAnsi="Arial" w:cs="Arial"/>
          <w:spacing w:val="11"/>
        </w:rPr>
        <w:t xml:space="preserve"> </w:t>
      </w:r>
      <w:r w:rsidR="004504AB" w:rsidRPr="00612039">
        <w:rPr>
          <w:rFonts w:ascii="Arial" w:hAnsi="Arial" w:cs="Arial"/>
          <w:spacing w:val="-1"/>
        </w:rPr>
        <w:t>Master</w:t>
      </w:r>
      <w:r w:rsidR="004504AB" w:rsidRPr="00612039">
        <w:rPr>
          <w:rFonts w:ascii="Arial" w:hAnsi="Arial" w:cs="Arial"/>
          <w:spacing w:val="11"/>
        </w:rPr>
        <w:t xml:space="preserve"> </w:t>
      </w:r>
      <w:r w:rsidR="004504AB" w:rsidRPr="00612039">
        <w:rPr>
          <w:rFonts w:ascii="Arial" w:hAnsi="Arial" w:cs="Arial"/>
        </w:rPr>
        <w:t>Mix</w:t>
      </w:r>
      <w:r w:rsidR="004504AB" w:rsidRPr="00612039">
        <w:rPr>
          <w:rFonts w:ascii="Arial" w:hAnsi="Arial" w:cs="Arial"/>
          <w:spacing w:val="11"/>
        </w:rPr>
        <w:t xml:space="preserve"> </w:t>
      </w:r>
      <w:r w:rsidR="004504AB" w:rsidRPr="00612039">
        <w:rPr>
          <w:rFonts w:ascii="Arial" w:hAnsi="Arial" w:cs="Arial"/>
          <w:spacing w:val="-1"/>
        </w:rPr>
        <w:t>Set</w:t>
      </w:r>
      <w:r w:rsidR="004504AB" w:rsidRPr="00612039">
        <w:rPr>
          <w:rFonts w:ascii="Arial" w:hAnsi="Arial" w:cs="Arial"/>
          <w:spacing w:val="12"/>
        </w:rPr>
        <w:t xml:space="preserve"> </w:t>
      </w:r>
      <w:r w:rsidR="004504AB" w:rsidRPr="00612039">
        <w:rPr>
          <w:rFonts w:ascii="Arial" w:hAnsi="Arial" w:cs="Arial"/>
        </w:rPr>
        <w:t>for</w:t>
      </w:r>
      <w:r w:rsidR="004504AB" w:rsidRPr="00612039">
        <w:rPr>
          <w:rFonts w:ascii="Arial" w:hAnsi="Arial" w:cs="Arial"/>
          <w:spacing w:val="16"/>
        </w:rPr>
        <w:t xml:space="preserve"> </w:t>
      </w:r>
      <w:r w:rsidR="004504AB" w:rsidRPr="00612039">
        <w:rPr>
          <w:rFonts w:ascii="Arial" w:hAnsi="Arial" w:cs="Arial"/>
          <w:spacing w:val="-1"/>
        </w:rPr>
        <w:t>Illumina®</w:t>
      </w:r>
      <w:r w:rsidR="004504AB" w:rsidRPr="00612039">
        <w:rPr>
          <w:rFonts w:ascii="Arial" w:hAnsi="Arial" w:cs="Arial"/>
          <w:spacing w:val="75"/>
        </w:rPr>
        <w:t xml:space="preserve"> </w:t>
      </w:r>
      <w:r w:rsidR="004504AB" w:rsidRPr="00612039">
        <w:rPr>
          <w:rFonts w:ascii="Arial" w:hAnsi="Arial" w:cs="Arial"/>
        </w:rPr>
        <w:t>with</w:t>
      </w:r>
      <w:r w:rsidR="004504AB" w:rsidRPr="00612039">
        <w:rPr>
          <w:rFonts w:ascii="Arial" w:hAnsi="Arial" w:cs="Arial"/>
          <w:spacing w:val="2"/>
        </w:rPr>
        <w:t xml:space="preserve"> </w:t>
      </w:r>
      <w:r w:rsidR="004504AB" w:rsidRPr="00612039">
        <w:rPr>
          <w:rFonts w:ascii="Arial" w:hAnsi="Arial" w:cs="Arial"/>
          <w:spacing w:val="-1"/>
        </w:rPr>
        <w:t>slight</w:t>
      </w:r>
      <w:r w:rsidR="004504AB" w:rsidRPr="00612039">
        <w:rPr>
          <w:rFonts w:ascii="Arial" w:hAnsi="Arial" w:cs="Arial"/>
          <w:spacing w:val="2"/>
        </w:rPr>
        <w:t xml:space="preserve"> </w:t>
      </w:r>
      <w:r w:rsidR="004504AB" w:rsidRPr="00612039">
        <w:rPr>
          <w:rFonts w:ascii="Arial" w:hAnsi="Arial" w:cs="Arial"/>
          <w:spacing w:val="-1"/>
        </w:rPr>
        <w:t>modifications.</w:t>
      </w:r>
      <w:r w:rsidR="004504AB" w:rsidRPr="00612039">
        <w:rPr>
          <w:rFonts w:ascii="Arial" w:hAnsi="Arial" w:cs="Arial"/>
          <w:spacing w:val="2"/>
        </w:rPr>
        <w:t xml:space="preserve"> </w:t>
      </w:r>
      <w:r w:rsidR="004504AB" w:rsidRPr="00612039">
        <w:rPr>
          <w:rFonts w:ascii="Arial" w:hAnsi="Arial" w:cs="Arial"/>
        </w:rPr>
        <w:t>Briefly,</w:t>
      </w:r>
      <w:r w:rsidR="004504AB" w:rsidRPr="00612039">
        <w:rPr>
          <w:rFonts w:ascii="Arial" w:hAnsi="Arial" w:cs="Arial"/>
          <w:spacing w:val="2"/>
        </w:rPr>
        <w:t xml:space="preserve"> </w:t>
      </w:r>
      <w:r w:rsidR="004504AB" w:rsidRPr="00612039">
        <w:rPr>
          <w:rFonts w:ascii="Arial" w:hAnsi="Arial" w:cs="Arial"/>
          <w:spacing w:val="-1"/>
        </w:rPr>
        <w:t>end-repair</w:t>
      </w:r>
      <w:r w:rsidR="004504AB" w:rsidRPr="00612039">
        <w:rPr>
          <w:rFonts w:ascii="Arial" w:hAnsi="Arial" w:cs="Arial"/>
          <w:spacing w:val="38"/>
        </w:rPr>
        <w:t xml:space="preserve"> </w:t>
      </w:r>
      <w:r w:rsidR="004504AB" w:rsidRPr="00612039">
        <w:rPr>
          <w:rFonts w:ascii="Arial" w:hAnsi="Arial" w:cs="Arial"/>
        </w:rPr>
        <w:t>was</w:t>
      </w:r>
      <w:r w:rsidR="004504AB" w:rsidRPr="00612039">
        <w:rPr>
          <w:rFonts w:ascii="Arial" w:hAnsi="Arial" w:cs="Arial"/>
          <w:spacing w:val="38"/>
        </w:rPr>
        <w:t xml:space="preserve"> </w:t>
      </w:r>
      <w:r w:rsidR="004504AB" w:rsidRPr="00612039">
        <w:rPr>
          <w:rFonts w:ascii="Arial" w:hAnsi="Arial" w:cs="Arial"/>
        </w:rPr>
        <w:t>done</w:t>
      </w:r>
      <w:r w:rsidR="004504AB" w:rsidRPr="00612039">
        <w:rPr>
          <w:rFonts w:ascii="Arial" w:hAnsi="Arial" w:cs="Arial"/>
          <w:spacing w:val="38"/>
        </w:rPr>
        <w:t xml:space="preserve"> </w:t>
      </w:r>
      <w:r w:rsidR="004504AB" w:rsidRPr="00612039">
        <w:rPr>
          <w:rFonts w:ascii="Arial" w:hAnsi="Arial" w:cs="Arial"/>
        </w:rPr>
        <w:t>followed</w:t>
      </w:r>
      <w:r w:rsidR="004504AB" w:rsidRPr="00612039">
        <w:rPr>
          <w:rFonts w:ascii="Arial" w:hAnsi="Arial" w:cs="Arial"/>
          <w:spacing w:val="38"/>
        </w:rPr>
        <w:t xml:space="preserve"> </w:t>
      </w:r>
      <w:r w:rsidR="004504AB" w:rsidRPr="00612039">
        <w:rPr>
          <w:rFonts w:ascii="Arial" w:hAnsi="Arial" w:cs="Arial"/>
          <w:spacing w:val="1"/>
        </w:rPr>
        <w:t>by</w:t>
      </w:r>
      <w:r w:rsidR="004504AB" w:rsidRPr="00612039">
        <w:rPr>
          <w:rFonts w:ascii="Arial" w:hAnsi="Arial" w:cs="Arial"/>
          <w:spacing w:val="30"/>
        </w:rPr>
        <w:t xml:space="preserve"> </w:t>
      </w:r>
      <w:proofErr w:type="spellStart"/>
      <w:r w:rsidR="004504AB" w:rsidRPr="00612039">
        <w:rPr>
          <w:rFonts w:ascii="Arial" w:hAnsi="Arial" w:cs="Arial"/>
        </w:rPr>
        <w:t>polyA</w:t>
      </w:r>
      <w:proofErr w:type="spellEnd"/>
      <w:r w:rsidR="004504AB" w:rsidRPr="00612039">
        <w:rPr>
          <w:rFonts w:ascii="Arial" w:hAnsi="Arial" w:cs="Arial"/>
          <w:spacing w:val="40"/>
        </w:rPr>
        <w:t xml:space="preserve"> </w:t>
      </w:r>
      <w:r w:rsidR="004504AB" w:rsidRPr="00612039">
        <w:rPr>
          <w:rFonts w:ascii="Arial" w:hAnsi="Arial" w:cs="Arial"/>
          <w:spacing w:val="-1"/>
        </w:rPr>
        <w:t>addition</w:t>
      </w:r>
      <w:r w:rsidR="004504AB" w:rsidRPr="00612039">
        <w:rPr>
          <w:rFonts w:ascii="Arial" w:hAnsi="Arial" w:cs="Arial"/>
          <w:spacing w:val="38"/>
        </w:rPr>
        <w:t xml:space="preserve"> </w:t>
      </w:r>
      <w:r w:rsidR="004504AB" w:rsidRPr="00612039">
        <w:rPr>
          <w:rFonts w:ascii="Arial" w:hAnsi="Arial" w:cs="Arial"/>
          <w:spacing w:val="-1"/>
        </w:rPr>
        <w:t>and</w:t>
      </w:r>
      <w:r w:rsidR="004504AB" w:rsidRPr="00612039">
        <w:rPr>
          <w:rFonts w:ascii="Arial" w:hAnsi="Arial" w:cs="Arial"/>
          <w:spacing w:val="40"/>
        </w:rPr>
        <w:t xml:space="preserve"> </w:t>
      </w:r>
      <w:r w:rsidR="004504AB" w:rsidRPr="00612039">
        <w:rPr>
          <w:rFonts w:ascii="Arial" w:hAnsi="Arial" w:cs="Arial"/>
          <w:spacing w:val="-1"/>
        </w:rPr>
        <w:t>custom</w:t>
      </w:r>
      <w:r w:rsidR="004504AB" w:rsidRPr="00612039">
        <w:rPr>
          <w:rFonts w:ascii="Arial" w:hAnsi="Arial" w:cs="Arial"/>
          <w:spacing w:val="40"/>
        </w:rPr>
        <w:t xml:space="preserve"> </w:t>
      </w:r>
      <w:r w:rsidR="004504AB" w:rsidRPr="00612039">
        <w:rPr>
          <w:rFonts w:ascii="Arial" w:hAnsi="Arial" w:cs="Arial"/>
          <w:spacing w:val="-1"/>
        </w:rPr>
        <w:t>adapter</w:t>
      </w:r>
      <w:r w:rsidR="004504AB" w:rsidRPr="00612039">
        <w:rPr>
          <w:rFonts w:ascii="Arial" w:hAnsi="Arial" w:cs="Arial"/>
          <w:spacing w:val="36"/>
        </w:rPr>
        <w:t xml:space="preserve"> </w:t>
      </w:r>
      <w:r w:rsidR="004504AB" w:rsidRPr="00612039">
        <w:rPr>
          <w:rFonts w:ascii="Arial" w:hAnsi="Arial" w:cs="Arial"/>
          <w:spacing w:val="-1"/>
        </w:rPr>
        <w:t>ligation</w:t>
      </w:r>
      <w:r w:rsidR="004504AB" w:rsidRPr="00612039">
        <w:rPr>
          <w:rFonts w:ascii="Arial" w:hAnsi="Arial" w:cs="Arial"/>
          <w:i/>
          <w:iCs/>
          <w:spacing w:val="-1"/>
        </w:rPr>
        <w:t>.</w:t>
      </w:r>
      <w:r w:rsidR="004504AB" w:rsidRPr="00612039">
        <w:rPr>
          <w:rFonts w:ascii="Arial" w:hAnsi="Arial" w:cs="Arial"/>
          <w:i/>
          <w:iCs/>
          <w:spacing w:val="38"/>
        </w:rPr>
        <w:t xml:space="preserve"> </w:t>
      </w:r>
      <w:r w:rsidR="004504AB" w:rsidRPr="00612039">
        <w:rPr>
          <w:rFonts w:ascii="Arial" w:hAnsi="Arial" w:cs="Arial"/>
          <w:spacing w:val="-1"/>
        </w:rPr>
        <w:t>Post-</w:t>
      </w:r>
      <w:proofErr w:type="spellStart"/>
      <w:r w:rsidR="004504AB" w:rsidRPr="00612039">
        <w:rPr>
          <w:rFonts w:ascii="Arial" w:hAnsi="Arial" w:cs="Arial"/>
          <w:spacing w:val="-1"/>
        </w:rPr>
        <w:t>ligated</w:t>
      </w:r>
      <w:proofErr w:type="spellEnd"/>
      <w:r w:rsidR="004504AB" w:rsidRPr="00612039">
        <w:rPr>
          <w:rFonts w:ascii="Arial" w:hAnsi="Arial" w:cs="Arial"/>
          <w:spacing w:val="75"/>
        </w:rPr>
        <w:t xml:space="preserve"> </w:t>
      </w:r>
      <w:r w:rsidR="004504AB" w:rsidRPr="00612039">
        <w:rPr>
          <w:rFonts w:ascii="Arial" w:hAnsi="Arial" w:cs="Arial"/>
          <w:spacing w:val="-1"/>
        </w:rPr>
        <w:t>materials</w:t>
      </w:r>
      <w:r w:rsidR="004504AB" w:rsidRPr="00612039">
        <w:rPr>
          <w:rFonts w:ascii="Arial" w:hAnsi="Arial" w:cs="Arial"/>
          <w:spacing w:val="24"/>
        </w:rPr>
        <w:t xml:space="preserve"> </w:t>
      </w:r>
      <w:r w:rsidR="004504AB" w:rsidRPr="00612039">
        <w:rPr>
          <w:rFonts w:ascii="Arial" w:hAnsi="Arial" w:cs="Arial"/>
        </w:rPr>
        <w:t>were</w:t>
      </w:r>
      <w:r w:rsidR="004504AB" w:rsidRPr="00612039">
        <w:rPr>
          <w:rFonts w:ascii="Arial" w:hAnsi="Arial" w:cs="Arial"/>
          <w:spacing w:val="23"/>
        </w:rPr>
        <w:t xml:space="preserve"> </w:t>
      </w:r>
      <w:r w:rsidR="004504AB" w:rsidRPr="00612039">
        <w:rPr>
          <w:rFonts w:ascii="Arial" w:hAnsi="Arial" w:cs="Arial"/>
        </w:rPr>
        <w:t>individually</w:t>
      </w:r>
      <w:r w:rsidR="004504AB" w:rsidRPr="00612039">
        <w:rPr>
          <w:rFonts w:ascii="Arial" w:hAnsi="Arial" w:cs="Arial"/>
          <w:spacing w:val="18"/>
        </w:rPr>
        <w:t xml:space="preserve"> </w:t>
      </w:r>
      <w:r w:rsidR="004504AB" w:rsidRPr="00612039">
        <w:rPr>
          <w:rFonts w:ascii="Arial" w:hAnsi="Arial" w:cs="Arial"/>
          <w:spacing w:val="-1"/>
        </w:rPr>
        <w:t>barcoded</w:t>
      </w:r>
      <w:r w:rsidR="004504AB" w:rsidRPr="00612039">
        <w:rPr>
          <w:rFonts w:ascii="Arial" w:hAnsi="Arial" w:cs="Arial"/>
          <w:spacing w:val="23"/>
        </w:rPr>
        <w:t xml:space="preserve"> </w:t>
      </w:r>
      <w:r w:rsidR="004504AB" w:rsidRPr="00612039">
        <w:rPr>
          <w:rFonts w:ascii="Arial" w:hAnsi="Arial" w:cs="Arial"/>
        </w:rPr>
        <w:t>with</w:t>
      </w:r>
      <w:r w:rsidR="004504AB" w:rsidRPr="00612039">
        <w:rPr>
          <w:rFonts w:ascii="Arial" w:hAnsi="Arial" w:cs="Arial"/>
          <w:spacing w:val="24"/>
        </w:rPr>
        <w:t xml:space="preserve"> </w:t>
      </w:r>
      <w:r w:rsidR="004504AB" w:rsidRPr="00612039">
        <w:rPr>
          <w:rFonts w:ascii="Arial" w:hAnsi="Arial" w:cs="Arial"/>
        </w:rPr>
        <w:t>unique</w:t>
      </w:r>
      <w:r w:rsidR="004504AB" w:rsidRPr="00612039">
        <w:rPr>
          <w:rFonts w:ascii="Arial" w:hAnsi="Arial" w:cs="Arial"/>
          <w:spacing w:val="22"/>
        </w:rPr>
        <w:t xml:space="preserve"> </w:t>
      </w:r>
      <w:r w:rsidR="004504AB" w:rsidRPr="00612039">
        <w:rPr>
          <w:rFonts w:ascii="Arial" w:hAnsi="Arial" w:cs="Arial"/>
        </w:rPr>
        <w:t>in-house</w:t>
      </w:r>
      <w:r w:rsidR="004504AB" w:rsidRPr="00612039">
        <w:rPr>
          <w:rFonts w:ascii="Arial" w:hAnsi="Arial" w:cs="Arial"/>
          <w:spacing w:val="26"/>
        </w:rPr>
        <w:t xml:space="preserve"> </w:t>
      </w:r>
      <w:r w:rsidR="004504AB" w:rsidRPr="00612039">
        <w:rPr>
          <w:rFonts w:ascii="Arial" w:hAnsi="Arial" w:cs="Arial"/>
          <w:spacing w:val="-1"/>
        </w:rPr>
        <w:t>Genomic</w:t>
      </w:r>
      <w:r w:rsidR="004504AB" w:rsidRPr="00612039">
        <w:rPr>
          <w:rFonts w:ascii="Arial" w:hAnsi="Arial" w:cs="Arial"/>
          <w:spacing w:val="24"/>
        </w:rPr>
        <w:t xml:space="preserve"> </w:t>
      </w:r>
      <w:r w:rsidR="004504AB" w:rsidRPr="00612039">
        <w:rPr>
          <w:rFonts w:ascii="Arial" w:hAnsi="Arial" w:cs="Arial"/>
        </w:rPr>
        <w:t>Services</w:t>
      </w:r>
      <w:r w:rsidR="004504AB" w:rsidRPr="00612039">
        <w:rPr>
          <w:rFonts w:ascii="Arial" w:hAnsi="Arial" w:cs="Arial"/>
          <w:spacing w:val="22"/>
        </w:rPr>
        <w:t xml:space="preserve"> </w:t>
      </w:r>
      <w:r w:rsidR="004504AB" w:rsidRPr="00612039">
        <w:rPr>
          <w:rFonts w:ascii="Arial" w:hAnsi="Arial" w:cs="Arial"/>
        </w:rPr>
        <w:t>Lab</w:t>
      </w:r>
      <w:r w:rsidR="004504AB" w:rsidRPr="00612039">
        <w:rPr>
          <w:rFonts w:ascii="Arial" w:hAnsi="Arial" w:cs="Arial"/>
          <w:spacing w:val="23"/>
        </w:rPr>
        <w:t xml:space="preserve"> </w:t>
      </w:r>
      <w:r w:rsidR="004504AB" w:rsidRPr="00612039">
        <w:rPr>
          <w:rFonts w:ascii="Arial" w:hAnsi="Arial" w:cs="Arial"/>
          <w:spacing w:val="-1"/>
        </w:rPr>
        <w:t>(GSL)</w:t>
      </w:r>
      <w:r w:rsidR="004504AB" w:rsidRPr="00612039">
        <w:rPr>
          <w:rFonts w:ascii="Arial" w:hAnsi="Arial" w:cs="Arial"/>
          <w:spacing w:val="56"/>
        </w:rPr>
        <w:t xml:space="preserve"> </w:t>
      </w:r>
      <w:r w:rsidR="004504AB" w:rsidRPr="00612039">
        <w:rPr>
          <w:rFonts w:ascii="Arial" w:hAnsi="Arial" w:cs="Arial"/>
          <w:spacing w:val="-1"/>
        </w:rPr>
        <w:t>primers</w:t>
      </w:r>
      <w:r w:rsidR="004504AB" w:rsidRPr="00612039">
        <w:rPr>
          <w:rFonts w:ascii="Arial" w:hAnsi="Arial" w:cs="Arial"/>
          <w:spacing w:val="23"/>
        </w:rPr>
        <w:t xml:space="preserve"> </w:t>
      </w:r>
      <w:r w:rsidR="004504AB" w:rsidRPr="00612039">
        <w:rPr>
          <w:rFonts w:ascii="Arial" w:hAnsi="Arial" w:cs="Arial"/>
          <w:spacing w:val="-1"/>
        </w:rPr>
        <w:t>and</w:t>
      </w:r>
      <w:r w:rsidR="004504AB" w:rsidRPr="00612039">
        <w:rPr>
          <w:rFonts w:ascii="Arial" w:hAnsi="Arial" w:cs="Arial"/>
          <w:spacing w:val="25"/>
        </w:rPr>
        <w:t xml:space="preserve"> </w:t>
      </w:r>
      <w:r w:rsidR="004504AB" w:rsidRPr="00612039">
        <w:rPr>
          <w:rFonts w:ascii="Arial" w:hAnsi="Arial" w:cs="Arial"/>
          <w:spacing w:val="-1"/>
        </w:rPr>
        <w:t>amplified</w:t>
      </w:r>
      <w:r w:rsidR="004504AB" w:rsidRPr="00612039">
        <w:rPr>
          <w:rFonts w:ascii="Arial" w:hAnsi="Arial" w:cs="Arial"/>
          <w:spacing w:val="23"/>
        </w:rPr>
        <w:t xml:space="preserve"> </w:t>
      </w:r>
      <w:r w:rsidR="004504AB" w:rsidRPr="00612039">
        <w:rPr>
          <w:rFonts w:ascii="Arial" w:hAnsi="Arial" w:cs="Arial"/>
          <w:spacing w:val="-1"/>
        </w:rPr>
        <w:t>through</w:t>
      </w:r>
      <w:r w:rsidR="004504AB" w:rsidRPr="00612039">
        <w:rPr>
          <w:rFonts w:ascii="Arial" w:hAnsi="Arial" w:cs="Arial"/>
          <w:spacing w:val="25"/>
        </w:rPr>
        <w:t xml:space="preserve"> </w:t>
      </w:r>
      <w:r w:rsidR="004504AB" w:rsidRPr="00612039">
        <w:rPr>
          <w:rFonts w:ascii="Arial" w:hAnsi="Arial" w:cs="Arial"/>
        </w:rPr>
        <w:t>12</w:t>
      </w:r>
      <w:r w:rsidR="004504AB" w:rsidRPr="00612039">
        <w:rPr>
          <w:rFonts w:ascii="Arial" w:hAnsi="Arial" w:cs="Arial"/>
          <w:spacing w:val="26"/>
        </w:rPr>
        <w:t xml:space="preserve"> </w:t>
      </w:r>
      <w:r w:rsidR="004504AB" w:rsidRPr="00612039">
        <w:rPr>
          <w:rFonts w:ascii="Arial" w:hAnsi="Arial" w:cs="Arial"/>
          <w:spacing w:val="-1"/>
        </w:rPr>
        <w:t>cycles</w:t>
      </w:r>
      <w:r w:rsidR="004504AB" w:rsidRPr="00612039">
        <w:rPr>
          <w:rFonts w:ascii="Arial" w:hAnsi="Arial" w:cs="Arial"/>
          <w:spacing w:val="25"/>
        </w:rPr>
        <w:t xml:space="preserve"> </w:t>
      </w:r>
      <w:r w:rsidR="004504AB" w:rsidRPr="00612039">
        <w:rPr>
          <w:rFonts w:ascii="Arial" w:hAnsi="Arial" w:cs="Arial"/>
        </w:rPr>
        <w:t>of</w:t>
      </w:r>
      <w:r w:rsidR="004504AB" w:rsidRPr="00612039">
        <w:rPr>
          <w:rFonts w:ascii="Arial" w:hAnsi="Arial" w:cs="Arial"/>
          <w:spacing w:val="23"/>
        </w:rPr>
        <w:t xml:space="preserve"> </w:t>
      </w:r>
      <w:r w:rsidR="004504AB" w:rsidRPr="00612039">
        <w:rPr>
          <w:rFonts w:ascii="Arial" w:hAnsi="Arial" w:cs="Arial"/>
        </w:rPr>
        <w:t>PCR</w:t>
      </w:r>
      <w:r w:rsidR="004504AB" w:rsidRPr="00612039">
        <w:rPr>
          <w:rFonts w:ascii="Arial" w:hAnsi="Arial" w:cs="Arial"/>
          <w:spacing w:val="5"/>
        </w:rPr>
        <w:t xml:space="preserve">. </w:t>
      </w:r>
      <w:r w:rsidR="004504AB" w:rsidRPr="00612039">
        <w:rPr>
          <w:rFonts w:ascii="Arial" w:hAnsi="Arial" w:cs="Arial"/>
          <w:color w:val="000000"/>
        </w:rPr>
        <w:t xml:space="preserve">Library quantity was assessed by </w:t>
      </w:r>
      <w:proofErr w:type="spellStart"/>
      <w:r w:rsidR="004504AB" w:rsidRPr="00612039">
        <w:rPr>
          <w:rFonts w:ascii="Arial" w:hAnsi="Arial" w:cs="Arial"/>
          <w:color w:val="000000"/>
        </w:rPr>
        <w:t>Qubit</w:t>
      </w:r>
      <w:proofErr w:type="spellEnd"/>
      <w:r w:rsidR="004504AB" w:rsidRPr="00612039">
        <w:rPr>
          <w:rFonts w:ascii="Arial" w:hAnsi="Arial" w:cs="Arial"/>
          <w:color w:val="000000"/>
        </w:rPr>
        <w:t xml:space="preserve"> 2.0 </w:t>
      </w:r>
      <w:proofErr w:type="spellStart"/>
      <w:r w:rsidR="004504AB" w:rsidRPr="00612039">
        <w:rPr>
          <w:rFonts w:ascii="Arial" w:hAnsi="Arial" w:cs="Arial"/>
          <w:color w:val="000000"/>
        </w:rPr>
        <w:t>Fluorometer</w:t>
      </w:r>
      <w:proofErr w:type="spellEnd"/>
      <w:r w:rsidR="004504AB" w:rsidRPr="00612039">
        <w:rPr>
          <w:rFonts w:ascii="Arial" w:hAnsi="Arial" w:cs="Arial"/>
          <w:color w:val="000000"/>
        </w:rPr>
        <w:t xml:space="preserve">, and the library quality was estimated by utilizing a DNA High Sense chip on an Caliper </w:t>
      </w:r>
      <w:proofErr w:type="spellStart"/>
      <w:r w:rsidR="00612039" w:rsidRPr="00612039">
        <w:rPr>
          <w:rFonts w:ascii="Arial" w:hAnsi="Arial" w:cs="Arial"/>
          <w:color w:val="000000"/>
        </w:rPr>
        <w:t>Gx</w:t>
      </w:r>
      <w:proofErr w:type="spellEnd"/>
      <w:r w:rsidR="00612039" w:rsidRPr="00612039">
        <w:rPr>
          <w:rFonts w:ascii="Arial" w:hAnsi="Arial" w:cs="Arial"/>
          <w:color w:val="000000"/>
        </w:rPr>
        <w:t xml:space="preserve"> (Perkin Elmer)</w:t>
      </w:r>
      <w:r w:rsidR="004504AB" w:rsidRPr="00612039">
        <w:rPr>
          <w:rFonts w:ascii="Arial" w:hAnsi="Arial" w:cs="Arial"/>
          <w:color w:val="000000"/>
        </w:rPr>
        <w:t xml:space="preserve">. </w:t>
      </w:r>
      <w:r w:rsidR="004504AB" w:rsidRPr="00612039">
        <w:rPr>
          <w:rFonts w:ascii="Arial" w:eastAsia="Times New Roman" w:hAnsi="Arial" w:cs="Arial"/>
          <w:shd w:val="clear" w:color="auto" w:fill="FFFFFF"/>
        </w:rPr>
        <w:t xml:space="preserve">Accurate quantification of the final libraries for sequencing applications was determined using the </w:t>
      </w:r>
      <w:proofErr w:type="spellStart"/>
      <w:r w:rsidR="004504AB" w:rsidRPr="00612039">
        <w:rPr>
          <w:rFonts w:ascii="Arial" w:eastAsia="Times New Roman" w:hAnsi="Arial" w:cs="Arial"/>
          <w:shd w:val="clear" w:color="auto" w:fill="FFFFFF"/>
        </w:rPr>
        <w:t>qPCR</w:t>
      </w:r>
      <w:proofErr w:type="spellEnd"/>
      <w:r w:rsidR="004504AB" w:rsidRPr="00612039">
        <w:rPr>
          <w:rFonts w:ascii="Arial" w:eastAsia="Times New Roman" w:hAnsi="Arial" w:cs="Arial"/>
          <w:shd w:val="clear" w:color="auto" w:fill="FFFFFF"/>
        </w:rPr>
        <w:t xml:space="preserve">-based KAPA </w:t>
      </w:r>
      <w:proofErr w:type="spellStart"/>
      <w:r w:rsidR="004504AB" w:rsidRPr="00612039">
        <w:rPr>
          <w:rFonts w:ascii="Arial" w:eastAsia="Times New Roman" w:hAnsi="Arial" w:cs="Arial"/>
          <w:shd w:val="clear" w:color="auto" w:fill="FFFFFF"/>
        </w:rPr>
        <w:t>Biosystems</w:t>
      </w:r>
      <w:proofErr w:type="spellEnd"/>
      <w:r w:rsidR="004504AB" w:rsidRPr="00612039">
        <w:rPr>
          <w:rFonts w:ascii="Arial" w:eastAsia="Times New Roman" w:hAnsi="Arial" w:cs="Arial"/>
          <w:shd w:val="clear" w:color="auto" w:fill="FFFFFF"/>
        </w:rPr>
        <w:t xml:space="preserve"> Library Quantification kit (</w:t>
      </w:r>
      <w:proofErr w:type="spellStart"/>
      <w:r w:rsidR="004504AB" w:rsidRPr="00612039">
        <w:rPr>
          <w:rFonts w:ascii="Arial" w:eastAsia="Times New Roman" w:hAnsi="Arial" w:cs="Arial"/>
          <w:shd w:val="clear" w:color="auto" w:fill="FFFFFF"/>
        </w:rPr>
        <w:t>Kapa</w:t>
      </w:r>
      <w:proofErr w:type="spellEnd"/>
      <w:r w:rsidR="004504AB" w:rsidRPr="00612039">
        <w:rPr>
          <w:rFonts w:ascii="Arial" w:eastAsia="Times New Roman" w:hAnsi="Arial" w:cs="Arial"/>
          <w:shd w:val="clear" w:color="auto" w:fill="FFFFFF"/>
        </w:rPr>
        <w:t xml:space="preserve"> </w:t>
      </w:r>
      <w:proofErr w:type="spellStart"/>
      <w:r w:rsidR="004504AB" w:rsidRPr="00612039">
        <w:rPr>
          <w:rFonts w:ascii="Arial" w:eastAsia="Times New Roman" w:hAnsi="Arial" w:cs="Arial"/>
          <w:shd w:val="clear" w:color="auto" w:fill="FFFFFF"/>
        </w:rPr>
        <w:t>Biosystems</w:t>
      </w:r>
      <w:proofErr w:type="spellEnd"/>
      <w:r w:rsidR="004504AB" w:rsidRPr="00612039">
        <w:rPr>
          <w:rFonts w:ascii="Arial" w:eastAsia="Times New Roman" w:hAnsi="Arial" w:cs="Arial"/>
          <w:shd w:val="clear" w:color="auto" w:fill="FFFFFF"/>
        </w:rPr>
        <w:t>, Inc., Woburn, MA).</w:t>
      </w:r>
      <w:r w:rsidR="004504AB" w:rsidRPr="00612039">
        <w:rPr>
          <w:rFonts w:ascii="Arial" w:eastAsia="Times New Roman" w:hAnsi="Arial" w:cs="Arial"/>
        </w:rPr>
        <w:t> </w:t>
      </w:r>
      <w:r w:rsidR="004504AB" w:rsidRPr="00612039">
        <w:rPr>
          <w:rFonts w:ascii="Arial" w:hAnsi="Arial" w:cs="Arial"/>
          <w:color w:val="000000"/>
        </w:rPr>
        <w:t xml:space="preserve">Each library was diluted to a final concentration of 12.5nM and pooled </w:t>
      </w:r>
      <w:proofErr w:type="spellStart"/>
      <w:r w:rsidR="004504AB" w:rsidRPr="00612039">
        <w:rPr>
          <w:rFonts w:ascii="Arial" w:hAnsi="Arial" w:cs="Arial"/>
          <w:color w:val="000000"/>
        </w:rPr>
        <w:t>equimolar</w:t>
      </w:r>
      <w:proofErr w:type="spellEnd"/>
      <w:r w:rsidR="004504AB" w:rsidRPr="00612039">
        <w:rPr>
          <w:rFonts w:ascii="Arial" w:hAnsi="Arial" w:cs="Arial"/>
          <w:color w:val="000000"/>
        </w:rPr>
        <w:t xml:space="preserve"> prior to clustering. Paired-End (PE) sequencing  was performed on an Illumina HiSeq2500 sequencer (Illumina, Inc.). </w:t>
      </w:r>
    </w:p>
    <w:p w:rsidR="00612039" w:rsidRPr="00612039" w:rsidRDefault="00612039" w:rsidP="0017408D">
      <w:pPr>
        <w:shd w:val="clear" w:color="auto" w:fill="FFFFFF"/>
        <w:spacing w:line="360" w:lineRule="auto"/>
        <w:rPr>
          <w:rFonts w:ascii="Arial" w:eastAsia="Times New Roman" w:hAnsi="Arial" w:cs="Arial"/>
          <w:b/>
          <w:bCs/>
        </w:rPr>
      </w:pPr>
    </w:p>
    <w:p w:rsidR="00FE185E" w:rsidRPr="00612039" w:rsidRDefault="00FE185E" w:rsidP="0017408D">
      <w:pPr>
        <w:shd w:val="clear" w:color="auto" w:fill="FFFFFF"/>
        <w:spacing w:line="360" w:lineRule="auto"/>
        <w:rPr>
          <w:rFonts w:ascii="Arial" w:eastAsia="Times New Roman" w:hAnsi="Arial" w:cs="Arial"/>
        </w:rPr>
      </w:pPr>
      <w:r w:rsidRPr="00612039">
        <w:rPr>
          <w:rFonts w:ascii="Arial" w:eastAsia="Times New Roman" w:hAnsi="Arial" w:cs="Arial"/>
          <w:b/>
          <w:bCs/>
        </w:rPr>
        <w:t>Processing of RNA-</w:t>
      </w:r>
      <w:proofErr w:type="spellStart"/>
      <w:r w:rsidRPr="00612039">
        <w:rPr>
          <w:rFonts w:ascii="Arial" w:eastAsia="Times New Roman" w:hAnsi="Arial" w:cs="Arial"/>
          <w:b/>
          <w:bCs/>
        </w:rPr>
        <w:t>seq</w:t>
      </w:r>
      <w:proofErr w:type="spellEnd"/>
      <w:r w:rsidRPr="00612039">
        <w:rPr>
          <w:rFonts w:ascii="Arial" w:eastAsia="Times New Roman" w:hAnsi="Arial" w:cs="Arial"/>
          <w:b/>
          <w:bCs/>
        </w:rPr>
        <w:t xml:space="preserve"> Reads</w:t>
      </w:r>
    </w:p>
    <w:p w:rsidR="00FE185E" w:rsidRPr="00612039" w:rsidRDefault="00FE185E" w:rsidP="0017408D">
      <w:pPr>
        <w:shd w:val="clear" w:color="auto" w:fill="FFFFFF"/>
        <w:spacing w:line="360" w:lineRule="auto"/>
        <w:jc w:val="both"/>
        <w:rPr>
          <w:rFonts w:ascii="Arial" w:eastAsia="Times New Roman" w:hAnsi="Arial" w:cs="Arial"/>
        </w:rPr>
      </w:pPr>
      <w:r w:rsidRPr="00612039">
        <w:rPr>
          <w:rFonts w:ascii="Arial" w:eastAsia="Times New Roman" w:hAnsi="Arial" w:cs="Arial"/>
        </w:rPr>
        <w:tab/>
        <w:t xml:space="preserve">Approximately </w:t>
      </w:r>
      <w:r w:rsidR="00612039" w:rsidRPr="00612039">
        <w:rPr>
          <w:rFonts w:ascii="Arial" w:eastAsia="Times New Roman" w:hAnsi="Arial" w:cs="Arial"/>
        </w:rPr>
        <w:t>25</w:t>
      </w:r>
      <w:r w:rsidRPr="00612039">
        <w:rPr>
          <w:rFonts w:ascii="Arial" w:eastAsia="Times New Roman" w:hAnsi="Arial" w:cs="Arial"/>
        </w:rPr>
        <w:t xml:space="preserve"> million, 100bp, PE reads were generated from each sample. Further downstream analysis of the sequenced reads from each sample was performed as per our unique in-house pipeline. Briefly, q</w:t>
      </w:r>
      <w:r w:rsidRPr="00612039">
        <w:rPr>
          <w:rFonts w:ascii="Arial" w:eastAsia="Times New Roman" w:hAnsi="Arial" w:cs="Arial"/>
          <w:shd w:val="clear" w:color="auto" w:fill="FFFFFF"/>
        </w:rPr>
        <w:t>uality control checks on raw sequence data</w:t>
      </w:r>
      <w:r w:rsidRPr="00612039">
        <w:rPr>
          <w:rFonts w:ascii="Arial" w:eastAsia="Times New Roman" w:hAnsi="Arial" w:cs="Arial"/>
        </w:rPr>
        <w:t xml:space="preserve"> from each sample will be performed using </w:t>
      </w:r>
      <w:proofErr w:type="spellStart"/>
      <w:r w:rsidRPr="00612039">
        <w:rPr>
          <w:rFonts w:ascii="Arial" w:eastAsia="Times New Roman" w:hAnsi="Arial" w:cs="Arial"/>
        </w:rPr>
        <w:t>FastQC</w:t>
      </w:r>
      <w:proofErr w:type="spellEnd"/>
      <w:r w:rsidRPr="00612039">
        <w:rPr>
          <w:rFonts w:ascii="Arial" w:eastAsia="Times New Roman" w:hAnsi="Arial" w:cs="Arial"/>
        </w:rPr>
        <w:t xml:space="preserve"> (</w:t>
      </w:r>
      <w:proofErr w:type="spellStart"/>
      <w:r w:rsidRPr="00612039">
        <w:rPr>
          <w:rFonts w:ascii="Arial" w:eastAsia="Times New Roman" w:hAnsi="Arial" w:cs="Arial"/>
        </w:rPr>
        <w:t>Babraham</w:t>
      </w:r>
      <w:proofErr w:type="spellEnd"/>
      <w:r w:rsidRPr="00612039">
        <w:rPr>
          <w:rFonts w:ascii="Arial" w:eastAsia="Times New Roman" w:hAnsi="Arial" w:cs="Arial"/>
        </w:rPr>
        <w:t xml:space="preserve"> Bioinformatics, London, UK). Raw reads were </w:t>
      </w:r>
      <w:r w:rsidR="00612039" w:rsidRPr="00612039">
        <w:rPr>
          <w:rFonts w:ascii="Arial" w:eastAsia="Times New Roman" w:hAnsi="Arial" w:cs="Arial"/>
        </w:rPr>
        <w:t xml:space="preserve">imported onto the commercial data </w:t>
      </w:r>
      <w:r w:rsidR="00612039" w:rsidRPr="00612039">
        <w:rPr>
          <w:rFonts w:ascii="Arial" w:eastAsia="Times New Roman" w:hAnsi="Arial" w:cs="Arial"/>
        </w:rPr>
        <w:lastRenderedPageBreak/>
        <w:t xml:space="preserve">analysis platform, </w:t>
      </w:r>
      <w:proofErr w:type="spellStart"/>
      <w:r w:rsidR="00612039" w:rsidRPr="00612039">
        <w:rPr>
          <w:rFonts w:ascii="Arial" w:eastAsia="Times New Roman" w:hAnsi="Arial" w:cs="Arial"/>
        </w:rPr>
        <w:t>Avadis</w:t>
      </w:r>
      <w:proofErr w:type="spellEnd"/>
      <w:r w:rsidR="00612039" w:rsidRPr="00612039">
        <w:rPr>
          <w:rFonts w:ascii="Arial" w:eastAsia="Times New Roman" w:hAnsi="Arial" w:cs="Arial"/>
        </w:rPr>
        <w:t xml:space="preserve"> NGS (Strand Scientifics, CA, USA) and </w:t>
      </w:r>
      <w:r w:rsidRPr="00612039">
        <w:rPr>
          <w:rFonts w:ascii="Arial" w:eastAsia="Times New Roman" w:hAnsi="Arial" w:cs="Arial"/>
        </w:rPr>
        <w:t xml:space="preserve">mapped to the reference </w:t>
      </w:r>
      <w:proofErr w:type="spellStart"/>
      <w:r w:rsidR="00612039" w:rsidRPr="00612039">
        <w:rPr>
          <w:rFonts w:ascii="Arial" w:eastAsia="Times New Roman" w:hAnsi="Arial" w:cs="Arial"/>
          <w:i/>
        </w:rPr>
        <w:t>Acinetobacter</w:t>
      </w:r>
      <w:proofErr w:type="spellEnd"/>
      <w:r w:rsidR="00612039" w:rsidRPr="00612039">
        <w:rPr>
          <w:rFonts w:ascii="Arial" w:eastAsia="Times New Roman" w:hAnsi="Arial" w:cs="Arial"/>
          <w:i/>
        </w:rPr>
        <w:t xml:space="preserve"> </w:t>
      </w:r>
      <w:proofErr w:type="spellStart"/>
      <w:r w:rsidR="00612039" w:rsidRPr="00612039">
        <w:rPr>
          <w:rFonts w:ascii="Arial" w:eastAsia="Times New Roman" w:hAnsi="Arial" w:cs="Arial"/>
          <w:i/>
        </w:rPr>
        <w:t>baumannii</w:t>
      </w:r>
      <w:proofErr w:type="spellEnd"/>
      <w:r w:rsidR="00612039" w:rsidRPr="00612039">
        <w:rPr>
          <w:rFonts w:ascii="Arial" w:eastAsia="Times New Roman" w:hAnsi="Arial" w:cs="Arial"/>
        </w:rPr>
        <w:t xml:space="preserve"> ATCC17978</w:t>
      </w:r>
      <w:r w:rsidR="00612039">
        <w:rPr>
          <w:rFonts w:ascii="Arial" w:eastAsia="Times New Roman" w:hAnsi="Arial" w:cs="Arial"/>
        </w:rPr>
        <w:t xml:space="preserve">. </w:t>
      </w:r>
      <w:r w:rsidRPr="00612039">
        <w:rPr>
          <w:rFonts w:ascii="Arial" w:eastAsia="Times New Roman" w:hAnsi="Arial" w:cs="Arial"/>
        </w:rPr>
        <w:t xml:space="preserve">After quality inspection, the aligned reads were filtered on the basis of read quality metrics where reads with a base quality score less than 30, alignment score less than 95, and mapping quality less than 40 were removed. Remaining reads were then filtered on the basis of their read statistics, where missing mates, </w:t>
      </w:r>
      <w:proofErr w:type="spellStart"/>
      <w:r w:rsidRPr="00612039">
        <w:rPr>
          <w:rFonts w:ascii="Arial" w:eastAsia="Times New Roman" w:hAnsi="Arial" w:cs="Arial"/>
        </w:rPr>
        <w:t>translocated</w:t>
      </w:r>
      <w:proofErr w:type="spellEnd"/>
      <w:r w:rsidRPr="00612039">
        <w:rPr>
          <w:rFonts w:ascii="Arial" w:eastAsia="Times New Roman" w:hAnsi="Arial" w:cs="Arial"/>
        </w:rPr>
        <w:t xml:space="preserve">, unaligned and flipped reads were removed. The reads list was then filtered to remove duplicates. </w:t>
      </w:r>
      <w:r w:rsidRPr="00612039">
        <w:rPr>
          <w:rFonts w:ascii="Arial" w:hAnsi="Arial" w:cs="Arial"/>
        </w:rPr>
        <w:t xml:space="preserve">Samples were grouped and quantification of transcript abundance was done on this final read list using </w:t>
      </w:r>
      <w:r w:rsidRPr="00612039">
        <w:rPr>
          <w:rFonts w:ascii="Arial" w:eastAsia="Times New Roman" w:hAnsi="Arial" w:cs="Arial"/>
        </w:rPr>
        <w:t xml:space="preserve">Trimmed Means of M-values (TMM) </w:t>
      </w:r>
      <w:r w:rsidR="00234106" w:rsidRPr="00612039">
        <w:rPr>
          <w:rFonts w:ascii="Arial" w:eastAsia="Times New Roman" w:hAnsi="Arial" w:cs="Arial"/>
        </w:rPr>
        <w:fldChar w:fldCharType="begin" w:fldLock="1"/>
      </w:r>
      <w:r w:rsidRPr="00612039">
        <w:rPr>
          <w:rFonts w:ascii="Arial" w:eastAsia="Times New Roman" w:hAnsi="Arial" w:cs="Arial"/>
        </w:rPr>
        <w:instrText>ADDIN CSL_CITATION { "citationItems" : [ { "id" : "ITEM-1", "itemData" : { "DOI" : "10.1186/gb-2010-11-3-r25", "ISSN" : "1465-6914", "PMID" : "20196867", "abstract" : "The fine detail provided by sequencing-based transcriptome surveys suggests that RNA-seq is likely to become the platform of choice for interrogating steady state RNA. In order to discover biologically important changes in expression, we show that normalization continues to be an essential step in the analysis. We outline a simple and effective method for performing normalization and show dramatically improved results for inferring differential expression in simulated and publicly available data sets.", "author" : [ { "dropping-particle" : "", "family" : "Robinson", "given" : "Mark D", "non-dropping-particle" : "", "parse-names" : false, "suffix" : "" }, { "dropping-particle" : "", "family" : "Oshlack", "given" : "Alicia", "non-dropping-particle" : "", "parse-names" : false, "suffix" : "" } ], "container-title" : "Genome biology", "id" : "ITEM-1", "issue" : "3", "issued" : { "date-parts" : [ [ "2010", "1" ] ] }, "page" : "R25", "title" : "A scaling normalization method for differential expression analysis of RNA-seq data.", "type" : "article-journal", "volume" : "11" }, "uris" : [ "http://www.mendeley.com/documents/?uuid=8efe34e5-86b0-48df-946a-91a9617f3dcf" ] } ], "mendeley" : { "formattedCitation" : "(Robinson and Oshlack 2010)", "plainTextFormattedCitation" : "(Robinson and Oshlack 2010)", "previouslyFormattedCitation" : "(Robinson &amp; Oshlack, 2010)" }, "properties" : { "noteIndex" : 0 }, "schema" : "https://github.com/citation-style-language/schema/raw/master/csl-citation.json" }</w:instrText>
      </w:r>
      <w:r w:rsidR="00234106" w:rsidRPr="00612039">
        <w:rPr>
          <w:rFonts w:ascii="Arial" w:eastAsia="Times New Roman" w:hAnsi="Arial" w:cs="Arial"/>
        </w:rPr>
        <w:fldChar w:fldCharType="separate"/>
      </w:r>
      <w:r w:rsidRPr="00612039">
        <w:rPr>
          <w:rFonts w:ascii="Arial" w:eastAsia="Times New Roman" w:hAnsi="Arial" w:cs="Arial"/>
          <w:noProof/>
        </w:rPr>
        <w:t>(Robinson and Oshlack 2010)</w:t>
      </w:r>
      <w:r w:rsidR="00234106" w:rsidRPr="00612039">
        <w:rPr>
          <w:rFonts w:ascii="Arial" w:eastAsia="Times New Roman" w:hAnsi="Arial" w:cs="Arial"/>
        </w:rPr>
        <w:fldChar w:fldCharType="end"/>
      </w:r>
      <w:r w:rsidRPr="00612039">
        <w:rPr>
          <w:rFonts w:ascii="Arial" w:eastAsia="Times New Roman" w:hAnsi="Arial" w:cs="Arial"/>
        </w:rPr>
        <w:t xml:space="preserve"> as the normalization method. Differential expression of genes was calculated on the basis of fold change (using default cut-off ≥ ±2.0) observed between defined conditions, and the </w:t>
      </w:r>
      <w:r w:rsidRPr="00612039">
        <w:rPr>
          <w:rFonts w:ascii="Arial" w:eastAsia="Times New Roman" w:hAnsi="Arial" w:cs="Arial"/>
          <w:i/>
        </w:rPr>
        <w:t>p-value</w:t>
      </w:r>
      <w:r w:rsidRPr="00612039">
        <w:rPr>
          <w:rFonts w:ascii="Arial" w:eastAsia="Times New Roman" w:hAnsi="Arial" w:cs="Arial"/>
        </w:rPr>
        <w:t xml:space="preserve"> of the differentially expressed gene list was  estimated by </w:t>
      </w:r>
      <w:r w:rsidRPr="00612039">
        <w:rPr>
          <w:rFonts w:ascii="Arial" w:eastAsia="Times New Roman" w:hAnsi="Arial" w:cs="Arial"/>
          <w:i/>
        </w:rPr>
        <w:t>z-score</w:t>
      </w:r>
      <w:r w:rsidRPr="00612039">
        <w:rPr>
          <w:rFonts w:ascii="Arial" w:eastAsia="Times New Roman" w:hAnsi="Arial" w:cs="Arial"/>
        </w:rPr>
        <w:t xml:space="preserve"> calculations using determined by </w:t>
      </w:r>
      <w:proofErr w:type="spellStart"/>
      <w:r w:rsidRPr="00612039">
        <w:rPr>
          <w:rFonts w:ascii="Arial" w:eastAsia="Times New Roman" w:hAnsi="Arial" w:cs="Arial"/>
        </w:rPr>
        <w:t>Benjamini</w:t>
      </w:r>
      <w:proofErr w:type="spellEnd"/>
      <w:r w:rsidRPr="00612039">
        <w:rPr>
          <w:rFonts w:ascii="Arial" w:eastAsia="Times New Roman" w:hAnsi="Arial" w:cs="Arial"/>
        </w:rPr>
        <w:t xml:space="preserve"> Hochberg FDR correction of 0.05</w:t>
      </w:r>
      <w:r w:rsidR="00612039">
        <w:rPr>
          <w:rFonts w:ascii="Arial" w:eastAsia="Times New Roman" w:hAnsi="Arial" w:cs="Arial"/>
        </w:rPr>
        <w:t>.</w:t>
      </w:r>
    </w:p>
    <w:p w:rsidR="00FE185E" w:rsidRPr="00612039" w:rsidRDefault="00234106" w:rsidP="00FE185E">
      <w:pPr>
        <w:pStyle w:val="NormalWeb"/>
        <w:rPr>
          <w:rFonts w:ascii="Arial" w:hAnsi="Arial" w:cs="Arial"/>
          <w:noProof/>
        </w:rPr>
      </w:pPr>
      <w:r w:rsidRPr="00612039">
        <w:rPr>
          <w:rFonts w:ascii="Arial" w:hAnsi="Arial" w:cs="Arial"/>
        </w:rPr>
        <w:fldChar w:fldCharType="begin" w:fldLock="1"/>
      </w:r>
      <w:r w:rsidR="00FE185E" w:rsidRPr="00612039">
        <w:rPr>
          <w:rFonts w:ascii="Arial" w:hAnsi="Arial" w:cs="Arial"/>
        </w:rPr>
        <w:instrText xml:space="preserve">ADDIN Mendeley Bibliography CSL_BIBLIOGRAPHY </w:instrText>
      </w:r>
      <w:r w:rsidRPr="00612039">
        <w:rPr>
          <w:rFonts w:ascii="Arial" w:hAnsi="Arial" w:cs="Arial"/>
        </w:rPr>
        <w:fldChar w:fldCharType="separate"/>
      </w:r>
      <w:r w:rsidR="00FE185E" w:rsidRPr="00612039">
        <w:rPr>
          <w:rFonts w:ascii="Arial" w:hAnsi="Arial" w:cs="Arial"/>
          <w:noProof/>
        </w:rPr>
        <w:t>Benjamini Y, Hochberg Y. 1995. Controlling the false discovery rate: a practical and powerful approach to multiple testing. Journal of the Royal Statistical Society. Series B … 57:289–300.</w:t>
      </w:r>
    </w:p>
    <w:p w:rsidR="00FE185E" w:rsidRPr="00612039" w:rsidRDefault="00FE185E" w:rsidP="00FE185E">
      <w:pPr>
        <w:pStyle w:val="NormalWeb"/>
        <w:rPr>
          <w:rFonts w:ascii="Arial" w:hAnsi="Arial" w:cs="Arial"/>
          <w:noProof/>
        </w:rPr>
      </w:pPr>
      <w:r w:rsidRPr="00612039">
        <w:rPr>
          <w:rFonts w:ascii="Arial" w:hAnsi="Arial" w:cs="Arial"/>
          <w:noProof/>
        </w:rPr>
        <w:t>Li H, Handsaker B, Wysoker A, Fennell T, Ruan J, Homer N, Marth G, Abecasis G, Durbin R. 2009. The Sequence Alignment/Map format and SAMtools. Bioinformatics (Oxford, England) 25:2078–9.</w:t>
      </w:r>
    </w:p>
    <w:p w:rsidR="00FE185E" w:rsidRPr="00612039" w:rsidRDefault="00FE185E" w:rsidP="00FE185E">
      <w:pPr>
        <w:pStyle w:val="NormalWeb"/>
        <w:rPr>
          <w:rFonts w:ascii="Arial" w:hAnsi="Arial" w:cs="Arial"/>
          <w:noProof/>
        </w:rPr>
      </w:pPr>
      <w:r w:rsidRPr="00612039">
        <w:rPr>
          <w:rFonts w:ascii="Arial" w:hAnsi="Arial" w:cs="Arial"/>
          <w:noProof/>
        </w:rPr>
        <w:t>Robinson MD, Oshlack A. 2010. A scaling normalization method for differential expression analysis of RNA-seq data. Genome biology 11:R25.</w:t>
      </w:r>
    </w:p>
    <w:p w:rsidR="00FE185E" w:rsidRPr="00612039" w:rsidRDefault="00FE185E" w:rsidP="00FE185E">
      <w:pPr>
        <w:pStyle w:val="NormalWeb"/>
        <w:rPr>
          <w:rFonts w:ascii="Arial" w:hAnsi="Arial" w:cs="Arial"/>
          <w:noProof/>
        </w:rPr>
      </w:pPr>
      <w:r w:rsidRPr="00612039">
        <w:rPr>
          <w:rFonts w:ascii="Arial" w:hAnsi="Arial" w:cs="Arial"/>
          <w:noProof/>
        </w:rPr>
        <w:t xml:space="preserve">Trapnell C, Pachter L, Salzberg SL. 2009. TopHat: discovering splice junctions with RNA-Seq. Bioinformatics (Oxford, England) 25:1105–11. </w:t>
      </w:r>
    </w:p>
    <w:p w:rsidR="00FE185E" w:rsidRPr="00612039" w:rsidRDefault="00234106" w:rsidP="00FE185E">
      <w:pPr>
        <w:spacing w:line="480" w:lineRule="auto"/>
        <w:ind w:firstLine="720"/>
        <w:jc w:val="both"/>
        <w:rPr>
          <w:rFonts w:ascii="Arial" w:hAnsi="Arial" w:cs="Arial"/>
        </w:rPr>
      </w:pPr>
      <w:r w:rsidRPr="00612039">
        <w:rPr>
          <w:rFonts w:ascii="Arial" w:hAnsi="Arial" w:cs="Arial"/>
        </w:rPr>
        <w:fldChar w:fldCharType="end"/>
      </w:r>
    </w:p>
    <w:sectPr w:rsidR="00FE185E" w:rsidRPr="00612039" w:rsidSect="003C1D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713C09"/>
    <w:rsid w:val="000B27D9"/>
    <w:rsid w:val="0017408D"/>
    <w:rsid w:val="00234106"/>
    <w:rsid w:val="00236EE8"/>
    <w:rsid w:val="002801E1"/>
    <w:rsid w:val="00343680"/>
    <w:rsid w:val="003C1D18"/>
    <w:rsid w:val="00412615"/>
    <w:rsid w:val="00443DB6"/>
    <w:rsid w:val="004504AB"/>
    <w:rsid w:val="00453816"/>
    <w:rsid w:val="00455C69"/>
    <w:rsid w:val="004708A0"/>
    <w:rsid w:val="004B3DAA"/>
    <w:rsid w:val="00612039"/>
    <w:rsid w:val="006328C6"/>
    <w:rsid w:val="00646436"/>
    <w:rsid w:val="00713C09"/>
    <w:rsid w:val="007232E2"/>
    <w:rsid w:val="0077722E"/>
    <w:rsid w:val="007D1A74"/>
    <w:rsid w:val="00832941"/>
    <w:rsid w:val="008C3EC1"/>
    <w:rsid w:val="00A850B7"/>
    <w:rsid w:val="00B155AA"/>
    <w:rsid w:val="00C04AE3"/>
    <w:rsid w:val="00C575FB"/>
    <w:rsid w:val="00D003CB"/>
    <w:rsid w:val="00E83CCF"/>
    <w:rsid w:val="00F17237"/>
    <w:rsid w:val="00FE1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C09"/>
    <w:pPr>
      <w:spacing w:after="0" w:line="240" w:lineRule="auto"/>
    </w:pPr>
    <w:rPr>
      <w:rFonts w:ascii="Times New Roman"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13C09"/>
    <w:pPr>
      <w:widowControl w:val="0"/>
      <w:autoSpaceDE w:val="0"/>
      <w:autoSpaceDN w:val="0"/>
      <w:adjustRightInd w:val="0"/>
      <w:ind w:left="440"/>
    </w:pPr>
    <w:rPr>
      <w:rFonts w:eastAsiaTheme="minorEastAsia"/>
      <w:lang w:eastAsia="en-US"/>
    </w:rPr>
  </w:style>
  <w:style w:type="character" w:customStyle="1" w:styleId="BodyTextChar">
    <w:name w:val="Body Text Char"/>
    <w:basedOn w:val="DefaultParagraphFont"/>
    <w:link w:val="BodyText"/>
    <w:uiPriority w:val="1"/>
    <w:rsid w:val="00713C09"/>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FE185E"/>
    <w:pPr>
      <w:spacing w:before="100" w:beforeAutospacing="1" w:after="100" w:afterAutospacing="1"/>
    </w:pPr>
    <w:rPr>
      <w:rFonts w:eastAsiaTheme="minorEastAsia"/>
      <w:lang w:eastAsia="en-US"/>
    </w:rPr>
  </w:style>
</w:styles>
</file>

<file path=word/webSettings.xml><?xml version="1.0" encoding="utf-8"?>
<w:webSettings xmlns:r="http://schemas.openxmlformats.org/officeDocument/2006/relationships" xmlns:w="http://schemas.openxmlformats.org/wordprocessingml/2006/main">
  <w:divs>
    <w:div w:id="205334264">
      <w:bodyDiv w:val="1"/>
      <w:marLeft w:val="0"/>
      <w:marRight w:val="0"/>
      <w:marTop w:val="0"/>
      <w:marBottom w:val="0"/>
      <w:divBdr>
        <w:top w:val="none" w:sz="0" w:space="0" w:color="auto"/>
        <w:left w:val="none" w:sz="0" w:space="0" w:color="auto"/>
        <w:bottom w:val="none" w:sz="0" w:space="0" w:color="auto"/>
        <w:right w:val="none" w:sz="0" w:space="0" w:color="auto"/>
      </w:divBdr>
      <w:divsChild>
        <w:div w:id="1057434491">
          <w:marLeft w:val="0"/>
          <w:marRight w:val="0"/>
          <w:marTop w:val="0"/>
          <w:marBottom w:val="0"/>
          <w:divBdr>
            <w:top w:val="none" w:sz="0" w:space="0" w:color="auto"/>
            <w:left w:val="none" w:sz="0" w:space="0" w:color="auto"/>
            <w:bottom w:val="none" w:sz="0" w:space="0" w:color="auto"/>
            <w:right w:val="none" w:sz="0" w:space="0" w:color="auto"/>
          </w:divBdr>
        </w:div>
        <w:div w:id="775367253">
          <w:marLeft w:val="0"/>
          <w:marRight w:val="0"/>
          <w:marTop w:val="0"/>
          <w:marBottom w:val="0"/>
          <w:divBdr>
            <w:top w:val="none" w:sz="0" w:space="0" w:color="auto"/>
            <w:left w:val="none" w:sz="0" w:space="0" w:color="auto"/>
            <w:bottom w:val="none" w:sz="0" w:space="0" w:color="auto"/>
            <w:right w:val="none" w:sz="0" w:space="0" w:color="auto"/>
          </w:divBdr>
        </w:div>
        <w:div w:id="395207565">
          <w:marLeft w:val="0"/>
          <w:marRight w:val="0"/>
          <w:marTop w:val="0"/>
          <w:marBottom w:val="0"/>
          <w:divBdr>
            <w:top w:val="none" w:sz="0" w:space="0" w:color="auto"/>
            <w:left w:val="none" w:sz="0" w:space="0" w:color="auto"/>
            <w:bottom w:val="none" w:sz="0" w:space="0" w:color="auto"/>
            <w:right w:val="none" w:sz="0" w:space="0" w:color="auto"/>
          </w:divBdr>
        </w:div>
        <w:div w:id="980692246">
          <w:marLeft w:val="0"/>
          <w:marRight w:val="0"/>
          <w:marTop w:val="0"/>
          <w:marBottom w:val="0"/>
          <w:divBdr>
            <w:top w:val="none" w:sz="0" w:space="0" w:color="auto"/>
            <w:left w:val="none" w:sz="0" w:space="0" w:color="auto"/>
            <w:bottom w:val="none" w:sz="0" w:space="0" w:color="auto"/>
            <w:right w:val="none" w:sz="0" w:space="0" w:color="auto"/>
          </w:divBdr>
        </w:div>
        <w:div w:id="761342413">
          <w:marLeft w:val="0"/>
          <w:marRight w:val="0"/>
          <w:marTop w:val="0"/>
          <w:marBottom w:val="0"/>
          <w:divBdr>
            <w:top w:val="none" w:sz="0" w:space="0" w:color="auto"/>
            <w:left w:val="none" w:sz="0" w:space="0" w:color="auto"/>
            <w:bottom w:val="none" w:sz="0" w:space="0" w:color="auto"/>
            <w:right w:val="none" w:sz="0" w:space="0" w:color="auto"/>
          </w:divBdr>
        </w:div>
        <w:div w:id="813717144">
          <w:marLeft w:val="0"/>
          <w:marRight w:val="0"/>
          <w:marTop w:val="0"/>
          <w:marBottom w:val="0"/>
          <w:divBdr>
            <w:top w:val="none" w:sz="0" w:space="0" w:color="auto"/>
            <w:left w:val="none" w:sz="0" w:space="0" w:color="auto"/>
            <w:bottom w:val="none" w:sz="0" w:space="0" w:color="auto"/>
            <w:right w:val="none" w:sz="0" w:space="0" w:color="auto"/>
          </w:divBdr>
        </w:div>
        <w:div w:id="943924241">
          <w:marLeft w:val="0"/>
          <w:marRight w:val="0"/>
          <w:marTop w:val="0"/>
          <w:marBottom w:val="0"/>
          <w:divBdr>
            <w:top w:val="none" w:sz="0" w:space="0" w:color="auto"/>
            <w:left w:val="none" w:sz="0" w:space="0" w:color="auto"/>
            <w:bottom w:val="none" w:sz="0" w:space="0" w:color="auto"/>
            <w:right w:val="none" w:sz="0" w:space="0" w:color="auto"/>
          </w:divBdr>
        </w:div>
        <w:div w:id="790635268">
          <w:marLeft w:val="0"/>
          <w:marRight w:val="0"/>
          <w:marTop w:val="0"/>
          <w:marBottom w:val="0"/>
          <w:divBdr>
            <w:top w:val="none" w:sz="0" w:space="0" w:color="auto"/>
            <w:left w:val="none" w:sz="0" w:space="0" w:color="auto"/>
            <w:bottom w:val="none" w:sz="0" w:space="0" w:color="auto"/>
            <w:right w:val="none" w:sz="0" w:space="0" w:color="auto"/>
          </w:divBdr>
        </w:div>
        <w:div w:id="1489203752">
          <w:marLeft w:val="0"/>
          <w:marRight w:val="0"/>
          <w:marTop w:val="0"/>
          <w:marBottom w:val="0"/>
          <w:divBdr>
            <w:top w:val="none" w:sz="0" w:space="0" w:color="auto"/>
            <w:left w:val="none" w:sz="0" w:space="0" w:color="auto"/>
            <w:bottom w:val="none" w:sz="0" w:space="0" w:color="auto"/>
            <w:right w:val="none" w:sz="0" w:space="0" w:color="auto"/>
          </w:divBdr>
        </w:div>
        <w:div w:id="44095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65537C06-5631-4629-87E1-15CDA5C8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HAIB-NP</dc:creator>
  <cp:lastModifiedBy>nprasad</cp:lastModifiedBy>
  <cp:revision>3</cp:revision>
  <dcterms:created xsi:type="dcterms:W3CDTF">2017-12-22T19:37:00Z</dcterms:created>
  <dcterms:modified xsi:type="dcterms:W3CDTF">2017-12-22T20:06:00Z</dcterms:modified>
</cp:coreProperties>
</file>