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A3A"/>
          <w:sz w:val="36"/>
          <w:szCs w:val="36"/>
        </w:rPr>
        <w:t xml:space="preserve">ПРОТОКОЛ ВСТРЕЧИ</w:t>
      </w:r>
    </w:p>
    <w:p>
      <w:pPr>
        <w:spacing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Jorge Morocho — Презентация предложения по SkyFrame</w:t>
      </w:r>
    </w:p>
    <w:p>
      <w:pPr>
        <w:pBdr>
          <w:bottom w:val="single" w:color="B08D3F" w:sz="6" w:space="1"/>
        </w:pBd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Источник: tldv.io</w:t>
      </w:r>
    </w:p>
    <w:p>
      <w:pPr>
        <w:spacing w:after="20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1. Задачи (Action Items)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Отправить</w:t>
      </w:r>
      <w:r>
        <w:rPr>
          <w:rFonts w:ascii="Arial" w:cs="Arial" w:eastAsia="Arial" w:hAnsi="Arial"/>
          <w:sz w:val="20"/>
          <w:szCs w:val="20"/>
        </w:rPr>
        <w:t xml:space="preserve"> George презентацию, ссылку на прототип (без интеграций) и все документы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Отправить</w:t>
      </w:r>
      <w:r>
        <w:rPr>
          <w:rFonts w:ascii="Arial" w:cs="Arial" w:eastAsia="Arial" w:hAnsi="Arial"/>
          <w:sz w:val="20"/>
          <w:szCs w:val="20"/>
        </w:rPr>
        <w:t xml:space="preserve"> приглашение в календарь на вторник, 9:00, для встречи с Johnny и командой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Изучить</w:t>
      </w:r>
      <w:r>
        <w:rPr>
          <w:rFonts w:ascii="Arial" w:cs="Arial" w:eastAsia="Arial" w:hAnsi="Arial"/>
          <w:sz w:val="20"/>
          <w:szCs w:val="20"/>
        </w:rPr>
        <w:t xml:space="preserve"> возможность интеграции с TrackPod API перед продолжением работ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George</w:t>
      </w:r>
      <w:r>
        <w:rPr>
          <w:rFonts w:ascii="Arial" w:cs="Arial" w:eastAsia="Arial" w:hAnsi="Arial"/>
          <w:sz w:val="20"/>
          <w:szCs w:val="20"/>
        </w:rPr>
        <w:t xml:space="preserve"> должен просмотреть материалы и встретиться с Johnny до конца следующей недели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George</w:t>
      </w:r>
      <w:r>
        <w:rPr>
          <w:rFonts w:ascii="Arial" w:cs="Arial" w:eastAsia="Arial" w:hAnsi="Arial"/>
          <w:sz w:val="20"/>
          <w:szCs w:val="20"/>
        </w:rPr>
        <w:t xml:space="preserve"> должен прислать видео предыдущего приложения на Bubble для сравнения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2. Объём проекта и результаты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Первая фаза — внутренняя системная основа, не клиентский портал; масштабируемость заложена на будущее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Первая фаза включает: конфигуратор цен, создание инвойсов/PDF, отслеживание записей и интеграции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Четыре потока работ: разработка, дизайн, бизнес-анализ, DevOps и QA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Платформа будет включать комплексную базу данных с информацией о клиентах, заказах и истории покупок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Будущие фазы могут включать клиентский портал, инструменты визуализации и каталог продуктов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3. Сроки и этапы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 0</w:t>
            </w:r>
          </w:p>
        </w:tc>
        <w:tc>
          <w:tcPr>
            <w:tcW w:type="dxa" w:w="7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Онбординг и юридические процессы (1 месяц)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 1</w:t>
            </w:r>
          </w:p>
        </w:tc>
        <w:tc>
          <w:tcPr>
            <w:tcW w:type="dxa" w:w="7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Фаза Discovery: документация, дизайн, диаграммы инфраструктуры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 2</w:t>
            </w:r>
          </w:p>
        </w:tc>
        <w:tc>
          <w:tcPr>
            <w:tcW w:type="dxa" w:w="7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основного функционала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 3</w:t>
            </w:r>
          </w:p>
        </w:tc>
        <w:tc>
          <w:tcPr>
            <w:tcW w:type="dxa" w:w="7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QA-сессии и деплой в продакшен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2E5A3A"/>
          <w:sz w:val="20"/>
          <w:szCs w:val="20"/>
        </w:rPr>
        <w:t xml:space="preserve">Общий срок поставки: менее 4 календарных месяцев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4. Команда и коммуникация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Otar</w:t>
      </w:r>
      <w:r>
        <w:rPr>
          <w:rFonts w:ascii="Arial" w:cs="Arial" w:eastAsia="Arial" w:hAnsi="Arial"/>
          <w:sz w:val="20"/>
          <w:szCs w:val="20"/>
        </w:rPr>
        <w:t xml:space="preserve"> — главный технический контакт для еженедельных обновлений и технических вопросов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Команда: 2 фулстек-разработчика, UI-дизайнер, инженер, DevOps-инженер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Ведущий презентации — бизнес-контакт по организационным, бизнес- и финансовым вопросам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Ежедневная коммуникация в Slack, еженедельные статус-митинги, ежемесячные детальные отчёты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Предпочтение прямого доступа к разработчикам вместо аккаунт-менеджеров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5. Технологический стек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70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0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</w:tr>
      <w:tr>
        <w:tc>
          <w:tcPr>
            <w:tcW w:type="dxa" w:w="2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0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</w:t>
            </w:r>
          </w:p>
        </w:tc>
      </w:tr>
      <w:tr>
        <w:tc>
          <w:tcPr>
            <w:tcW w:type="dxa" w:w="2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70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Стек обеспечивает быструю разработку, масштабируемость и простоту поддержки. Много доступных специалистов.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6. Интеграции и функционал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QuickBooks:</w:t>
      </w:r>
      <w:r>
        <w:rPr>
          <w:rFonts w:ascii="Arial" w:cs="Arial" w:eastAsia="Arial" w:hAnsi="Arial"/>
          <w:sz w:val="20"/>
          <w:szCs w:val="20"/>
        </w:rPr>
        <w:t xml:space="preserve"> — создание инвойсов и синхронизация статусов оплат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Monday.com:</w:t>
      </w:r>
      <w:r>
        <w:rPr>
          <w:rFonts w:ascii="Arial" w:cs="Arial" w:eastAsia="Arial" w:hAnsi="Arial"/>
          <w:sz w:val="20"/>
          <w:szCs w:val="20"/>
        </w:rPr>
        <w:t xml:space="preserve"> — отслеживание статусов заказов без выхода из приложения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Статус оплаты можно обновлять вручную в приложении или автоматически из QuickBooks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Административная панель цен позволяет управлять логикой ценообразования аналогично Excel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Система пользователей по приглашениям с управлением клиентами и интеграциями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7. Бюджет и условия оплаты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440"/>
      </w:tblGrid>
      <w:tr>
        <w:tc>
          <w:tcPr>
            <w:tcW w:type="dxa" w:w="5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 первой фазы</w:t>
            </w:r>
          </w:p>
        </w:tc>
        <w:tc>
          <w:tcPr>
            <w:tcW w:type="dxa" w:w="4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$44,840</w:t>
            </w:r>
          </w:p>
        </w:tc>
      </w:tr>
      <w:tr>
        <w:tc>
          <w:tcPr>
            <w:tcW w:type="dxa" w:w="5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месяца, 5 инженеров</w:t>
            </w:r>
          </w:p>
        </w:tc>
      </w:tr>
      <w:tr>
        <w:tc>
          <w:tcPr>
            <w:tcW w:type="dxa" w:w="5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 оплаты</w:t>
            </w:r>
          </w:p>
        </w:tc>
        <w:tc>
          <w:tcPr>
            <w:tcW w:type="dxa" w:w="4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&amp; Material</w:t>
            </w:r>
          </w:p>
        </w:tc>
      </w:tr>
      <w:tr>
        <w:tc>
          <w:tcPr>
            <w:tcW w:type="dxa" w:w="5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Предоплата (15%)</w:t>
            </w:r>
          </w:p>
        </w:tc>
        <w:tc>
          <w:tcPr>
            <w:tcW w:type="dxa" w:w="4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B08D3F"/>
                <w:sz w:val="20"/>
                <w:szCs w:val="20"/>
              </w:rPr>
              <w:t xml:space="preserve">$6,726</w:t>
            </w:r>
          </w:p>
        </w:tc>
      </w:tr>
      <w:tr>
        <w:tc>
          <w:tcPr>
            <w:tcW w:type="dxa" w:w="5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Выставление счетов</w:t>
            </w:r>
          </w:p>
        </w:tc>
        <w:tc>
          <w:tcPr>
            <w:tcW w:type="dxa" w:w="44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Ежемесячно по факту часов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Предоплата вычитается из первого инвойса. Доступна детальная разбивка по фичам с часами на каждый компонент.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8. Референс из портфолио и прототип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MyCarrier — логистическая платформа на том же стеке с аналогичной сложной логикой ценообразования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MyCarrier масштабировался от proof-of-concept до enterprise-уровня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Прототип демонстрирует конфигуратор цен, создание квот и workflow интеграций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Прототип — только визуализация; финальный дизайн будет выполнен в фазе Discovery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9. Следующие шаги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240"/>
      </w:tblGrid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Фоллоу-ап встреча во вторник в 9:00 с George и Johnny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B08D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George просматривает материалы и встречается с Johnny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Подготовка и подписание договора после согласования всех деталей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B08D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Выставление инвойса на предоплату, затем начало фазы Discovery</w:t>
            </w:r>
          </w:p>
        </w:tc>
      </w:tr>
    </w:tbl>
    <w:p>
      <w:pPr>
        <w:spacing w:before="400"/>
      </w:pPr>
    </w:p>
    <w:p>
      <w:pPr>
        <w:pBdr>
          <w:top w:val="single" w:color="B08D3F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SkyFrame Platform — Phase 1 Proposal Meeting Summary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2E5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A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2026-05-28T07:34:58.015Z</dcterms:created>
  <dcterms:modified xsi:type="dcterms:W3CDTF">2026-05-28T07:34:58.015Z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