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B2542F"/>
          <w:sz w:val="20"/>
        </w:rPr>
        <w:t>ESTUDO DE MERCADO DEFINITIVO</w:t>
      </w:r>
    </w:p>
    <w:p>
      <w:pPr>
        <w:spacing w:before="0" w:after="120"/>
      </w:pPr>
      <w:r>
        <w:rPr>
          <w:rFonts w:ascii="Calibri" w:hAnsi="Calibri"/>
          <w:b/>
          <w:i w:val="0"/>
          <w:color w:val="14362F"/>
          <w:sz w:val="50"/>
        </w:rPr>
        <w:t>AgroGestão Pro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47169"/>
          <w:sz w:val="26"/>
        </w:rPr>
        <w:t>Oportunidade, público, concorrência e hipóteses de validação para uma solução simples de gestão rural.</w:t>
      </w:r>
    </w:p>
    <w:p>
      <w:pPr>
        <w:spacing w:after="240"/>
        <w:pBdr>
          <w:bottom w:val="single" w:sz="16" w:space="4" w:color="B2542F"/>
        </w:pBdr>
      </w:pPr>
      <w:r>
        <w:rPr>
          <w:rFonts w:ascii="Calibri" w:hAnsi="Calibri"/>
          <w:b/>
          <w:i w:val="0"/>
          <w:color w:val="202A24"/>
          <w:sz w:val="21"/>
        </w:rPr>
        <w:t xml:space="preserve">Escopo: </w:t>
      </w:r>
      <w:r>
        <w:rPr>
          <w:rFonts w:ascii="Calibri" w:hAnsi="Calibri"/>
          <w:b w:val="0"/>
          <w:i w:val="0"/>
          <w:color w:val="202A24"/>
          <w:sz w:val="21"/>
        </w:rPr>
        <w:t>Ideação acadêmica. Os dados externos são evidências de mercado; projeções comerciais permanecem hipóteses até pesquisa de campo.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CONCLUSÃO EXECUTIVA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Existe um mercado amplo e digitalmente ativo, mas a oportunidade do AgroGestão Pro não está em oferecer mais módulos. Está em reduzir a barreira de adoção para produtores familiares que precisam registrar tarefas, talhões e dinheiro com pouca configuração e sem depender de conexão contínua.</w:t>
            </w:r>
          </w:p>
        </w:tc>
      </w:tr>
    </w:tbl>
    <w:p>
      <w:pPr>
        <w:spacing w:after="20"/>
      </w:pPr>
    </w:p>
    <w:p>
      <w:pPr>
        <w:pStyle w:val="Heading1"/>
      </w:pPr>
      <w:r>
        <w:t>1. Pergunta central do estudo</w:t>
      </w:r>
    </w:p>
    <w:p>
      <w:r>
        <w:rPr>
          <w:rFonts w:ascii="Calibri" w:hAnsi="Calibri"/>
          <w:b w:val="0"/>
          <w:i w:val="0"/>
          <w:color w:val="202A24"/>
          <w:sz w:val="22"/>
        </w:rPr>
        <w:t>O estudo avalia se há espaço para uma solução de gestão rural com escopo intencionalmente menor, linguagem simples, uso offline e foco na rotina da agricultura familiar.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Problema observado: </w:t>
      </w:r>
      <w:r>
        <w:rPr>
          <w:rFonts w:ascii="Calibri" w:hAnsi="Calibri"/>
          <w:b w:val="0"/>
          <w:i w:val="0"/>
          <w:color w:val="202A24"/>
          <w:sz w:val="22"/>
        </w:rPr>
        <w:t>informações operacionais e financeiras ficam dispersas entre memória, caderno, mensagens e planilhas.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Hipótese de produto: </w:t>
      </w:r>
      <w:r>
        <w:rPr>
          <w:rFonts w:ascii="Calibri" w:hAnsi="Calibri"/>
          <w:b w:val="0"/>
          <w:i w:val="0"/>
          <w:color w:val="202A24"/>
          <w:sz w:val="22"/>
        </w:rPr>
        <w:t>um registro diário curto pode gerar histórico, visão de custos e rastreabilidade sem exigir a complexidade de um ERP agrícola.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Público prioritário: </w:t>
      </w:r>
      <w:r>
        <w:rPr>
          <w:rFonts w:ascii="Calibri" w:hAnsi="Calibri"/>
          <w:b w:val="0"/>
          <w:i w:val="0"/>
          <w:color w:val="202A24"/>
          <w:sz w:val="22"/>
        </w:rPr>
        <w:t>produtor individual ou familiar, pequena propriedade e operação predominantemente agrícola.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Decisão a validar: </w:t>
      </w:r>
      <w:r>
        <w:rPr>
          <w:rFonts w:ascii="Calibri" w:hAnsi="Calibri"/>
          <w:b w:val="0"/>
          <w:i w:val="0"/>
          <w:color w:val="202A24"/>
          <w:sz w:val="22"/>
        </w:rPr>
        <w:t>se simplicidade, uso offline e orientação por tarefas geram uso recorrente e disposição para continuar usando.</w:t>
      </w:r>
    </w:p>
    <w:p>
      <w:pPr>
        <w:pStyle w:val="Heading1"/>
      </w:pPr>
      <w:r>
        <w:t>2. Evidências de escala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4ED"/>
          </w:tcPr>
          <w:p>
            <w:pPr>
              <w:spacing w:before="80" w:after="60"/>
              <w:jc w:val="center"/>
            </w:pPr>
            <w:r>
              <w:rPr>
                <w:rFonts w:ascii="Calibri" w:hAnsi="Calibri"/>
                <w:b/>
                <w:i w:val="0"/>
                <w:color w:val="B2542F"/>
                <w:sz w:val="38"/>
              </w:rPr>
              <w:t>3,9 milhões</w:t>
              <w:br/>
            </w:r>
            <w:r>
              <w:rPr>
                <w:rFonts w:ascii="Calibri" w:hAnsi="Calibri"/>
                <w:b w:val="0"/>
                <w:i w:val="0"/>
                <w:color w:val="647169"/>
                <w:sz w:val="17"/>
              </w:rPr>
              <w:t>estabelecimentos familiares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4ED"/>
          </w:tcPr>
          <w:p>
            <w:pPr>
              <w:spacing w:before="80" w:after="60"/>
              <w:jc w:val="center"/>
            </w:pPr>
            <w:r>
              <w:rPr>
                <w:rFonts w:ascii="Calibri" w:hAnsi="Calibri"/>
                <w:b/>
                <w:i w:val="0"/>
                <w:color w:val="14362F"/>
                <w:sz w:val="38"/>
              </w:rPr>
              <w:t>77%</w:t>
              <w:br/>
            </w:r>
            <w:r>
              <w:rPr>
                <w:rFonts w:ascii="Calibri" w:hAnsi="Calibri"/>
                <w:b w:val="0"/>
                <w:i w:val="0"/>
                <w:color w:val="647169"/>
                <w:sz w:val="17"/>
              </w:rPr>
              <w:t>dos estabelecimentos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4ED"/>
          </w:tcPr>
          <w:p>
            <w:pPr>
              <w:spacing w:before="80" w:after="60"/>
              <w:jc w:val="center"/>
            </w:pPr>
            <w:r>
              <w:rPr>
                <w:rFonts w:ascii="Calibri" w:hAnsi="Calibri"/>
                <w:b/>
                <w:i w:val="0"/>
                <w:color w:val="DFA126"/>
                <w:sz w:val="38"/>
              </w:rPr>
              <w:t>67%</w:t>
              <w:br/>
            </w:r>
            <w:r>
              <w:rPr>
                <w:rFonts w:ascii="Calibri" w:hAnsi="Calibri"/>
                <w:b w:val="0"/>
                <w:i w:val="0"/>
                <w:color w:val="647169"/>
                <w:sz w:val="17"/>
              </w:rPr>
              <w:t>da mão de obra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4ED"/>
          </w:tcPr>
          <w:p>
            <w:pPr>
              <w:spacing w:before="80" w:after="60"/>
              <w:jc w:val="center"/>
            </w:pPr>
            <w:r>
              <w:rPr>
                <w:rFonts w:ascii="Calibri" w:hAnsi="Calibri"/>
                <w:b/>
                <w:i w:val="0"/>
                <w:color w:val="B2542F"/>
                <w:sz w:val="38"/>
              </w:rPr>
              <w:t>23%</w:t>
              <w:br/>
            </w:r>
            <w:r>
              <w:rPr>
                <w:rFonts w:ascii="Calibri" w:hAnsi="Calibri"/>
                <w:b w:val="0"/>
                <w:i w:val="0"/>
                <w:color w:val="647169"/>
                <w:sz w:val="17"/>
              </w:rPr>
              <w:t>da área e do valor produzido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O Censo Agropecuário 2017 classificou 3.897.408 estabelecimentos como agricultura familiar. Eles representavam 77% dos estabelecimentos, empregavam 10,1 milhões de pessoas (67% da mão de obra), ocupavam 23% da área e respondiam por 23% do valor da produção.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5E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LEITURA ESTRATÉGICA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Escala não significa adoção automática. O tamanho do público confirma relevância, mas a entrada depende de confiança, suporte, preço, conectividade, alfabetização digital e percepção de utilidade imediata.</w:t>
            </w:r>
          </w:p>
        </w:tc>
      </w:tr>
    </w:tbl>
    <w:p>
      <w:pPr>
        <w:spacing w:after="20"/>
      </w:pPr>
    </w:p>
    <w:p>
      <w:pPr>
        <w:pStyle w:val="Heading1"/>
      </w:pPr>
      <w:r>
        <w:t>3. Digitalização e oferta de soluções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Agtechs mapeadas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 acumulada vs. 2019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2019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1.125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Base</w:t>
            </w:r>
          </w:p>
        </w:tc>
      </w:tr>
      <w:tr>
        <w:trPr>
          <w:cantSplit/>
        </w:trPr>
        <w:tc>
          <w:tcPr>
            <w:tcW w:type="dxa" w:w="22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2020/2021</w:t>
            </w:r>
          </w:p>
        </w:tc>
        <w:tc>
          <w:tcPr>
            <w:tcW w:type="dxa" w:w="3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1.572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+39,7%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2022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1.703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+51,4%</w:t>
            </w:r>
          </w:p>
        </w:tc>
      </w:tr>
      <w:tr>
        <w:trPr>
          <w:cantSplit/>
        </w:trPr>
        <w:tc>
          <w:tcPr>
            <w:tcW w:type="dxa" w:w="22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2023</w:t>
            </w:r>
          </w:p>
        </w:tc>
        <w:tc>
          <w:tcPr>
            <w:tcW w:type="dxa" w:w="3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1.953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+73,6%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2024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1.972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+75,3%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O Radar Agtech Brasil 2024 mapeou 1.972 agtechs, ante 1.125 em 2019. Em 2024, 818 estavam no segmento 'Dentro da Fazenda', 366 'Antes da Fazenda' e 788 'Depois da Fazenda'.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400"/>
        <w:gridCol w:w="1450"/>
        <w:gridCol w:w="1450"/>
        <w:gridCol w:w="40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Segmento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Quantidade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Participação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Implicação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Antes da Fazenda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366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18,6%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Crédito, insumos e suporte à produção.</w:t>
            </w:r>
          </w:p>
        </w:tc>
      </w:tr>
      <w:tr>
        <w:trPr>
          <w:cantSplit/>
        </w:trPr>
        <w:tc>
          <w:tcPr>
            <w:tcW w:type="dxa" w:w="24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Dentro da Fazenda</w:t>
            </w:r>
          </w:p>
        </w:tc>
        <w:tc>
          <w:tcPr>
            <w:tcW w:type="dxa" w:w="1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818</w:t>
            </w:r>
          </w:p>
        </w:tc>
        <w:tc>
          <w:tcPr>
            <w:tcW w:type="dxa" w:w="1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41,5%</w:t>
            </w:r>
          </w:p>
        </w:tc>
        <w:tc>
          <w:tcPr>
            <w:tcW w:type="dxa" w:w="40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Maior concentração; inclui gestão, automação e monitoramento.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Depois da Fazenda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788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40,0%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Comercialização, logística e transformação.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Dentro da Fazenda, a categoria 'Sistema de Gestão de Propriedade Rural' reúne 157 empresas, equivalentes a 19,2% do segmento e 8,0% de todas as agtechs mapeadas. Isso confirma demanda e, ao mesmo tempo, concorrência relevante.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EVIDÊNCIA DIRECIONAL DE ADOÇÃO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A Orbia cita a pesquisa Panorama da Gestão Rural 2024 e informa que 40% dos produtores entrevistados usam algum software de gestão. Como a página não apresenta o desenho amostral completo, o número deve orientar hipóteses, não ser tratado como estimativa de toda a população rural.</w:t>
            </w:r>
          </w:p>
        </w:tc>
      </w:tr>
    </w:tbl>
    <w:p>
      <w:pPr>
        <w:spacing w:after="20"/>
      </w:pPr>
    </w:p>
    <w:p>
      <w:pPr>
        <w:pStyle w:val="Heading1"/>
      </w:pPr>
      <w:r>
        <w:t>4. Problema de adoção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Fricção inicial: </w:t>
      </w:r>
      <w:r>
        <w:rPr>
          <w:rFonts w:ascii="Calibri" w:hAnsi="Calibri"/>
          <w:b w:val="0"/>
          <w:i w:val="0"/>
          <w:color w:val="202A24"/>
          <w:sz w:val="22"/>
        </w:rPr>
        <w:t>cadastros longos e muitos módulos atrasam a percepção de valor.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Conectividade: </w:t>
      </w:r>
      <w:r>
        <w:rPr>
          <w:rFonts w:ascii="Calibri" w:hAnsi="Calibri"/>
          <w:b w:val="0"/>
          <w:i w:val="0"/>
          <w:color w:val="202A24"/>
          <w:sz w:val="22"/>
        </w:rPr>
        <w:t>a indisponibilidade de internet não pode bloquear o registro no campo.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Custo e suporte: </w:t>
      </w:r>
      <w:r>
        <w:rPr>
          <w:rFonts w:ascii="Calibri" w:hAnsi="Calibri"/>
          <w:b w:val="0"/>
          <w:i w:val="0"/>
          <w:color w:val="202A24"/>
          <w:sz w:val="22"/>
        </w:rPr>
        <w:t>o pequeno produtor precisa compreender rapidamente o benefício e saber onde obter ajuda.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Confiança: </w:t>
      </w:r>
      <w:r>
        <w:rPr>
          <w:rFonts w:ascii="Calibri" w:hAnsi="Calibri"/>
          <w:b w:val="0"/>
          <w:i w:val="0"/>
          <w:color w:val="202A24"/>
          <w:sz w:val="22"/>
        </w:rPr>
        <w:t>dados financeiros, produtivos e pessoais exigem transparência, controle e linguagem clara.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Hábito: </w:t>
      </w:r>
      <w:r>
        <w:rPr>
          <w:rFonts w:ascii="Calibri" w:hAnsi="Calibri"/>
          <w:b w:val="0"/>
          <w:i w:val="0"/>
          <w:color w:val="202A24"/>
          <w:sz w:val="22"/>
        </w:rPr>
        <w:t>o produto compete com ferramentas já dominadas, como caderno, WhatsApp e planilha.</w:t>
      </w:r>
    </w:p>
    <w:p>
      <w:pPr>
        <w:pStyle w:val="Heading1"/>
      </w:pPr>
      <w:r>
        <w:t>5. Concorrência e alternativas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500"/>
        <w:gridCol w:w="3220"/>
        <w:gridCol w:w="1740"/>
        <w:gridCol w:w="290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Alternativa</w:t>
            </w:r>
          </w:p>
        </w:tc>
        <w:tc>
          <w:tcPr>
            <w:tcW w:type="dxa" w:w="3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Força principal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Complexidade relativa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Espaço para o AgroGestão Pro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Aegro</w:t>
            </w:r>
          </w:p>
        </w:tc>
        <w:tc>
          <w:tcPr>
            <w:tcW w:type="dxa" w:w="3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Gestão integrada de campo, finanças, fiscal, equipe e integrações; app offline.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Alta amplitude funcional.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Foco inicial menor, rotina familiar e registro guiado.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MyFarm</w:t>
            </w:r>
          </w:p>
        </w:tc>
        <w:tc>
          <w:tcPr>
            <w:tcW w:type="dxa" w:w="322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ERP agrícola com financeiro, produção, máquinas, suprimentos, fiscal e resultados; web/mobile offline.</w:t>
            </w:r>
          </w:p>
        </w:tc>
        <w:tc>
          <w:tcPr>
            <w:tcW w:type="dxa" w:w="174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Alta amplitude funcional.</w:t>
            </w:r>
          </w:p>
        </w:tc>
        <w:tc>
          <w:tcPr>
            <w:tcW w:type="dxa" w:w="2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Entrada mais curta e proposta de baixo esforço cognitivo.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Planilhas</w:t>
            </w:r>
          </w:p>
        </w:tc>
        <w:tc>
          <w:tcPr>
            <w:tcW w:type="dxa" w:w="3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Flexibilidade e familiaridade.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Baixa no começo; cresce com o volume.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Relações automáticas entre tarefa, talhão e dinheiro.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Caderno e memória</w:t>
            </w:r>
          </w:p>
        </w:tc>
        <w:tc>
          <w:tcPr>
            <w:tcW w:type="dxa" w:w="322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Acesso imediato e sem treinamento.</w:t>
            </w:r>
          </w:p>
        </w:tc>
        <w:tc>
          <w:tcPr>
            <w:tcW w:type="dxa" w:w="174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Baixa, mas sem histórico estruturado.</w:t>
            </w:r>
          </w:p>
        </w:tc>
        <w:tc>
          <w:tcPr>
            <w:tcW w:type="dxa" w:w="2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Preservar a simplicidade e acrescentar rastreabilidade.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O posicionamento não deve afirmar que concorrentes são inadequados. Eles atendem operações mais amplas. A proposta é ocupar um recorte: produtor familiar que precisa começar pelo essencial e pode evoluir depois.</w:t>
      </w:r>
    </w:p>
    <w:p>
      <w:pPr>
        <w:pStyle w:val="Heading1"/>
      </w:pPr>
      <w:r>
        <w:t>6. Posicionamento recomendado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PROPOSTA DE VALOR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AgroGestão Pro organiza o que o produtor fez, gastou e precisa fazer, mesmo sem internet, com uma experiência curta o suficiente para caber na rotina.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de posicionamento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Público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Agricultores familiares e pequenas propriedades em fase inicial de digitalização.</w:t>
            </w:r>
          </w:p>
        </w:tc>
      </w:tr>
      <w:tr>
        <w:trPr>
          <w:cantSplit/>
        </w:trPr>
        <w:tc>
          <w:tcPr>
            <w:tcW w:type="dxa" w:w="22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Problema</w:t>
            </w:r>
          </w:p>
        </w:tc>
        <w:tc>
          <w:tcPr>
            <w:tcW w:type="dxa" w:w="7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Informação dispersa, pouca visão de custos e dificuldade de recuperar histórico.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Promessa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Registrar rápido, organizar automaticamente e consultar depois.</w:t>
            </w:r>
          </w:p>
        </w:tc>
      </w:tr>
      <w:tr>
        <w:trPr>
          <w:cantSplit/>
        </w:trPr>
        <w:tc>
          <w:tcPr>
            <w:tcW w:type="dxa" w:w="22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Diferencial</w:t>
            </w:r>
          </w:p>
        </w:tc>
        <w:tc>
          <w:tcPr>
            <w:tcW w:type="dxa" w:w="7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Modo simples, fluxo diário guiado, funcionamento offline e linguagem direta.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Limite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Não substituir contabilidade, assistência agronômica, emissão fiscal ou ERP completo.</w:t>
            </w:r>
          </w:p>
        </w:tc>
      </w:tr>
    </w:tbl>
    <w:p>
      <w:pPr>
        <w:spacing w:after="20"/>
      </w:pPr>
    </w:p>
    <w:p>
      <w:pPr>
        <w:pStyle w:val="Heading1"/>
      </w:pPr>
      <w:r>
        <w:t>7. Persona e trabalho a ser realizado</w:t>
      </w:r>
    </w:p>
    <w:p>
      <w:r>
        <w:rPr>
          <w:rFonts w:ascii="Calibri" w:hAnsi="Calibri"/>
          <w:b w:val="0"/>
          <w:i w:val="0"/>
          <w:color w:val="202A24"/>
          <w:sz w:val="22"/>
        </w:rPr>
        <w:t>Seu José é uma persona de síntese, não um entrevistado real. Ele representa um pequeno produtor que concentra decisões, alterna trabalho de campo e administrativo e precisa lembrar depois o que aconteceu durante o dia.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Quando </w:t>
      </w:r>
      <w:r>
        <w:rPr>
          <w:rFonts w:ascii="Calibri" w:hAnsi="Calibri"/>
          <w:b w:val="0"/>
          <w:i w:val="0"/>
          <w:color w:val="202A24"/>
          <w:sz w:val="22"/>
        </w:rPr>
        <w:t>termino uma atividade ou faço uma compra no campo,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eu quero </w:t>
      </w:r>
      <w:r>
        <w:rPr>
          <w:rFonts w:ascii="Calibri" w:hAnsi="Calibri"/>
          <w:b w:val="0"/>
          <w:i w:val="0"/>
          <w:color w:val="202A24"/>
          <w:sz w:val="22"/>
        </w:rPr>
        <w:t>registrar em poucos passos, mesmo sem sinal,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para </w:t>
      </w:r>
      <w:r>
        <w:rPr>
          <w:rFonts w:ascii="Calibri" w:hAnsi="Calibri"/>
          <w:b w:val="0"/>
          <w:i w:val="0"/>
          <w:color w:val="202A24"/>
          <w:sz w:val="22"/>
        </w:rPr>
        <w:t>não depender da memória e conseguir comparar custos, tarefas e safras depois.</w:t>
      </w:r>
    </w:p>
    <w:p>
      <w:pPr>
        <w:pStyle w:val="Heading1"/>
      </w:pPr>
      <w:r>
        <w:t>8. Dimensionamento sem falsa precisão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TAM em unidades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3,897 milhões de estabelecimentos familiares.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Mostra o universo amplo, não clientes prováveis.</w:t>
            </w:r>
          </w:p>
        </w:tc>
      </w:tr>
      <w:tr>
        <w:trPr>
          <w:cantSplit/>
        </w:trPr>
        <w:tc>
          <w:tcPr>
            <w:tcW w:type="dxa" w:w="17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SAM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Produtores familiares com smartphone, necessidade de controle e abertura à digitalização.</w:t>
            </w:r>
          </w:p>
        </w:tc>
        <w:tc>
          <w:tcPr>
            <w:tcW w:type="dxa" w:w="33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Exige pesquisa primária; não há número confiável neste estudo.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SOM inicial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Grupo alcançável por escola, cooperativa, assistência técnica ou rede local.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Definir por canal e capacidade de acompanhamento do piloto.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Não foi criada projeção de faturamento porque preço, conversão, retenção e custo de atendimento ainda não foram validados. Uma estimativa financeira antes dessas respostas produziria precisão aparente.</w:t>
      </w:r>
    </w:p>
    <w:p>
      <w:pPr>
        <w:pStyle w:val="Heading1"/>
      </w:pPr>
      <w:r>
        <w:t>9. Plano de validação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Entrevistas de problema. </w:t>
      </w:r>
      <w:r>
        <w:rPr>
          <w:rFonts w:ascii="Calibri" w:hAnsi="Calibri"/>
          <w:b w:val="0"/>
          <w:i w:val="0"/>
          <w:color w:val="202A24"/>
          <w:sz w:val="22"/>
        </w:rPr>
        <w:t>Conversar com 8 a 12 produtores familiares de perfis diferentes e mapear como registram tarefas, gastos e produção.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Teste de compreensão. </w:t>
      </w:r>
      <w:r>
        <w:rPr>
          <w:rFonts w:ascii="Calibri" w:hAnsi="Calibri"/>
          <w:b w:val="0"/>
          <w:i w:val="0"/>
          <w:color w:val="202A24"/>
          <w:sz w:val="22"/>
        </w:rPr>
        <w:t>Apresentar a navegação e verificar se a pessoa entende Início, Tarefas, Terrenos e Mais sem explicação extensa.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Protótipo clicável. </w:t>
      </w:r>
      <w:r>
        <w:rPr>
          <w:rFonts w:ascii="Calibri" w:hAnsi="Calibri"/>
          <w:b w:val="0"/>
          <w:i w:val="0"/>
          <w:color w:val="202A24"/>
          <w:sz w:val="22"/>
        </w:rPr>
        <w:t>Medir conclusão do fluxo 'Atualizar meu dia', tempo, erros e pontos de abandono.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Piloto assistido. </w:t>
      </w:r>
      <w:r>
        <w:rPr>
          <w:rFonts w:ascii="Calibri" w:hAnsi="Calibri"/>
          <w:b w:val="0"/>
          <w:i w:val="0"/>
          <w:color w:val="202A24"/>
          <w:sz w:val="22"/>
        </w:rPr>
        <w:t>Acompanhar uso semanal, registros concluídos e solicitações de ajuda.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Decisão de continuidade. </w:t>
      </w:r>
      <w:r>
        <w:rPr>
          <w:rFonts w:ascii="Calibri" w:hAnsi="Calibri"/>
          <w:b w:val="0"/>
          <w:i w:val="0"/>
          <w:color w:val="202A24"/>
          <w:sz w:val="22"/>
        </w:rPr>
        <w:t>Avançar somente se houver repetição de uso e valor percebido, não apenas intenção declarada.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3000"/>
        <w:gridCol w:w="2800"/>
        <w:gridCol w:w="3560"/>
      </w:tblGrid>
      <w:tr>
        <w:trPr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Hipótese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inicial sugerido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O fluxo é simples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Conclusão sem ajuda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Pelo menos 8 de 10 participantes.</w:t>
            </w:r>
          </w:p>
        </w:tc>
      </w:tr>
      <w:tr>
        <w:trPr>
          <w:cantSplit/>
        </w:trPr>
        <w:tc>
          <w:tcPr>
            <w:tcW w:type="dxa" w:w="3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O registro cabe na rotina</w:t>
            </w:r>
          </w:p>
        </w:tc>
        <w:tc>
          <w:tcPr>
            <w:tcW w:type="dxa" w:w="2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Tempo por registro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Até 90 segundos no protótipo.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Há valor recorrente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Retorno semanal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Maioria dos participantes do piloto.</w:t>
            </w:r>
          </w:p>
        </w:tc>
      </w:tr>
      <w:tr>
        <w:trPr>
          <w:cantSplit/>
        </w:trPr>
        <w:tc>
          <w:tcPr>
            <w:tcW w:type="dxa" w:w="30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Offline é relevante</w:t>
            </w:r>
          </w:p>
        </w:tc>
        <w:tc>
          <w:tcPr>
            <w:tcW w:type="dxa" w:w="2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Ocorrências sem sinal</w:t>
            </w:r>
          </w:p>
        </w:tc>
        <w:tc>
          <w:tcPr>
            <w:tcW w:type="dxa" w:w="35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Relatos confirmados nas entrevistas.</w:t>
            </w:r>
          </w:p>
        </w:tc>
      </w:tr>
    </w:tbl>
    <w:p>
      <w:pPr>
        <w:spacing w:after="20"/>
      </w:pPr>
    </w:p>
    <w:p>
      <w:pPr>
        <w:pStyle w:val="Heading1"/>
      </w:pPr>
      <w:r>
        <w:t>10. Riscos de mercado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Concorrência ampla: </w:t>
      </w:r>
      <w:r>
        <w:rPr>
          <w:rFonts w:ascii="Calibri" w:hAnsi="Calibri"/>
          <w:b w:val="0"/>
          <w:i w:val="0"/>
          <w:color w:val="202A24"/>
          <w:sz w:val="22"/>
        </w:rPr>
        <w:t>o mercado já contém soluções maduras e integradas.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Distribuição: </w:t>
      </w:r>
      <w:r>
        <w:rPr>
          <w:rFonts w:ascii="Calibri" w:hAnsi="Calibri"/>
          <w:b w:val="0"/>
          <w:i w:val="0"/>
          <w:color w:val="202A24"/>
          <w:sz w:val="22"/>
        </w:rPr>
        <w:t>chegar ao produtor pode depender de parceiros locais e confiança presencial.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Suporte: </w:t>
      </w:r>
      <w:r>
        <w:rPr>
          <w:rFonts w:ascii="Calibri" w:hAnsi="Calibri"/>
          <w:b w:val="0"/>
          <w:i w:val="0"/>
          <w:color w:val="202A24"/>
          <w:sz w:val="22"/>
        </w:rPr>
        <w:t>simplicidade de interface não elimina dúvidas sobre gestão e cadastro.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Escopo: </w:t>
      </w:r>
      <w:r>
        <w:rPr>
          <w:rFonts w:ascii="Calibri" w:hAnsi="Calibri"/>
          <w:b w:val="0"/>
          <w:i w:val="0"/>
          <w:color w:val="202A24"/>
          <w:sz w:val="22"/>
        </w:rPr>
        <w:t>acrescentar módulos cedo demais destrói o diferencial de simplicidade.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Dados sensíveis: </w:t>
      </w:r>
      <w:r>
        <w:rPr>
          <w:rFonts w:ascii="Calibri" w:hAnsi="Calibri"/>
          <w:b w:val="0"/>
          <w:i w:val="0"/>
          <w:color w:val="202A24"/>
          <w:sz w:val="22"/>
        </w:rPr>
        <w:t>falhas de privacidade podem inviabilizar a adoção.</w:t>
      </w:r>
    </w:p>
    <w:p>
      <w:pPr>
        <w:pStyle w:val="Heading1"/>
      </w:pPr>
      <w:r>
        <w:t>Fontes e referências</w:t>
      </w:r>
    </w:p>
    <w:p>
      <w:pPr>
        <w:spacing w:after="80"/>
      </w:pPr>
      <w:r>
        <w:rPr>
          <w:rFonts w:ascii="Calibri" w:hAnsi="Calibri"/>
          <w:b w:val="0"/>
          <w:i w:val="0"/>
          <w:color w:val="647169"/>
          <w:sz w:val="17"/>
        </w:rPr>
        <w:t>As fontes externas sustentam os dados e comparações. As referências internas documentam como a proposta foi traduzida para a arquitetura e para os fluxos do aplicativo.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1. </w:t>
      </w:r>
      <w:r>
        <w:rPr>
          <w:rFonts w:ascii="Calibri" w:hAnsi="Calibri"/>
          <w:b/>
          <w:i w:val="0"/>
          <w:color w:val="202A24"/>
          <w:sz w:val="17"/>
        </w:rPr>
        <w:t xml:space="preserve">IBGE. </w:t>
      </w:r>
      <w:r>
        <w:rPr>
          <w:rFonts w:ascii="Calibri" w:hAnsi="Calibri"/>
          <w:b w:val="0"/>
          <w:i w:val="0"/>
          <w:color w:val="202A24"/>
          <w:sz w:val="17"/>
        </w:rPr>
        <w:t>Censo Agropecuário 2017: agricultura familiar. https://agenciadenoticias.ibge.gov.br/agencia-sala-de-imprensa/2013-agencia-de-noticias/releases/25789-censo-agro-2017-populacao-ocupada-nos-estabelecimentos-agropecuarios-cai-8-8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2. </w:t>
      </w:r>
      <w:r>
        <w:rPr>
          <w:rFonts w:ascii="Calibri" w:hAnsi="Calibri"/>
          <w:b/>
          <w:i w:val="0"/>
          <w:color w:val="202A24"/>
          <w:sz w:val="17"/>
        </w:rPr>
        <w:t xml:space="preserve">Embrapa, SP Ventures e Homo Ludens. </w:t>
      </w:r>
      <w:r>
        <w:rPr>
          <w:rFonts w:ascii="Calibri" w:hAnsi="Calibri"/>
          <w:b w:val="0"/>
          <w:i w:val="0"/>
          <w:color w:val="202A24"/>
          <w:sz w:val="17"/>
        </w:rPr>
        <w:t>Radar Agtech Brasil 2024 - Análise do Mapeamento das Agtechs. https://www.alice.cnptia.embrapa.br/alice/bitstream/doc/1184288/1/Analise-mapeamento-agtechs-2025.pdf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3. </w:t>
      </w:r>
      <w:r>
        <w:rPr>
          <w:rFonts w:ascii="Calibri" w:hAnsi="Calibri"/>
          <w:b/>
          <w:i w:val="0"/>
          <w:color w:val="202A24"/>
          <w:sz w:val="17"/>
        </w:rPr>
        <w:t xml:space="preserve">Orbia. </w:t>
      </w:r>
      <w:r>
        <w:rPr>
          <w:rFonts w:ascii="Calibri" w:hAnsi="Calibri"/>
          <w:b w:val="0"/>
          <w:i w:val="0"/>
          <w:color w:val="202A24"/>
          <w:sz w:val="17"/>
        </w:rPr>
        <w:t>4 plataformas essenciais de gestão para a sua lavoura. https://www.orbia.ag/Novidades/4-plataformas-essenciais-de-gestao-para-a-sua-lavoura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4. </w:t>
      </w:r>
      <w:r>
        <w:rPr>
          <w:rFonts w:ascii="Calibri" w:hAnsi="Calibri"/>
          <w:b/>
          <w:i w:val="0"/>
          <w:color w:val="202A24"/>
          <w:sz w:val="17"/>
        </w:rPr>
        <w:t xml:space="preserve">Aegro. </w:t>
      </w:r>
      <w:r>
        <w:rPr>
          <w:rFonts w:ascii="Calibri" w:hAnsi="Calibri"/>
          <w:b w:val="0"/>
          <w:i w:val="0"/>
          <w:color w:val="202A24"/>
          <w:sz w:val="17"/>
        </w:rPr>
        <w:t>Site oficial e descrição das soluções. https://aegro.com.br/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5. </w:t>
      </w:r>
      <w:r>
        <w:rPr>
          <w:rFonts w:ascii="Calibri" w:hAnsi="Calibri"/>
          <w:b/>
          <w:i w:val="0"/>
          <w:color w:val="202A24"/>
          <w:sz w:val="17"/>
        </w:rPr>
        <w:t xml:space="preserve">MyFarm. </w:t>
      </w:r>
      <w:r>
        <w:rPr>
          <w:rFonts w:ascii="Calibri" w:hAnsi="Calibri"/>
          <w:b w:val="0"/>
          <w:i w:val="0"/>
          <w:color w:val="202A24"/>
          <w:sz w:val="17"/>
        </w:rPr>
        <w:t>Site oficial e módulos. https://www.myfarm.com.br/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160"/>
    </w:tblGrid>
    <w:tr>
      <w:tc>
        <w:tcPr>
          <w:tcW w:type="dxa" w:w="72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Calibri" w:hAnsi="Calibri"/>
              <w:b w:val="0"/>
              <w:i w:val="0"/>
              <w:color w:val="647169"/>
              <w:sz w:val="17"/>
            </w:rPr>
            <w:t>Documento de ideação | 11 de agosto de 2026</w:t>
          </w:r>
        </w:p>
      </w:tc>
      <w:tc>
        <w:tcPr>
          <w:tcW w:type="dxa" w:w="216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47169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color w:val="64716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14362F"/>
              <w:sz w:val="18"/>
            </w:rPr>
            <w:t>AGROGESTÃO PRO</w:t>
          </w:r>
        </w:p>
      </w:tc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647169"/>
              <w:sz w:val="17"/>
            </w:rPr>
            <w:t>ESTUDO DE MERCADO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36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254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14B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mercado</dc:title>
  <dc:subject>Documentação definitiva do projeto AgroGestão Pro</dc:subject>
  <dc:creator>Projeto AgroGestão Pro</dc:creator>
  <cp:keywords>AgroGestão Pro, agricultura familiar, gestão rural, ideação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