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560"/>
      </w:pPr>
    </w:p>
    <w:p>
      <w:pPr>
        <w:widowControl/>
        <w:spacing w:after="280"/>
        <w:jc w:val="center"/>
      </w:pPr>
      <w:r>
        <w:rPr>
          <w:rFonts w:ascii="Calibri" w:hAnsi="Calibri"/>
          <w:b/>
          <w:color w:val="9A680B"/>
          <w:sz w:val="22"/>
        </w:rPr>
        <w:t>DOSSIÊ-BASE PARA PESQUISA DE MERCADO</w:t>
      </w:r>
    </w:p>
    <w:p>
      <w:pPr>
        <w:widowControl/>
        <w:spacing w:after="140"/>
        <w:jc w:val="center"/>
      </w:pPr>
      <w:r>
        <w:rPr>
          <w:rFonts w:ascii="Calibri" w:hAnsi="Calibri"/>
          <w:b/>
          <w:color w:val="123D1A"/>
          <w:sz w:val="60"/>
        </w:rPr>
        <w:t>AgroGestão Pro</w:t>
      </w:r>
    </w:p>
    <w:p>
      <w:pPr>
        <w:widowControl/>
        <w:spacing w:after="560"/>
        <w:jc w:val="center"/>
      </w:pPr>
      <w:r>
        <w:rPr>
          <w:rFonts w:ascii="Calibri" w:hAnsi="Calibri"/>
          <w:color w:val="1F6A24"/>
          <w:sz w:val="30"/>
        </w:rPr>
        <w:t>Estratégia de produto, posicionamento competitivo e roteiro de investigação para o NotebookLM</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5EB"/>
            <w:tcMar>
              <w:top w:w="80" w:type="dxa"/>
              <w:bottom w:w="80" w:type="dxa"/>
              <w:start w:w="120" w:type="dxa"/>
              <w:end w:w="120" w:type="dxa"/>
            </w:tcMar>
            <w:vAlign w:val="center"/>
          </w:tcPr>
          <w:p>
            <w:pPr>
              <w:spacing w:after="0"/>
            </w:pPr>
            <w:r>
              <w:rPr>
                <w:rFonts w:ascii="Calibri" w:hAnsi="Calibri"/>
                <w:b/>
                <w:color w:val="123D1A"/>
                <w:sz w:val="18"/>
              </w:rPr>
              <w:t xml:space="preserve">TESE CENTRAL  </w:t>
            </w:r>
            <w:r>
              <w:rPr>
                <w:rFonts w:ascii="Calibri" w:hAnsi="Calibri"/>
                <w:color w:val="1B241D"/>
                <w:sz w:val="21"/>
              </w:rPr>
              <w:t>Ser o aplicativo de gestão mais simples, confiável e útil para agricultores familiares e médios produtores que precisam operar sem internet, organizar a propriedade e transformar registros cotidianos em credibilidade para decisões e acesso ao crédito.</w:t>
            </w:r>
          </w:p>
        </w:tc>
      </w:tr>
    </w:tbl>
    <w:p>
      <w:pPr>
        <w:widowControl/>
        <w:spacing w:after="40"/>
      </w:pPr>
    </w:p>
    <w:p>
      <w:pPr>
        <w:widowControl/>
        <w:jc w:val="center"/>
      </w:pPr>
      <w:r>
        <w:rPr>
          <w:rFonts w:ascii="Calibri" w:hAnsi="Calibri"/>
          <w:b/>
          <w:color w:val="5E6861"/>
          <w:sz w:val="20"/>
        </w:rPr>
        <w:t>Base técnica: aplicativo Android nativo • Kotlin/Jetpack Compose • versão analisada 1.1.0-beta8</w:t>
      </w:r>
    </w:p>
    <w:p>
      <w:pPr>
        <w:widowControl/>
        <w:jc w:val="center"/>
      </w:pPr>
      <w:r>
        <w:rPr>
          <w:rFonts w:ascii="Calibri" w:hAnsi="Calibri"/>
          <w:color w:val="5E6861"/>
          <w:sz w:val="20"/>
        </w:rPr>
        <w:t>Recorte prioritário: agricultura familiar, pequenas e médias propriedades e cooperativas do Nordeste brasileiro</w:t>
      </w:r>
    </w:p>
    <w:p>
      <w:pPr>
        <w:widowControl/>
      </w:pPr>
      <w:r>
        <w:br w:type="page"/>
      </w:r>
    </w:p>
    <w:p>
      <w:pPr>
        <w:pStyle w:val="Heading1"/>
        <w:keepNext/>
        <w:widowControl/>
      </w:pPr>
      <w:r>
        <w:t>1. Como usar este documento no NotebookLM</w:t>
      </w:r>
    </w:p>
    <w:p>
      <w:pPr>
        <w:widowControl/>
      </w:pPr>
      <w:r>
        <w:t>Este arquivo foi preparado como fonte de contexto, e não como uma pesquisa de mercado concluída. Ele reúne o que já se sabe sobre o produto, as hipóteses estratégicas, os concorrentes iniciais, os riscos e as perguntas que devem orientar a investigação. Ao utilizá-lo no NotebookLM, adicione também as fontes primárias indicadas no final e materiais coletados em entrevistas.</w:t>
      </w:r>
    </w:p>
    <w:p>
      <w:pPr>
        <w:pStyle w:val="Heading2"/>
        <w:keepNext/>
        <w:widowControl/>
      </w:pPr>
      <w:r>
        <w:t>1.1 Sequência recomendada</w:t>
      </w:r>
    </w:p>
    <w:p>
      <w:pPr>
        <w:spacing w:after="160" w:line="280" w:lineRule="auto"/>
        <w:widowControl/>
        <w:numPr>
          <w:ilvl w:val="0"/>
          <w:numId w:val="12"/>
        </w:numPr>
      </w:pPr>
      <w:r>
        <w:t>Adicionar este DOCX como fonte principal de contexto do AgroGestão Pro.</w:t>
      </w:r>
    </w:p>
    <w:p>
      <w:pPr>
        <w:spacing w:after="160" w:line="280" w:lineRule="auto"/>
        <w:widowControl/>
        <w:numPr>
          <w:ilvl w:val="0"/>
          <w:numId w:val="12"/>
        </w:numPr>
      </w:pPr>
      <w:r>
        <w:t>Adicionar, separadamente, as páginas oficiais dos concorrentes, relatórios da Embrapa, dados do IBGE, informações do Banco Central e documentos do Plano Safra/Pronaf.</w:t>
      </w:r>
    </w:p>
    <w:p>
      <w:pPr>
        <w:spacing w:after="160" w:line="280" w:lineRule="auto"/>
        <w:widowControl/>
        <w:numPr>
          <w:ilvl w:val="0"/>
          <w:numId w:val="12"/>
        </w:numPr>
      </w:pPr>
      <w:r>
        <w:t>Solicitar ao NotebookLM que separe fatos comprovados, afirmações comerciais de concorrentes, inferências e lacunas de evidência.</w:t>
      </w:r>
    </w:p>
    <w:p>
      <w:pPr>
        <w:spacing w:after="160" w:line="280" w:lineRule="auto"/>
        <w:widowControl/>
        <w:numPr>
          <w:ilvl w:val="0"/>
          <w:numId w:val="12"/>
        </w:numPr>
      </w:pPr>
      <w:r>
        <w:t>Executar a pesquisa por blocos: mercado, usuário, concorrência, modelo de negócio, crédito rural, distribuição e riscos regulatórios.</w:t>
      </w:r>
    </w:p>
    <w:p>
      <w:pPr>
        <w:spacing w:after="160" w:line="280" w:lineRule="auto"/>
        <w:widowControl/>
        <w:numPr>
          <w:ilvl w:val="0"/>
          <w:numId w:val="12"/>
        </w:numPr>
      </w:pPr>
      <w:r>
        <w:t>Atualizar as conclusões com entrevistas de produtores, cooperativas, técnicos de ATER e agentes de crédito.</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FF5DA"/>
            <w:tcMar>
              <w:top w:w="80" w:type="dxa"/>
              <w:bottom w:w="80" w:type="dxa"/>
              <w:start w:w="120" w:type="dxa"/>
              <w:end w:w="120" w:type="dxa"/>
            </w:tcMar>
            <w:vAlign w:val="center"/>
          </w:tcPr>
          <w:p>
            <w:pPr>
              <w:spacing w:after="0"/>
            </w:pPr>
            <w:r>
              <w:rPr>
                <w:rFonts w:ascii="Calibri" w:hAnsi="Calibri"/>
                <w:b/>
                <w:color w:val="9A680B"/>
                <w:sz w:val="18"/>
              </w:rPr>
              <w:t xml:space="preserve">REGRA DE PESQUISA  </w:t>
            </w:r>
            <w:r>
              <w:rPr>
                <w:rFonts w:ascii="Calibri" w:hAnsi="Calibri"/>
                <w:color w:val="1B241D"/>
                <w:sz w:val="21"/>
              </w:rPr>
              <w:t>Não tratar a visão deste documento como conclusão. Cada diferencial proposto deve ser validado com evidência de uso, disposição a pagar, comparação real e entrevistas de campo.</w:t>
            </w:r>
          </w:p>
        </w:tc>
      </w:tr>
    </w:tbl>
    <w:p>
      <w:pPr>
        <w:widowControl/>
        <w:spacing w:after="40"/>
      </w:pPr>
    </w:p>
    <w:p>
      <w:pPr>
        <w:pStyle w:val="Heading1"/>
        <w:keepNext/>
        <w:widowControl/>
      </w:pPr>
      <w:r>
        <w:t>2. Hierarquia das informações</w:t>
      </w:r>
    </w:p>
    <w:tbl>
      <w:tblPr>
        <w:tblStyle w:val="TableGrid"/>
        <w:tblW w:type="dxa" w:w="9360"/>
        <w:jc w:val="center"/>
        <w:tblLayout w:type="fixed"/>
        <w:tblLook w:firstColumn="1" w:firstRow="1" w:lastColumn="0" w:lastRow="0" w:noHBand="0" w:noVBand="1" w:val="04A0"/>
        <w:tblInd w:w="120" w:type="dxa"/>
      </w:tblPr>
      <w:tblGrid>
        <w:gridCol w:w="1500"/>
        <w:gridCol w:w="3600"/>
        <w:gridCol w:w="4260"/>
      </w:tblGrid>
      <w:tr>
        <w:trPr>
          <w:tblHeader w:val="true"/>
          <w:cantSplit/>
        </w:trPr>
        <w:tc>
          <w:tcPr>
            <w:tcW w:type="dxa" w:w="1500"/>
            <w:shd w:fill="F2F4F3"/>
            <w:vAlign w:val="center"/>
            <w:tcMar>
              <w:top w:w="80" w:type="dxa"/>
              <w:bottom w:w="80" w:type="dxa"/>
              <w:start w:w="120" w:type="dxa"/>
              <w:end w:w="120" w:type="dxa"/>
            </w:tcMar>
          </w:tcPr>
          <w:p>
            <w:pPr>
              <w:spacing w:after="40"/>
            </w:pPr>
            <w:r>
              <w:rPr>
                <w:rFonts w:ascii="Calibri" w:hAnsi="Calibri"/>
                <w:b/>
                <w:color w:val="123D1A"/>
                <w:sz w:val="17"/>
              </w:rPr>
              <w:t>Classe</w:t>
            </w:r>
          </w:p>
        </w:tc>
        <w:tc>
          <w:tcPr>
            <w:tcW w:type="dxa" w:w="3600"/>
            <w:shd w:fill="F2F4F3"/>
            <w:vAlign w:val="center"/>
            <w:tcMar>
              <w:top w:w="80" w:type="dxa"/>
              <w:bottom w:w="80" w:type="dxa"/>
              <w:start w:w="120" w:type="dxa"/>
              <w:end w:w="120" w:type="dxa"/>
            </w:tcMar>
          </w:tcPr>
          <w:p>
            <w:pPr>
              <w:spacing w:after="40"/>
            </w:pPr>
            <w:r>
              <w:rPr>
                <w:rFonts w:ascii="Calibri" w:hAnsi="Calibri"/>
                <w:b/>
                <w:color w:val="123D1A"/>
                <w:sz w:val="17"/>
              </w:rPr>
              <w:t>O que significa</w:t>
            </w:r>
          </w:p>
        </w:tc>
        <w:tc>
          <w:tcPr>
            <w:tcW w:type="dxa" w:w="4260"/>
            <w:shd w:fill="F2F4F3"/>
            <w:vAlign w:val="center"/>
            <w:tcMar>
              <w:top w:w="80" w:type="dxa"/>
              <w:bottom w:w="80" w:type="dxa"/>
              <w:start w:w="120" w:type="dxa"/>
              <w:end w:w="120" w:type="dxa"/>
            </w:tcMar>
          </w:tcPr>
          <w:p>
            <w:pPr>
              <w:spacing w:after="40"/>
            </w:pPr>
            <w:r>
              <w:rPr>
                <w:rFonts w:ascii="Calibri" w:hAnsi="Calibri"/>
                <w:b/>
                <w:color w:val="123D1A"/>
                <w:sz w:val="17"/>
              </w:rPr>
              <w:t>Como usar na pesquisa</w:t>
            </w:r>
          </w:p>
        </w:tc>
      </w:tr>
      <w:tr>
        <w:trPr>
          <w:cantSplit/>
        </w:trPr>
        <w:tc>
          <w:tcPr>
            <w:tcW w:type="dxa" w:w="1500"/>
            <w:vAlign w:val="center"/>
            <w:tcMar>
              <w:top w:w="80" w:type="dxa"/>
              <w:bottom w:w="80" w:type="dxa"/>
              <w:start w:w="120" w:type="dxa"/>
              <w:end w:w="120" w:type="dxa"/>
            </w:tcMar>
          </w:tcPr>
          <w:p>
            <w:pPr>
              <w:spacing w:after="20" w:line="252" w:lineRule="auto"/>
            </w:pPr>
            <w:r>
              <w:rPr>
                <w:rFonts w:ascii="Calibri" w:hAnsi="Calibri"/>
                <w:color w:val="1B241D"/>
                <w:sz w:val="17"/>
              </w:rPr>
              <w:t>Fato do produto</w:t>
            </w:r>
          </w:p>
        </w:tc>
        <w:tc>
          <w:tcPr>
            <w:tcW w:type="dxa" w:w="3600"/>
            <w:vAlign w:val="center"/>
            <w:tcMar>
              <w:top w:w="80" w:type="dxa"/>
              <w:bottom w:w="80" w:type="dxa"/>
              <w:start w:w="120" w:type="dxa"/>
              <w:end w:w="120" w:type="dxa"/>
            </w:tcMar>
          </w:tcPr>
          <w:p>
            <w:pPr>
              <w:spacing w:after="20" w:line="252" w:lineRule="auto"/>
            </w:pPr>
            <w:r>
              <w:rPr>
                <w:rFonts w:ascii="Calibri" w:hAnsi="Calibri"/>
                <w:color w:val="1B241D"/>
                <w:sz w:val="17"/>
              </w:rPr>
              <w:t>Elemento observado no repositório Android ou em documentação técnica conferida.</w:t>
            </w:r>
          </w:p>
        </w:tc>
        <w:tc>
          <w:tcPr>
            <w:tcW w:type="dxa" w:w="4260"/>
            <w:vAlign w:val="center"/>
            <w:tcMar>
              <w:top w:w="80" w:type="dxa"/>
              <w:bottom w:w="80" w:type="dxa"/>
              <w:start w:w="120" w:type="dxa"/>
              <w:end w:w="120" w:type="dxa"/>
            </w:tcMar>
          </w:tcPr>
          <w:p>
            <w:pPr>
              <w:spacing w:after="20" w:line="252" w:lineRule="auto"/>
            </w:pPr>
            <w:r>
              <w:rPr>
                <w:rFonts w:ascii="Calibri" w:hAnsi="Calibri"/>
                <w:color w:val="1B241D"/>
                <w:sz w:val="17"/>
              </w:rPr>
              <w:t>Pode descrever a beta atual, respeitando seus limites.</w:t>
            </w:r>
          </w:p>
        </w:tc>
      </w:tr>
      <w:tr>
        <w:trPr>
          <w:cantSplit/>
        </w:trPr>
        <w:tc>
          <w:tcPr>
            <w:tcW w:type="dxa" w:w="1500"/>
            <w:shd w:fill="F8FAF8"/>
            <w:vAlign w:val="center"/>
            <w:tcMar>
              <w:top w:w="80" w:type="dxa"/>
              <w:bottom w:w="80" w:type="dxa"/>
              <w:start w:w="120" w:type="dxa"/>
              <w:end w:w="120" w:type="dxa"/>
            </w:tcMar>
          </w:tcPr>
          <w:p>
            <w:pPr>
              <w:spacing w:after="20" w:line="252" w:lineRule="auto"/>
            </w:pPr>
            <w:r>
              <w:rPr>
                <w:rFonts w:ascii="Calibri" w:hAnsi="Calibri"/>
                <w:color w:val="1B241D"/>
                <w:sz w:val="17"/>
              </w:rPr>
              <w:t>Fato de mercado</w:t>
            </w:r>
          </w:p>
        </w:tc>
        <w:tc>
          <w:tcPr>
            <w:tcW w:type="dxa" w:w="3600"/>
            <w:shd w:fill="F8FAF8"/>
            <w:vAlign w:val="center"/>
            <w:tcMar>
              <w:top w:w="80" w:type="dxa"/>
              <w:bottom w:w="80" w:type="dxa"/>
              <w:start w:w="120" w:type="dxa"/>
              <w:end w:w="120" w:type="dxa"/>
            </w:tcMar>
          </w:tcPr>
          <w:p>
            <w:pPr>
              <w:spacing w:after="20" w:line="252" w:lineRule="auto"/>
            </w:pPr>
            <w:r>
              <w:rPr>
                <w:rFonts w:ascii="Calibri" w:hAnsi="Calibri"/>
                <w:color w:val="1B241D"/>
                <w:sz w:val="17"/>
              </w:rPr>
              <w:t>Dado publicado por fonte oficial ou pela própria empresa concorrente.</w:t>
            </w:r>
          </w:p>
        </w:tc>
        <w:tc>
          <w:tcPr>
            <w:tcW w:type="dxa" w:w="4260"/>
            <w:shd w:fill="F8FAF8"/>
            <w:vAlign w:val="center"/>
            <w:tcMar>
              <w:top w:w="80" w:type="dxa"/>
              <w:bottom w:w="80" w:type="dxa"/>
              <w:start w:w="120" w:type="dxa"/>
              <w:end w:w="120" w:type="dxa"/>
            </w:tcMar>
          </w:tcPr>
          <w:p>
            <w:pPr>
              <w:spacing w:after="20" w:line="252" w:lineRule="auto"/>
            </w:pPr>
            <w:r>
              <w:rPr>
                <w:rFonts w:ascii="Calibri" w:hAnsi="Calibri"/>
                <w:color w:val="1B241D"/>
                <w:sz w:val="17"/>
              </w:rPr>
              <w:t>Citar fonte, data e metodologia; afirmações do fornecedor não são validação independente.</w:t>
            </w:r>
          </w:p>
        </w:tc>
      </w:tr>
      <w:tr>
        <w:trPr>
          <w:cantSplit/>
        </w:trPr>
        <w:tc>
          <w:tcPr>
            <w:tcW w:type="dxa" w:w="1500"/>
            <w:vAlign w:val="center"/>
            <w:tcMar>
              <w:top w:w="80" w:type="dxa"/>
              <w:bottom w:w="80" w:type="dxa"/>
              <w:start w:w="120" w:type="dxa"/>
              <w:end w:w="120" w:type="dxa"/>
            </w:tcMar>
          </w:tcPr>
          <w:p>
            <w:pPr>
              <w:spacing w:after="20" w:line="252" w:lineRule="auto"/>
            </w:pPr>
            <w:r>
              <w:rPr>
                <w:rFonts w:ascii="Calibri" w:hAnsi="Calibri"/>
                <w:color w:val="1B241D"/>
                <w:sz w:val="17"/>
              </w:rPr>
              <w:t>Hipótese</w:t>
            </w:r>
          </w:p>
        </w:tc>
        <w:tc>
          <w:tcPr>
            <w:tcW w:type="dxa" w:w="3600"/>
            <w:vAlign w:val="center"/>
            <w:tcMar>
              <w:top w:w="80" w:type="dxa"/>
              <w:bottom w:w="80" w:type="dxa"/>
              <w:start w:w="120" w:type="dxa"/>
              <w:end w:w="120" w:type="dxa"/>
            </w:tcMar>
          </w:tcPr>
          <w:p>
            <w:pPr>
              <w:spacing w:after="20" w:line="252" w:lineRule="auto"/>
            </w:pPr>
            <w:r>
              <w:rPr>
                <w:rFonts w:ascii="Calibri" w:hAnsi="Calibri"/>
                <w:color w:val="1B241D"/>
                <w:sz w:val="17"/>
              </w:rPr>
              <w:t>Suposição sobre problema, valor, diferenciação, preço ou comportamento.</w:t>
            </w:r>
          </w:p>
        </w:tc>
        <w:tc>
          <w:tcPr>
            <w:tcW w:type="dxa" w:w="4260"/>
            <w:vAlign w:val="center"/>
            <w:tcMar>
              <w:top w:w="80" w:type="dxa"/>
              <w:bottom w:w="80" w:type="dxa"/>
              <w:start w:w="120" w:type="dxa"/>
              <w:end w:w="120" w:type="dxa"/>
            </w:tcMar>
          </w:tcPr>
          <w:p>
            <w:pPr>
              <w:spacing w:after="20" w:line="252" w:lineRule="auto"/>
            </w:pPr>
            <w:r>
              <w:rPr>
                <w:rFonts w:ascii="Calibri" w:hAnsi="Calibri"/>
                <w:color w:val="1B241D"/>
                <w:sz w:val="17"/>
              </w:rPr>
              <w:t>Deve gerar uma pergunta ou experimento.</w:t>
            </w:r>
          </w:p>
        </w:tc>
      </w:tr>
      <w:tr>
        <w:trPr>
          <w:cantSplit/>
        </w:trPr>
        <w:tc>
          <w:tcPr>
            <w:tcW w:type="dxa" w:w="1500"/>
            <w:shd w:fill="F8FAF8"/>
            <w:vAlign w:val="center"/>
            <w:tcMar>
              <w:top w:w="80" w:type="dxa"/>
              <w:bottom w:w="80" w:type="dxa"/>
              <w:start w:w="120" w:type="dxa"/>
              <w:end w:w="120" w:type="dxa"/>
            </w:tcMar>
          </w:tcPr>
          <w:p>
            <w:pPr>
              <w:spacing w:after="20" w:line="252" w:lineRule="auto"/>
            </w:pPr>
            <w:r>
              <w:rPr>
                <w:rFonts w:ascii="Calibri" w:hAnsi="Calibri"/>
                <w:color w:val="1B241D"/>
                <w:sz w:val="17"/>
              </w:rPr>
              <w:t>Visão futura</w:t>
            </w:r>
          </w:p>
        </w:tc>
        <w:tc>
          <w:tcPr>
            <w:tcW w:type="dxa" w:w="3600"/>
            <w:shd w:fill="F8FAF8"/>
            <w:vAlign w:val="center"/>
            <w:tcMar>
              <w:top w:w="80" w:type="dxa"/>
              <w:bottom w:w="80" w:type="dxa"/>
              <w:start w:w="120" w:type="dxa"/>
              <w:end w:w="120" w:type="dxa"/>
            </w:tcMar>
          </w:tcPr>
          <w:p>
            <w:pPr>
              <w:spacing w:after="20" w:line="252" w:lineRule="auto"/>
            </w:pPr>
            <w:r>
              <w:rPr>
                <w:rFonts w:ascii="Calibri" w:hAnsi="Calibri"/>
                <w:color w:val="1B241D"/>
                <w:sz w:val="17"/>
              </w:rPr>
              <w:t>Recurso ou experiência idealizada, ainda não implementada.</w:t>
            </w:r>
          </w:p>
        </w:tc>
        <w:tc>
          <w:tcPr>
            <w:tcW w:type="dxa" w:w="4260"/>
            <w:shd w:fill="F8FAF8"/>
            <w:vAlign w:val="center"/>
            <w:tcMar>
              <w:top w:w="80" w:type="dxa"/>
              <w:bottom w:w="80" w:type="dxa"/>
              <w:start w:w="120" w:type="dxa"/>
              <w:end w:w="120" w:type="dxa"/>
            </w:tcMar>
          </w:tcPr>
          <w:p>
            <w:pPr>
              <w:spacing w:after="20" w:line="252" w:lineRule="auto"/>
            </w:pPr>
            <w:r>
              <w:rPr>
                <w:rFonts w:ascii="Calibri" w:hAnsi="Calibri"/>
                <w:color w:val="1B241D"/>
                <w:sz w:val="17"/>
              </w:rPr>
              <w:t>Não apresentar como capacidade atual.</w:t>
            </w:r>
          </w:p>
        </w:tc>
      </w:tr>
      <w:tr>
        <w:trPr>
          <w:cantSplit/>
        </w:trPr>
        <w:tc>
          <w:tcPr>
            <w:tcW w:type="dxa" w:w="1500"/>
            <w:vAlign w:val="center"/>
            <w:tcMar>
              <w:top w:w="80" w:type="dxa"/>
              <w:bottom w:w="80" w:type="dxa"/>
              <w:start w:w="120" w:type="dxa"/>
              <w:end w:w="120" w:type="dxa"/>
            </w:tcMar>
          </w:tcPr>
          <w:p>
            <w:pPr>
              <w:spacing w:after="20" w:line="252" w:lineRule="auto"/>
            </w:pPr>
            <w:r>
              <w:rPr>
                <w:rFonts w:ascii="Calibri" w:hAnsi="Calibri"/>
                <w:color w:val="1B241D"/>
                <w:sz w:val="17"/>
              </w:rPr>
              <w:t>Decisão pendente</w:t>
            </w:r>
          </w:p>
        </w:tc>
        <w:tc>
          <w:tcPr>
            <w:tcW w:type="dxa" w:w="3600"/>
            <w:vAlign w:val="center"/>
            <w:tcMar>
              <w:top w:w="80" w:type="dxa"/>
              <w:bottom w:w="80" w:type="dxa"/>
              <w:start w:w="120" w:type="dxa"/>
              <w:end w:w="120" w:type="dxa"/>
            </w:tcMar>
          </w:tcPr>
          <w:p>
            <w:pPr>
              <w:spacing w:after="20" w:line="252" w:lineRule="auto"/>
            </w:pPr>
            <w:r>
              <w:rPr>
                <w:rFonts w:ascii="Calibri" w:hAnsi="Calibri"/>
                <w:color w:val="1B241D"/>
                <w:sz w:val="17"/>
              </w:rPr>
              <w:t>Escolha que depende de pesquisa, parceria, custo ou risco.</w:t>
            </w:r>
          </w:p>
        </w:tc>
        <w:tc>
          <w:tcPr>
            <w:tcW w:type="dxa" w:w="4260"/>
            <w:vAlign w:val="center"/>
            <w:tcMar>
              <w:top w:w="80" w:type="dxa"/>
              <w:bottom w:w="80" w:type="dxa"/>
              <w:start w:w="120" w:type="dxa"/>
              <w:end w:w="120" w:type="dxa"/>
            </w:tcMar>
          </w:tcPr>
          <w:p>
            <w:pPr>
              <w:spacing w:after="20" w:line="252" w:lineRule="auto"/>
            </w:pPr>
            <w:r>
              <w:rPr>
                <w:rFonts w:ascii="Calibri" w:hAnsi="Calibri"/>
                <w:color w:val="1B241D"/>
                <w:sz w:val="17"/>
              </w:rPr>
              <w:t>Comparar opções antes de incluir no roadmap.</w:t>
            </w:r>
          </w:p>
        </w:tc>
      </w:tr>
    </w:tbl>
    <w:p>
      <w:pPr>
        <w:widowControl/>
        <w:spacing w:after="40"/>
      </w:pPr>
    </w:p>
    <w:p>
      <w:pPr>
        <w:pStyle w:val="Heading1"/>
        <w:keepNext/>
        <w:widowControl/>
      </w:pPr>
      <w:r>
        <w:t>3. Resumo do projeto</w:t>
      </w:r>
    </w:p>
    <w:p>
      <w:pPr>
        <w:widowControl/>
      </w:pPr>
      <w:r>
        <w:t>O AgroGestão Pro é um aplicativo Android offline-first para organizar perfil da propriedade, safras/talhões, tarefas e fluxo financeiro. A beta também gera um relatório informativo de crédito rural com consentimento, histórico e verificação de integridade. O banco local Room é a fonte principal; uma conta Supabase oferece sincronização opcional.</w:t>
      </w:r>
    </w:p>
    <w:p>
      <w:pPr>
        <w:pStyle w:val="Heading2"/>
        <w:keepNext/>
        <w:widowControl/>
      </w:pPr>
      <w:r>
        <w:t>3.1 Estado técnico verificado</w:t>
      </w:r>
    </w:p>
    <w:tbl>
      <w:tblPr>
        <w:tblStyle w:val="TableGrid"/>
        <w:tblW w:type="dxa" w:w="9360"/>
        <w:jc w:val="center"/>
        <w:tblLayout w:type="fixed"/>
        <w:tblLook w:firstColumn="1" w:firstRow="1" w:lastColumn="0" w:lastRow="0" w:noHBand="0" w:noVBand="1" w:val="04A0"/>
        <w:tblInd w:w="120" w:type="dxa"/>
      </w:tblPr>
      <w:tblGrid>
        <w:gridCol w:w="1420"/>
        <w:gridCol w:w="4380"/>
        <w:gridCol w:w="3560"/>
      </w:tblGrid>
      <w:tr>
        <w:trPr>
          <w:tblHeader w:val="true"/>
          <w:cantSplit/>
        </w:trPr>
        <w:tc>
          <w:tcPr>
            <w:tcW w:type="dxa" w:w="1420"/>
            <w:shd w:fill="F2F4F3"/>
            <w:vAlign w:val="center"/>
            <w:tcMar>
              <w:top w:w="80" w:type="dxa"/>
              <w:bottom w:w="80" w:type="dxa"/>
              <w:start w:w="120" w:type="dxa"/>
              <w:end w:w="120" w:type="dxa"/>
            </w:tcMar>
          </w:tcPr>
          <w:p>
            <w:pPr>
              <w:spacing w:after="40"/>
            </w:pPr>
            <w:r>
              <w:rPr>
                <w:rFonts w:ascii="Calibri" w:hAnsi="Calibri"/>
                <w:b/>
                <w:color w:val="123D1A"/>
                <w:sz w:val="17"/>
              </w:rPr>
              <w:t>Área</w:t>
            </w:r>
          </w:p>
        </w:tc>
        <w:tc>
          <w:tcPr>
            <w:tcW w:type="dxa" w:w="4380"/>
            <w:shd w:fill="F2F4F3"/>
            <w:vAlign w:val="center"/>
            <w:tcMar>
              <w:top w:w="80" w:type="dxa"/>
              <w:bottom w:w="80" w:type="dxa"/>
              <w:start w:w="120" w:type="dxa"/>
              <w:end w:w="120" w:type="dxa"/>
            </w:tcMar>
          </w:tcPr>
          <w:p>
            <w:pPr>
              <w:spacing w:after="40"/>
            </w:pPr>
            <w:r>
              <w:rPr>
                <w:rFonts w:ascii="Calibri" w:hAnsi="Calibri"/>
                <w:b/>
                <w:color w:val="123D1A"/>
                <w:sz w:val="17"/>
              </w:rPr>
              <w:t>Implementado na beta</w:t>
            </w:r>
          </w:p>
        </w:tc>
        <w:tc>
          <w:tcPr>
            <w:tcW w:type="dxa" w:w="3560"/>
            <w:shd w:fill="F2F4F3"/>
            <w:vAlign w:val="center"/>
            <w:tcMar>
              <w:top w:w="80" w:type="dxa"/>
              <w:bottom w:w="80" w:type="dxa"/>
              <w:start w:w="120" w:type="dxa"/>
              <w:end w:w="120" w:type="dxa"/>
            </w:tcMar>
          </w:tcPr>
          <w:p>
            <w:pPr>
              <w:spacing w:after="40"/>
            </w:pPr>
            <w:r>
              <w:rPr>
                <w:rFonts w:ascii="Calibri" w:hAnsi="Calibri"/>
                <w:b/>
                <w:color w:val="123D1A"/>
                <w:sz w:val="17"/>
              </w:rPr>
              <w:t>Limite relevante</w:t>
            </w:r>
          </w:p>
        </w:tc>
      </w:tr>
      <w:tr>
        <w:trPr>
          <w:cantSplit/>
        </w:trPr>
        <w:tc>
          <w:tcPr>
            <w:tcW w:type="dxa" w:w="1420"/>
            <w:vAlign w:val="center"/>
            <w:tcMar>
              <w:top w:w="80" w:type="dxa"/>
              <w:bottom w:w="80" w:type="dxa"/>
              <w:start w:w="120" w:type="dxa"/>
              <w:end w:w="120" w:type="dxa"/>
            </w:tcMar>
          </w:tcPr>
          <w:p>
            <w:pPr>
              <w:spacing w:after="20" w:line="252" w:lineRule="auto"/>
            </w:pPr>
            <w:r>
              <w:rPr>
                <w:rFonts w:ascii="Calibri" w:hAnsi="Calibri"/>
                <w:color w:val="1B241D"/>
                <w:sz w:val="17"/>
              </w:rPr>
              <w:t>Plataforma</w:t>
            </w:r>
          </w:p>
        </w:tc>
        <w:tc>
          <w:tcPr>
            <w:tcW w:type="dxa" w:w="4380"/>
            <w:vAlign w:val="center"/>
            <w:tcMar>
              <w:top w:w="80" w:type="dxa"/>
              <w:bottom w:w="80" w:type="dxa"/>
              <w:start w:w="120" w:type="dxa"/>
              <w:end w:w="120" w:type="dxa"/>
            </w:tcMar>
          </w:tcPr>
          <w:p>
            <w:pPr>
              <w:spacing w:after="20" w:line="252" w:lineRule="auto"/>
            </w:pPr>
            <w:r>
              <w:rPr>
                <w:rFonts w:ascii="Calibri" w:hAnsi="Calibri"/>
                <w:color w:val="1B241D"/>
                <w:sz w:val="17"/>
              </w:rPr>
              <w:t>Android nativo em Kotlin e Jetpack Compose; Android 7/API 24 ou superior.</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7"/>
              </w:rPr>
              <w:t>Sem iOS, web operacional ou desktop.</w:t>
            </w:r>
          </w:p>
        </w:tc>
      </w:tr>
      <w:tr>
        <w:trPr>
          <w:cantSplit/>
        </w:trPr>
        <w:tc>
          <w:tcPr>
            <w:tcW w:type="dxa" w:w="1420"/>
            <w:shd w:fill="F8FAF8"/>
            <w:vAlign w:val="center"/>
            <w:tcMar>
              <w:top w:w="80" w:type="dxa"/>
              <w:bottom w:w="80" w:type="dxa"/>
              <w:start w:w="120" w:type="dxa"/>
              <w:end w:w="120" w:type="dxa"/>
            </w:tcMar>
          </w:tcPr>
          <w:p>
            <w:pPr>
              <w:spacing w:after="20" w:line="252" w:lineRule="auto"/>
            </w:pPr>
            <w:r>
              <w:rPr>
                <w:rFonts w:ascii="Calibri" w:hAnsi="Calibri"/>
                <w:color w:val="1B241D"/>
                <w:sz w:val="17"/>
              </w:rPr>
              <w:t>Offline</w:t>
            </w:r>
          </w:p>
        </w:tc>
        <w:tc>
          <w:tcPr>
            <w:tcW w:type="dxa" w:w="4380"/>
            <w:shd w:fill="F8FAF8"/>
            <w:vAlign w:val="center"/>
            <w:tcMar>
              <w:top w:w="80" w:type="dxa"/>
              <w:bottom w:w="80" w:type="dxa"/>
              <w:start w:w="120" w:type="dxa"/>
              <w:end w:w="120" w:type="dxa"/>
            </w:tcMar>
          </w:tcPr>
          <w:p>
            <w:pPr>
              <w:spacing w:after="20" w:line="252" w:lineRule="auto"/>
            </w:pPr>
            <w:r>
              <w:rPr>
                <w:rFonts w:ascii="Calibri" w:hAnsi="Calibri"/>
                <w:color w:val="1B241D"/>
                <w:sz w:val="17"/>
              </w:rPr>
              <w:t>Room/SQLite, gravação local e sincronização posterior.</w:t>
            </w:r>
          </w:p>
        </w:tc>
        <w:tc>
          <w:tcPr>
            <w:tcW w:type="dxa" w:w="3560"/>
            <w:shd w:fill="F8FAF8"/>
            <w:vAlign w:val="center"/>
            <w:tcMar>
              <w:top w:w="80" w:type="dxa"/>
              <w:bottom w:w="80" w:type="dxa"/>
              <w:start w:w="120" w:type="dxa"/>
              <w:end w:w="120" w:type="dxa"/>
            </w:tcMar>
          </w:tcPr>
          <w:p>
            <w:pPr>
              <w:spacing w:after="20" w:line="252" w:lineRule="auto"/>
            </w:pPr>
            <w:r>
              <w:rPr>
                <w:rFonts w:ascii="Calibri" w:hAnsi="Calibri"/>
                <w:color w:val="1B241D"/>
                <w:sz w:val="17"/>
              </w:rPr>
              <w:t>Conflitos usam essencialmente a alteração mais recente.</w:t>
            </w:r>
          </w:p>
        </w:tc>
      </w:tr>
      <w:tr>
        <w:trPr>
          <w:cantSplit/>
        </w:trPr>
        <w:tc>
          <w:tcPr>
            <w:tcW w:type="dxa" w:w="1420"/>
            <w:vAlign w:val="center"/>
            <w:tcMar>
              <w:top w:w="80" w:type="dxa"/>
              <w:bottom w:w="80" w:type="dxa"/>
              <w:start w:w="120" w:type="dxa"/>
              <w:end w:w="120" w:type="dxa"/>
            </w:tcMar>
          </w:tcPr>
          <w:p>
            <w:pPr>
              <w:spacing w:after="20" w:line="252" w:lineRule="auto"/>
            </w:pPr>
            <w:r>
              <w:rPr>
                <w:rFonts w:ascii="Calibri" w:hAnsi="Calibri"/>
                <w:color w:val="1B241D"/>
                <w:sz w:val="17"/>
              </w:rPr>
              <w:t>Gestão</w:t>
            </w:r>
          </w:p>
        </w:tc>
        <w:tc>
          <w:tcPr>
            <w:tcW w:type="dxa" w:w="4380"/>
            <w:vAlign w:val="center"/>
            <w:tcMar>
              <w:top w:w="80" w:type="dxa"/>
              <w:bottom w:w="80" w:type="dxa"/>
              <w:start w:w="120" w:type="dxa"/>
              <w:end w:w="120" w:type="dxa"/>
            </w:tcMar>
          </w:tcPr>
          <w:p>
            <w:pPr>
              <w:spacing w:after="20" w:line="252" w:lineRule="auto"/>
            </w:pPr>
            <w:r>
              <w:rPr>
                <w:rFonts w:ascii="Calibri" w:hAnsi="Calibri"/>
                <w:color w:val="1B241D"/>
                <w:sz w:val="17"/>
              </w:rPr>
              <w:t>Dashboard, safras/talhões, tarefas/Kanban e fluxo de caixa.</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7"/>
              </w:rPr>
              <w:t>Sem estoque, fiscal, máquinas, mapas e equipe completa.</w:t>
            </w:r>
          </w:p>
        </w:tc>
      </w:tr>
      <w:tr>
        <w:trPr>
          <w:cantSplit/>
        </w:trPr>
        <w:tc>
          <w:tcPr>
            <w:tcW w:type="dxa" w:w="1420"/>
            <w:shd w:fill="F8FAF8"/>
            <w:vAlign w:val="center"/>
            <w:tcMar>
              <w:top w:w="80" w:type="dxa"/>
              <w:bottom w:w="80" w:type="dxa"/>
              <w:start w:w="120" w:type="dxa"/>
              <w:end w:w="120" w:type="dxa"/>
            </w:tcMar>
          </w:tcPr>
          <w:p>
            <w:pPr>
              <w:spacing w:after="20" w:line="252" w:lineRule="auto"/>
            </w:pPr>
            <w:r>
              <w:rPr>
                <w:rFonts w:ascii="Calibri" w:hAnsi="Calibri"/>
                <w:color w:val="1B241D"/>
                <w:sz w:val="17"/>
              </w:rPr>
              <w:t>Conta</w:t>
            </w:r>
          </w:p>
        </w:tc>
        <w:tc>
          <w:tcPr>
            <w:tcW w:type="dxa" w:w="4380"/>
            <w:shd w:fill="F8FAF8"/>
            <w:vAlign w:val="center"/>
            <w:tcMar>
              <w:top w:w="80" w:type="dxa"/>
              <w:bottom w:w="80" w:type="dxa"/>
              <w:start w:w="120" w:type="dxa"/>
              <w:end w:w="120" w:type="dxa"/>
            </w:tcMar>
          </w:tcPr>
          <w:p>
            <w:pPr>
              <w:spacing w:after="20" w:line="252" w:lineRule="auto"/>
            </w:pPr>
            <w:r>
              <w:rPr>
                <w:rFonts w:ascii="Calibri" w:hAnsi="Calibri"/>
                <w:color w:val="1B241D"/>
                <w:sz w:val="17"/>
              </w:rPr>
              <w:t>Modo local, cadastro/login Supabase, confirmação de e-mail e renovação de sessão.</w:t>
            </w:r>
          </w:p>
        </w:tc>
        <w:tc>
          <w:tcPr>
            <w:tcW w:type="dxa" w:w="3560"/>
            <w:shd w:fill="F8FAF8"/>
            <w:vAlign w:val="center"/>
            <w:tcMar>
              <w:top w:w="80" w:type="dxa"/>
              <w:bottom w:w="80" w:type="dxa"/>
              <w:start w:w="120" w:type="dxa"/>
              <w:end w:w="120" w:type="dxa"/>
            </w:tcMar>
          </w:tcPr>
          <w:p>
            <w:pPr>
              <w:spacing w:after="20" w:line="252" w:lineRule="auto"/>
            </w:pPr>
            <w:r>
              <w:rPr>
                <w:rFonts w:ascii="Calibri" w:hAnsi="Calibri"/>
                <w:color w:val="1B241D"/>
                <w:sz w:val="17"/>
              </w:rPr>
              <w:t>Sem recuperação e alteração de senha na versão analisada.</w:t>
            </w:r>
          </w:p>
        </w:tc>
      </w:tr>
      <w:tr>
        <w:trPr>
          <w:cantSplit/>
        </w:trPr>
        <w:tc>
          <w:tcPr>
            <w:tcW w:type="dxa" w:w="1420"/>
            <w:vAlign w:val="center"/>
            <w:tcMar>
              <w:top w:w="80" w:type="dxa"/>
              <w:bottom w:w="80" w:type="dxa"/>
              <w:start w:w="120" w:type="dxa"/>
              <w:end w:w="120" w:type="dxa"/>
            </w:tcMar>
          </w:tcPr>
          <w:p>
            <w:pPr>
              <w:spacing w:after="20" w:line="252" w:lineRule="auto"/>
            </w:pPr>
            <w:r>
              <w:rPr>
                <w:rFonts w:ascii="Calibri" w:hAnsi="Calibri"/>
                <w:color w:val="1B241D"/>
                <w:sz w:val="17"/>
              </w:rPr>
              <w:t>Crédito</w:t>
            </w:r>
          </w:p>
        </w:tc>
        <w:tc>
          <w:tcPr>
            <w:tcW w:type="dxa" w:w="4380"/>
            <w:vAlign w:val="center"/>
            <w:tcMar>
              <w:top w:w="80" w:type="dxa"/>
              <w:bottom w:w="80" w:type="dxa"/>
              <w:start w:w="120" w:type="dxa"/>
              <w:end w:w="120" w:type="dxa"/>
            </w:tcMar>
          </w:tcPr>
          <w:p>
            <w:pPr>
              <w:spacing w:after="20" w:line="252" w:lineRule="auto"/>
            </w:pPr>
            <w:r>
              <w:rPr>
                <w:rFonts w:ascii="Calibri" w:hAnsi="Calibri"/>
                <w:color w:val="1B241D"/>
                <w:sz w:val="17"/>
              </w:rPr>
              <w:t>PDF por período, completude, consentimento, histórico e SHA-256.</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7"/>
              </w:rPr>
              <w:t>Documento informativo; não garante crédito nem substitui exigências oficiais.</w:t>
            </w:r>
          </w:p>
        </w:tc>
      </w:tr>
      <w:tr>
        <w:trPr>
          <w:cantSplit/>
        </w:trPr>
        <w:tc>
          <w:tcPr>
            <w:tcW w:type="dxa" w:w="1420"/>
            <w:shd w:fill="F8FAF8"/>
            <w:vAlign w:val="center"/>
            <w:tcMar>
              <w:top w:w="80" w:type="dxa"/>
              <w:bottom w:w="80" w:type="dxa"/>
              <w:start w:w="120" w:type="dxa"/>
              <w:end w:w="120" w:type="dxa"/>
            </w:tcMar>
          </w:tcPr>
          <w:p>
            <w:pPr>
              <w:spacing w:after="20" w:line="252" w:lineRule="auto"/>
            </w:pPr>
            <w:r>
              <w:rPr>
                <w:rFonts w:ascii="Calibri" w:hAnsi="Calibri"/>
                <w:color w:val="1B241D"/>
                <w:sz w:val="17"/>
              </w:rPr>
              <w:t>Segurança</w:t>
            </w:r>
          </w:p>
        </w:tc>
        <w:tc>
          <w:tcPr>
            <w:tcW w:type="dxa" w:w="4380"/>
            <w:shd w:fill="F8FAF8"/>
            <w:vAlign w:val="center"/>
            <w:tcMar>
              <w:top w:w="80" w:type="dxa"/>
              <w:bottom w:w="80" w:type="dxa"/>
              <w:start w:w="120" w:type="dxa"/>
              <w:end w:w="120" w:type="dxa"/>
            </w:tcMar>
          </w:tcPr>
          <w:p>
            <w:pPr>
              <w:spacing w:after="20" w:line="252" w:lineRule="auto"/>
            </w:pPr>
            <w:r>
              <w:rPr>
                <w:rFonts w:ascii="Calibri" w:hAnsi="Calibri"/>
                <w:color w:val="1B241D"/>
                <w:sz w:val="17"/>
              </w:rPr>
              <w:t>Keystore, AES-GCM, RLS e backup criptografado.</w:t>
            </w:r>
          </w:p>
        </w:tc>
        <w:tc>
          <w:tcPr>
            <w:tcW w:type="dxa" w:w="3560"/>
            <w:shd w:fill="F8FAF8"/>
            <w:vAlign w:val="center"/>
            <w:tcMar>
              <w:top w:w="80" w:type="dxa"/>
              <w:bottom w:w="80" w:type="dxa"/>
              <w:start w:w="120" w:type="dxa"/>
              <w:end w:w="120" w:type="dxa"/>
            </w:tcMar>
          </w:tcPr>
          <w:p>
            <w:pPr>
              <w:spacing w:after="20" w:line="252" w:lineRule="auto"/>
            </w:pPr>
            <w:r>
              <w:rPr>
                <w:rFonts w:ascii="Calibri" w:hAnsi="Calibri"/>
                <w:color w:val="1B241D"/>
                <w:sz w:val="17"/>
              </w:rPr>
              <w:t>Banco Room não possui criptografia integral própria.</w:t>
            </w:r>
          </w:p>
        </w:tc>
      </w:tr>
    </w:tbl>
    <w:p>
      <w:pPr>
        <w:widowControl/>
        <w:spacing w:after="40"/>
      </w:pPr>
    </w:p>
    <w:p>
      <w:pPr>
        <w:pStyle w:val="SourceNote"/>
        <w:widowControl/>
      </w:pPr>
      <w:r>
        <w:t xml:space="preserve">Repositório analisado: </w:t>
      </w:r>
      <w:hyperlink r:id="rId11">
        <w:r>
          <w:rPr>
            <w:color w:val="236A92"/>
            <w:u w:val="single"/>
          </w:rPr>
          <w:t>OtavioNotFound/AgrogestaoProMobile</w:t>
        </w:r>
      </w:hyperlink>
    </w:p>
    <w:p>
      <w:pPr>
        <w:pStyle w:val="Heading1"/>
        <w:keepNext/>
        <w:widowControl/>
      </w:pPr>
      <w:r>
        <w:t>4. Problema de mercado</w:t>
      </w:r>
    </w:p>
    <w:p>
      <w:pPr>
        <w:widowControl/>
      </w:pPr>
      <w:r>
        <w:t>A oportunidade não é apenas digitalizar fazendas. O problema central é que muitos produtores precisam registrar atividades, custos e resultados em condições de conectividade limitada, com pouco tempo, aparelhos modestos e diferentes níveis de familiaridade digital. Quando os dados ficam dispersos em papel, memória, mensagens ou planilhas, a gestão, a assistência técnica e a preparação para crédito se tornam mais difíceis.</w:t>
      </w:r>
    </w:p>
    <w:tbl>
      <w:tblPr>
        <w:tblStyle w:val="TableGrid"/>
        <w:tblW w:type="dxa" w:w="9360"/>
        <w:jc w:val="center"/>
        <w:tblLayout w:type="fixed"/>
        <w:tblLook w:firstColumn="1" w:firstRow="1" w:lastColumn="0" w:lastRow="0" w:noHBand="0" w:noVBand="1" w:val="04A0"/>
        <w:tblInd w:w="120" w:type="dxa"/>
      </w:tblPr>
      <w:tblGrid>
        <w:gridCol w:w="1850"/>
        <w:gridCol w:w="3310"/>
        <w:gridCol w:w="4200"/>
      </w:tblGrid>
      <w:tr>
        <w:trPr>
          <w:tblHeader w:val="true"/>
          <w:cantSplit/>
        </w:trPr>
        <w:tc>
          <w:tcPr>
            <w:tcW w:type="dxa" w:w="1850"/>
            <w:shd w:fill="F2F4F3"/>
            <w:vAlign w:val="center"/>
            <w:tcMar>
              <w:top w:w="80" w:type="dxa"/>
              <w:bottom w:w="80" w:type="dxa"/>
              <w:start w:w="120" w:type="dxa"/>
              <w:end w:w="120" w:type="dxa"/>
            </w:tcMar>
          </w:tcPr>
          <w:p>
            <w:pPr>
              <w:spacing w:after="40"/>
            </w:pPr>
            <w:r>
              <w:rPr>
                <w:rFonts w:ascii="Calibri" w:hAnsi="Calibri"/>
                <w:b/>
                <w:color w:val="123D1A"/>
                <w:sz w:val="16"/>
              </w:rPr>
              <w:t>Problema</w:t>
            </w:r>
          </w:p>
        </w:tc>
        <w:tc>
          <w:tcPr>
            <w:tcW w:type="dxa" w:w="3310"/>
            <w:shd w:fill="F2F4F3"/>
            <w:vAlign w:val="center"/>
            <w:tcMar>
              <w:top w:w="80" w:type="dxa"/>
              <w:bottom w:w="80" w:type="dxa"/>
              <w:start w:w="120" w:type="dxa"/>
              <w:end w:w="120" w:type="dxa"/>
            </w:tcMar>
          </w:tcPr>
          <w:p>
            <w:pPr>
              <w:spacing w:after="40"/>
            </w:pPr>
            <w:r>
              <w:rPr>
                <w:rFonts w:ascii="Calibri" w:hAnsi="Calibri"/>
                <w:b/>
                <w:color w:val="123D1A"/>
                <w:sz w:val="16"/>
              </w:rPr>
              <w:t>Consequência</w:t>
            </w:r>
          </w:p>
        </w:tc>
        <w:tc>
          <w:tcPr>
            <w:tcW w:type="dxa" w:w="4200"/>
            <w:shd w:fill="F2F4F3"/>
            <w:vAlign w:val="center"/>
            <w:tcMar>
              <w:top w:w="80" w:type="dxa"/>
              <w:bottom w:w="80" w:type="dxa"/>
              <w:start w:w="120" w:type="dxa"/>
              <w:end w:w="120" w:type="dxa"/>
            </w:tcMar>
          </w:tcPr>
          <w:p>
            <w:pPr>
              <w:spacing w:after="40"/>
            </w:pPr>
            <w:r>
              <w:rPr>
                <w:rFonts w:ascii="Calibri" w:hAnsi="Calibri"/>
                <w:b/>
                <w:color w:val="123D1A"/>
                <w:sz w:val="16"/>
              </w:rPr>
              <w:t>Hipótese de resposta do produto</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Conectividade irregular</w:t>
            </w:r>
          </w:p>
        </w:tc>
        <w:tc>
          <w:tcPr>
            <w:tcW w:type="dxa" w:w="3310"/>
            <w:vAlign w:val="center"/>
            <w:tcMar>
              <w:top w:w="80" w:type="dxa"/>
              <w:bottom w:w="80" w:type="dxa"/>
              <w:start w:w="120" w:type="dxa"/>
              <w:end w:w="120" w:type="dxa"/>
            </w:tcMar>
          </w:tcPr>
          <w:p>
            <w:pPr>
              <w:spacing w:after="20" w:line="252" w:lineRule="auto"/>
            </w:pPr>
            <w:r>
              <w:rPr>
                <w:rFonts w:ascii="Calibri" w:hAnsi="Calibri"/>
                <w:color w:val="1B241D"/>
                <w:sz w:val="16"/>
              </w:rPr>
              <w:t>Sistemas dependentes de nuvem falham no momento do trabalho.</w:t>
            </w:r>
          </w:p>
        </w:tc>
        <w:tc>
          <w:tcPr>
            <w:tcW w:type="dxa" w:w="4200"/>
            <w:vAlign w:val="center"/>
            <w:tcMar>
              <w:top w:w="80" w:type="dxa"/>
              <w:bottom w:w="80" w:type="dxa"/>
              <w:start w:w="120" w:type="dxa"/>
              <w:end w:w="120" w:type="dxa"/>
            </w:tcMar>
          </w:tcPr>
          <w:p>
            <w:pPr>
              <w:spacing w:after="20" w:line="252" w:lineRule="auto"/>
            </w:pPr>
            <w:r>
              <w:rPr>
                <w:rFonts w:ascii="Calibri" w:hAnsi="Calibri"/>
                <w:color w:val="1B241D"/>
                <w:sz w:val="16"/>
              </w:rPr>
              <w:t>Operação local completa, sincronização visível e recuperação segura.</w:t>
            </w:r>
          </w:p>
        </w:tc>
      </w:tr>
      <w:tr>
        <w:trPr>
          <w:cantSplit/>
        </w:trPr>
        <w:tc>
          <w:tcPr>
            <w:tcW w:type="dxa" w:w="1850"/>
            <w:shd w:fill="F8FAF8"/>
            <w:vAlign w:val="center"/>
            <w:tcMar>
              <w:top w:w="80" w:type="dxa"/>
              <w:bottom w:w="80" w:type="dxa"/>
              <w:start w:w="120" w:type="dxa"/>
              <w:end w:w="120" w:type="dxa"/>
            </w:tcMar>
          </w:tcPr>
          <w:p>
            <w:pPr>
              <w:spacing w:after="20" w:line="252" w:lineRule="auto"/>
            </w:pPr>
            <w:r>
              <w:rPr>
                <w:rFonts w:ascii="Calibri" w:hAnsi="Calibri"/>
                <w:color w:val="1B241D"/>
                <w:sz w:val="16"/>
              </w:rPr>
              <w:t>Registro trabalhoso</w:t>
            </w:r>
          </w:p>
        </w:tc>
        <w:tc>
          <w:tcPr>
            <w:tcW w:type="dxa" w:w="3310"/>
            <w:shd w:fill="F8FAF8"/>
            <w:vAlign w:val="center"/>
            <w:tcMar>
              <w:top w:w="80" w:type="dxa"/>
              <w:bottom w:w="80" w:type="dxa"/>
              <w:start w:w="120" w:type="dxa"/>
              <w:end w:w="120" w:type="dxa"/>
            </w:tcMar>
          </w:tcPr>
          <w:p>
            <w:pPr>
              <w:spacing w:after="20" w:line="252" w:lineRule="auto"/>
            </w:pPr>
            <w:r>
              <w:rPr>
                <w:rFonts w:ascii="Calibri" w:hAnsi="Calibri"/>
                <w:color w:val="1B241D"/>
                <w:sz w:val="16"/>
              </w:rPr>
              <w:t>O produtor abandona o app ou cadastra dados atrasados.</w:t>
            </w:r>
          </w:p>
        </w:tc>
        <w:tc>
          <w:tcPr>
            <w:tcW w:type="dxa" w:w="4200"/>
            <w:shd w:fill="F8FAF8"/>
            <w:vAlign w:val="center"/>
            <w:tcMar>
              <w:top w:w="80" w:type="dxa"/>
              <w:bottom w:w="80" w:type="dxa"/>
              <w:start w:w="120" w:type="dxa"/>
              <w:end w:w="120" w:type="dxa"/>
            </w:tcMar>
          </w:tcPr>
          <w:p>
            <w:pPr>
              <w:spacing w:after="20" w:line="252" w:lineRule="auto"/>
            </w:pPr>
            <w:r>
              <w:rPr>
                <w:rFonts w:ascii="Calibri" w:hAnsi="Calibri"/>
                <w:color w:val="1B241D"/>
                <w:sz w:val="16"/>
              </w:rPr>
              <w:t>Registro em menos de 30 segundos, uma pergunta por vez e reaproveitamento automático.</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Baixa previsibilidade financeira</w:t>
            </w:r>
          </w:p>
        </w:tc>
        <w:tc>
          <w:tcPr>
            <w:tcW w:type="dxa" w:w="3310"/>
            <w:vAlign w:val="center"/>
            <w:tcMar>
              <w:top w:w="80" w:type="dxa"/>
              <w:bottom w:w="80" w:type="dxa"/>
              <w:start w:w="120" w:type="dxa"/>
              <w:end w:w="120" w:type="dxa"/>
            </w:tcMar>
          </w:tcPr>
          <w:p>
            <w:pPr>
              <w:spacing w:after="20" w:line="252" w:lineRule="auto"/>
            </w:pPr>
            <w:r>
              <w:rPr>
                <w:rFonts w:ascii="Calibri" w:hAnsi="Calibri"/>
                <w:color w:val="1B241D"/>
                <w:sz w:val="16"/>
              </w:rPr>
              <w:t>Custos e resultado da safra são conhecidos tarde demais.</w:t>
            </w:r>
          </w:p>
        </w:tc>
        <w:tc>
          <w:tcPr>
            <w:tcW w:type="dxa" w:w="4200"/>
            <w:vAlign w:val="center"/>
            <w:tcMar>
              <w:top w:w="80" w:type="dxa"/>
              <w:bottom w:w="80" w:type="dxa"/>
              <w:start w:w="120" w:type="dxa"/>
              <w:end w:w="120" w:type="dxa"/>
            </w:tcMar>
          </w:tcPr>
          <w:p>
            <w:pPr>
              <w:spacing w:after="20" w:line="252" w:lineRule="auto"/>
            </w:pPr>
            <w:r>
              <w:rPr>
                <w:rFonts w:ascii="Calibri" w:hAnsi="Calibri"/>
                <w:color w:val="1B241D"/>
                <w:sz w:val="16"/>
              </w:rPr>
              <w:t>Planejado versus realizado e alertas explicáveis.</w:t>
            </w:r>
          </w:p>
        </w:tc>
      </w:tr>
      <w:tr>
        <w:trPr>
          <w:cantSplit/>
        </w:trPr>
        <w:tc>
          <w:tcPr>
            <w:tcW w:type="dxa" w:w="1850"/>
            <w:shd w:fill="F8FAF8"/>
            <w:vAlign w:val="center"/>
            <w:tcMar>
              <w:top w:w="80" w:type="dxa"/>
              <w:bottom w:w="80" w:type="dxa"/>
              <w:start w:w="120" w:type="dxa"/>
              <w:end w:w="120" w:type="dxa"/>
            </w:tcMar>
          </w:tcPr>
          <w:p>
            <w:pPr>
              <w:spacing w:after="20" w:line="252" w:lineRule="auto"/>
            </w:pPr>
            <w:r>
              <w:rPr>
                <w:rFonts w:ascii="Calibri" w:hAnsi="Calibri"/>
                <w:color w:val="1B241D"/>
                <w:sz w:val="16"/>
              </w:rPr>
              <w:t>Documentação dispersa</w:t>
            </w:r>
          </w:p>
        </w:tc>
        <w:tc>
          <w:tcPr>
            <w:tcW w:type="dxa" w:w="3310"/>
            <w:shd w:fill="F8FAF8"/>
            <w:vAlign w:val="center"/>
            <w:tcMar>
              <w:top w:w="80" w:type="dxa"/>
              <w:bottom w:w="80" w:type="dxa"/>
              <w:start w:w="120" w:type="dxa"/>
              <w:end w:w="120" w:type="dxa"/>
            </w:tcMar>
          </w:tcPr>
          <w:p>
            <w:pPr>
              <w:spacing w:after="20" w:line="252" w:lineRule="auto"/>
            </w:pPr>
            <w:r>
              <w:rPr>
                <w:rFonts w:ascii="Calibri" w:hAnsi="Calibri"/>
                <w:color w:val="1B241D"/>
                <w:sz w:val="16"/>
              </w:rPr>
              <w:t>Mais tempo para organizar informações de crédito e assistência.</w:t>
            </w:r>
          </w:p>
        </w:tc>
        <w:tc>
          <w:tcPr>
            <w:tcW w:type="dxa" w:w="4200"/>
            <w:shd w:fill="F8FAF8"/>
            <w:vAlign w:val="center"/>
            <w:tcMar>
              <w:top w:w="80" w:type="dxa"/>
              <w:bottom w:w="80" w:type="dxa"/>
              <w:start w:w="120" w:type="dxa"/>
              <w:end w:w="120" w:type="dxa"/>
            </w:tcMar>
          </w:tcPr>
          <w:p>
            <w:pPr>
              <w:spacing w:after="20" w:line="252" w:lineRule="auto"/>
            </w:pPr>
            <w:r>
              <w:rPr>
                <w:rFonts w:ascii="Calibri" w:hAnsi="Calibri"/>
                <w:color w:val="1B241D"/>
                <w:sz w:val="16"/>
              </w:rPr>
              <w:t>Passaporte Rural com histórico, evidências e checklist.</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Soluções complexas</w:t>
            </w:r>
          </w:p>
        </w:tc>
        <w:tc>
          <w:tcPr>
            <w:tcW w:type="dxa" w:w="3310"/>
            <w:vAlign w:val="center"/>
            <w:tcMar>
              <w:top w:w="80" w:type="dxa"/>
              <w:bottom w:w="80" w:type="dxa"/>
              <w:start w:w="120" w:type="dxa"/>
              <w:end w:w="120" w:type="dxa"/>
            </w:tcMar>
          </w:tcPr>
          <w:p>
            <w:pPr>
              <w:spacing w:after="20" w:line="252" w:lineRule="auto"/>
            </w:pPr>
            <w:r>
              <w:rPr>
                <w:rFonts w:ascii="Calibri" w:hAnsi="Calibri"/>
                <w:color w:val="1B241D"/>
                <w:sz w:val="16"/>
              </w:rPr>
              <w:t>Curva de aprendizagem, dependência de treinamento e baixa retenção.</w:t>
            </w:r>
          </w:p>
        </w:tc>
        <w:tc>
          <w:tcPr>
            <w:tcW w:type="dxa" w:w="4200"/>
            <w:vAlign w:val="center"/>
            <w:tcMar>
              <w:top w:w="80" w:type="dxa"/>
              <w:bottom w:w="80" w:type="dxa"/>
              <w:start w:w="120" w:type="dxa"/>
              <w:end w:w="120" w:type="dxa"/>
            </w:tcMar>
          </w:tcPr>
          <w:p>
            <w:pPr>
              <w:spacing w:after="20" w:line="252" w:lineRule="auto"/>
            </w:pPr>
            <w:r>
              <w:rPr>
                <w:rFonts w:ascii="Calibri" w:hAnsi="Calibri"/>
                <w:color w:val="1B241D"/>
                <w:sz w:val="16"/>
              </w:rPr>
              <w:t>Modo Simples verdadeiro e linguagem rural contextual.</w:t>
            </w:r>
          </w:p>
        </w:tc>
      </w:tr>
      <w:tr>
        <w:trPr>
          <w:cantSplit/>
        </w:trPr>
        <w:tc>
          <w:tcPr>
            <w:tcW w:type="dxa" w:w="1850"/>
            <w:shd w:fill="F8FAF8"/>
            <w:vAlign w:val="center"/>
            <w:tcMar>
              <w:top w:w="80" w:type="dxa"/>
              <w:bottom w:w="80" w:type="dxa"/>
              <w:start w:w="120" w:type="dxa"/>
              <w:end w:w="120" w:type="dxa"/>
            </w:tcMar>
          </w:tcPr>
          <w:p>
            <w:pPr>
              <w:spacing w:after="20" w:line="252" w:lineRule="auto"/>
            </w:pPr>
            <w:r>
              <w:rPr>
                <w:rFonts w:ascii="Calibri" w:hAnsi="Calibri"/>
                <w:color w:val="1B241D"/>
                <w:sz w:val="16"/>
              </w:rPr>
              <w:t>Falta de apoio</w:t>
            </w:r>
          </w:p>
        </w:tc>
        <w:tc>
          <w:tcPr>
            <w:tcW w:type="dxa" w:w="3310"/>
            <w:shd w:fill="F8FAF8"/>
            <w:vAlign w:val="center"/>
            <w:tcMar>
              <w:top w:w="80" w:type="dxa"/>
              <w:bottom w:w="80" w:type="dxa"/>
              <w:start w:w="120" w:type="dxa"/>
              <w:end w:w="120" w:type="dxa"/>
            </w:tcMar>
          </w:tcPr>
          <w:p>
            <w:pPr>
              <w:spacing w:after="20" w:line="252" w:lineRule="auto"/>
            </w:pPr>
            <w:r>
              <w:rPr>
                <w:rFonts w:ascii="Calibri" w:hAnsi="Calibri"/>
                <w:color w:val="1B241D"/>
                <w:sz w:val="16"/>
              </w:rPr>
              <w:t>Dificuldade para corrigir cadastros e manter rotina.</w:t>
            </w:r>
          </w:p>
        </w:tc>
        <w:tc>
          <w:tcPr>
            <w:tcW w:type="dxa" w:w="4200"/>
            <w:shd w:fill="F8FAF8"/>
            <w:vAlign w:val="center"/>
            <w:tcMar>
              <w:top w:w="80" w:type="dxa"/>
              <w:bottom w:w="80" w:type="dxa"/>
              <w:start w:w="120" w:type="dxa"/>
              <w:end w:w="120" w:type="dxa"/>
            </w:tcMar>
          </w:tcPr>
          <w:p>
            <w:pPr>
              <w:spacing w:after="20" w:line="252" w:lineRule="auto"/>
            </w:pPr>
            <w:r>
              <w:rPr>
                <w:rFonts w:ascii="Calibri" w:hAnsi="Calibri"/>
                <w:color w:val="1B241D"/>
                <w:sz w:val="16"/>
              </w:rPr>
              <w:t>Compartilhamento consentido com família, técnico ou cooperativa.</w:t>
            </w:r>
          </w:p>
        </w:tc>
      </w:tr>
    </w:tbl>
    <w:p>
      <w:pPr>
        <w:widowControl/>
        <w:spacing w:after="40"/>
      </w:pPr>
    </w:p>
    <w:p>
      <w:pPr>
        <w:pStyle w:val="Heading1"/>
        <w:keepNext/>
        <w:widowControl/>
      </w:pPr>
      <w:r>
        <w:t>5. Público prioritário</w:t>
      </w:r>
    </w:p>
    <w:p>
      <w:pPr>
        <w:widowControl/>
      </w:pPr>
      <w:r>
        <w:t>O produto precisa de um segmento inicial estreito. Tentar atender todos os tipos de produção, regiões e níveis de maturidade faria o aplicativo crescer antes de provar valor.</w:t>
      </w:r>
    </w:p>
    <w:p>
      <w:pPr>
        <w:pStyle w:val="Heading2"/>
        <w:keepNext/>
        <w:widowControl/>
      </w:pPr>
      <w:r>
        <w:t>5.1 Segmento primário proposto</w:t>
      </w:r>
    </w:p>
    <w:p>
      <w:pPr>
        <w:spacing w:after="160" w:line="280" w:lineRule="auto"/>
        <w:widowControl/>
        <w:numPr>
          <w:ilvl w:val="0"/>
          <w:numId w:val="10"/>
        </w:numPr>
      </w:pPr>
      <w:r>
        <w:t>Agricultores familiares e pequenos produtores do Nordeste que usam Android e têm conectividade limitada ou intermitente.</w:t>
      </w:r>
    </w:p>
    <w:p>
      <w:pPr>
        <w:spacing w:after="160" w:line="280" w:lineRule="auto"/>
        <w:widowControl/>
        <w:numPr>
          <w:ilvl w:val="0"/>
          <w:numId w:val="10"/>
        </w:numPr>
      </w:pPr>
      <w:r>
        <w:t>Propriedades com gestão baseada em papel, memória, WhatsApp ou planilhas simples.</w:t>
      </w:r>
    </w:p>
    <w:p>
      <w:pPr>
        <w:spacing w:after="160" w:line="280" w:lineRule="auto"/>
        <w:widowControl/>
        <w:numPr>
          <w:ilvl w:val="0"/>
          <w:numId w:val="10"/>
        </w:numPr>
      </w:pPr>
      <w:r>
        <w:t>Produtores que precisam organizar custos, atividades, vendas e histórico de safra.</w:t>
      </w:r>
    </w:p>
    <w:p>
      <w:pPr>
        <w:spacing w:after="160" w:line="280" w:lineRule="auto"/>
        <w:widowControl/>
        <w:numPr>
          <w:ilvl w:val="0"/>
          <w:numId w:val="10"/>
        </w:numPr>
      </w:pPr>
      <w:r>
        <w:t>Usuários que recebem apoio de cooperativas, associações, sindicatos rurais, ATER, consultores ou familiares.</w:t>
      </w:r>
    </w:p>
    <w:p>
      <w:pPr>
        <w:pStyle w:val="Heading2"/>
        <w:keepNext/>
        <w:widowControl/>
      </w:pPr>
      <w:r>
        <w:t>5.2 Segmento secundário</w:t>
      </w:r>
    </w:p>
    <w:p>
      <w:pPr>
        <w:spacing w:after="160" w:line="280" w:lineRule="auto"/>
        <w:widowControl/>
        <w:numPr>
          <w:ilvl w:val="0"/>
          <w:numId w:val="10"/>
        </w:numPr>
      </w:pPr>
      <w:r>
        <w:t>Médios produtores que valorizem simplicidade e não precisem, inicialmente, de ERP fiscal e agricultura de precisão avançada.</w:t>
      </w:r>
    </w:p>
    <w:p>
      <w:pPr>
        <w:spacing w:after="160" w:line="280" w:lineRule="auto"/>
        <w:widowControl/>
        <w:numPr>
          <w:ilvl w:val="0"/>
          <w:numId w:val="10"/>
        </w:numPr>
      </w:pPr>
      <w:r>
        <w:t>Cooperativas e equipes de assistência técnica interessadas em implantar uma rotina padronizada de registro com consentimento do produtor.</w:t>
      </w:r>
    </w:p>
    <w:p>
      <w:pPr>
        <w:pStyle w:val="Heading2"/>
        <w:keepNext/>
        <w:widowControl/>
      </w:pPr>
      <w:r>
        <w:t>5.3 Fora do foco inicial</w:t>
      </w:r>
    </w:p>
    <w:p>
      <w:pPr>
        <w:spacing w:after="160" w:line="280" w:lineRule="auto"/>
        <w:widowControl/>
        <w:numPr>
          <w:ilvl w:val="0"/>
          <w:numId w:val="10"/>
        </w:numPr>
      </w:pPr>
      <w:r>
        <w:t>Grandes fazendas com máquinas conectadas, telemetria, múltiplas filiais, fiscal complexo e integração profunda com ERP.</w:t>
      </w:r>
    </w:p>
    <w:p>
      <w:pPr>
        <w:spacing w:after="160" w:line="280" w:lineRule="auto"/>
        <w:widowControl/>
        <w:numPr>
          <w:ilvl w:val="0"/>
          <w:numId w:val="10"/>
        </w:numPr>
      </w:pPr>
      <w:r>
        <w:t>Operações que exigem imediatamente pecuária completa, rastreabilidade certificada, receituário agronômico ou emissão fiscal integrada.</w:t>
      </w:r>
    </w:p>
    <w:p>
      <w:pPr>
        <w:pStyle w:val="Heading1"/>
        <w:keepNext/>
        <w:widowControl/>
      </w:pPr>
      <w:r>
        <w:t>6. Visão e posicionamento</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5EB"/>
            <w:tcMar>
              <w:top w:w="80" w:type="dxa"/>
              <w:bottom w:w="80" w:type="dxa"/>
              <w:start w:w="120" w:type="dxa"/>
              <w:end w:w="120" w:type="dxa"/>
            </w:tcMar>
            <w:vAlign w:val="center"/>
          </w:tcPr>
          <w:p>
            <w:pPr>
              <w:spacing w:after="0"/>
            </w:pPr>
            <w:r>
              <w:rPr>
                <w:rFonts w:ascii="Calibri" w:hAnsi="Calibri"/>
                <w:b/>
                <w:color w:val="123D1A"/>
                <w:sz w:val="18"/>
              </w:rPr>
              <w:t xml:space="preserve">VISÃO DE PRODUTO  </w:t>
            </w:r>
            <w:r>
              <w:rPr>
                <w:rFonts w:ascii="Calibri" w:hAnsi="Calibri"/>
                <w:color w:val="1B241D"/>
                <w:sz w:val="21"/>
              </w:rPr>
              <w:t>Transformar a rotina simples do campo em organização financeira, histórico produtivo e credibilidade para acessar oportunidades — mesmo sem internet.</w:t>
            </w:r>
          </w:p>
        </w:tc>
      </w:tr>
    </w:tbl>
    <w:p>
      <w:pPr>
        <w:widowControl/>
        <w:spacing w:after="4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4FA"/>
            <w:tcMar>
              <w:top w:w="80" w:type="dxa"/>
              <w:bottom w:w="80" w:type="dxa"/>
              <w:start w:w="120" w:type="dxa"/>
              <w:end w:w="120" w:type="dxa"/>
            </w:tcMar>
            <w:vAlign w:val="center"/>
          </w:tcPr>
          <w:p>
            <w:pPr>
              <w:spacing w:after="0"/>
            </w:pPr>
            <w:r>
              <w:rPr>
                <w:rFonts w:ascii="Calibri" w:hAnsi="Calibri"/>
                <w:b/>
                <w:color w:val="236A92"/>
                <w:sz w:val="18"/>
              </w:rPr>
              <w:t xml:space="preserve">CATEGORIA DESEJADA  </w:t>
            </w:r>
            <w:r>
              <w:rPr>
                <w:rFonts w:ascii="Calibri" w:hAnsi="Calibri"/>
                <w:color w:val="1B241D"/>
                <w:sz w:val="21"/>
              </w:rPr>
              <w:t>Um caderno rural inteligente e confiável, e não apenas um ERP reduzido ou um dashboard agrícola.</w:t>
            </w:r>
          </w:p>
        </w:tc>
      </w:tr>
    </w:tbl>
    <w:p>
      <w:pPr>
        <w:widowControl/>
        <w:spacing w:after="40"/>
      </w:pPr>
    </w:p>
    <w:p>
      <w:pPr>
        <w:widowControl/>
      </w:pPr>
      <w:r>
        <w:t>O AgroGestão Pro não deve tentar superar concorrentes maduros pela quantidade de módulos. Sua vantagem precisa estar na combinação de simplicidade extrema, funcionamento em aparelhos modestos, contexto da agricultura familiar, preparação de dados para crédito e distribuição por redes de confiança.</w:t>
      </w:r>
    </w:p>
    <w:p>
      <w:pPr>
        <w:pStyle w:val="Heading2"/>
        <w:keepNext/>
        <w:widowControl/>
      </w:pPr>
      <w:r>
        <w:t>6.1 Proposta de valor</w:t>
      </w:r>
    </w:p>
    <w:p>
      <w:pPr>
        <w:widowControl/>
      </w:pPr>
      <w:r>
        <w:t>Para agricultores familiares e pequenos produtores que precisam controlar a propriedade sem depender de internet ou conhecimento técnico avançado, o AgroGestão Pro registra a rotina em poucos passos, organiza custos e safras e transforma esses dados em histórico compreensível e compartilhável. Diferentemente de ERPs agrícolas amplos, prioriza aprendizado rápido, leveza, contexto regional e apoio de cooperativas ou técnicos com consentimento.</w:t>
      </w:r>
    </w:p>
    <w:p>
      <w:pPr>
        <w:pStyle w:val="Heading1"/>
        <w:keepNext/>
        <w:widowControl/>
      </w:pPr>
      <w:r>
        <w:t>7. Experiência principal idealizada</w:t>
      </w:r>
    </w:p>
    <w:p>
      <w:pPr>
        <w:pStyle w:val="Heading2"/>
        <w:keepNext/>
        <w:widowControl/>
      </w:pPr>
      <w:r>
        <w:t>7.1 Tela Hoje</w:t>
      </w:r>
    </w:p>
    <w:p>
      <w:pPr>
        <w:widowControl/>
      </w:pPr>
      <w:r>
        <w:t>Em vez de abrir em um painel denso, o aplicativo deve apresentar uma tela chamada Hoje. Ela mostra somente prioridades, atrasos, situação recente do caixa, próxima atividade, estado da safra e sincronização.</w:t>
      </w:r>
    </w:p>
    <w:p>
      <w:pPr>
        <w:pStyle w:val="Heading2"/>
        <w:keepNext/>
        <w:widowControl/>
      </w:pPr>
      <w:r>
        <w:t>7.2 Ação central: Registrar atividade</w:t>
      </w:r>
    </w:p>
    <w:p>
      <w:pPr>
        <w:widowControl/>
      </w:pPr>
      <w:r>
        <w:t>Um botão grande inicia um fluxo curto: Plantei; Colhi; Comprei; Vendi; Paguei; Recebi; Usei insumo; Encontrei problema; Outra atividade. O sistema faz poucas perguntas, uma de cada vez.</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5EB"/>
            <w:tcMar>
              <w:top w:w="80" w:type="dxa"/>
              <w:bottom w:w="80" w:type="dxa"/>
              <w:start w:w="120" w:type="dxa"/>
              <w:end w:w="120" w:type="dxa"/>
            </w:tcMar>
            <w:vAlign w:val="center"/>
          </w:tcPr>
          <w:p>
            <w:pPr>
              <w:spacing w:after="0"/>
            </w:pPr>
            <w:r>
              <w:rPr>
                <w:rFonts w:ascii="Calibri" w:hAnsi="Calibri"/>
                <w:b/>
                <w:color w:val="123D1A"/>
                <w:sz w:val="18"/>
              </w:rPr>
              <w:t xml:space="preserve">PRINCÍPIO OPERACIONAL  </w:t>
            </w:r>
            <w:r>
              <w:rPr>
                <w:rFonts w:ascii="Calibri" w:hAnsi="Calibri"/>
                <w:color w:val="1B241D"/>
                <w:sz w:val="21"/>
              </w:rPr>
              <w:t>Registrar uma vez, aproveitar em vários lugares. Um único lançamento deve alimentar safra, financeiro, custos, histórico, estoque futuro e Passaporte Rural quando fizer sentido.</w:t>
            </w:r>
          </w:p>
        </w:tc>
      </w:tr>
    </w:tbl>
    <w:p>
      <w:pPr>
        <w:widowControl/>
        <w:spacing w:after="40"/>
      </w:pPr>
    </w:p>
    <w:p>
      <w:pPr>
        <w:pStyle w:val="Heading2"/>
        <w:keepNext/>
        <w:widowControl/>
      </w:pPr>
      <w:r>
        <w:t>7.3 Critérios de experiência</w:t>
      </w:r>
    </w:p>
    <w:p>
      <w:pPr>
        <w:spacing w:after="160" w:line="280" w:lineRule="auto"/>
        <w:widowControl/>
        <w:numPr>
          <w:ilvl w:val="0"/>
          <w:numId w:val="10"/>
        </w:numPr>
      </w:pPr>
      <w:r>
        <w:t>Primeiro registro em menos de cinco minutos após instalar.</w:t>
      </w:r>
    </w:p>
    <w:p>
      <w:pPr>
        <w:spacing w:after="160" w:line="280" w:lineRule="auto"/>
        <w:widowControl/>
        <w:numPr>
          <w:ilvl w:val="0"/>
          <w:numId w:val="10"/>
        </w:numPr>
      </w:pPr>
      <w:r>
        <w:t>Registro recorrente em menos de 30 segundos.</w:t>
      </w:r>
    </w:p>
    <w:p>
      <w:pPr>
        <w:spacing w:after="160" w:line="280" w:lineRule="auto"/>
        <w:widowControl/>
        <w:numPr>
          <w:ilvl w:val="0"/>
          <w:numId w:val="10"/>
        </w:numPr>
      </w:pPr>
      <w:r>
        <w:t>Ações principais disponíveis offline.</w:t>
      </w:r>
    </w:p>
    <w:p>
      <w:pPr>
        <w:spacing w:after="160" w:line="280" w:lineRule="auto"/>
        <w:widowControl/>
        <w:numPr>
          <w:ilvl w:val="0"/>
          <w:numId w:val="10"/>
        </w:numPr>
      </w:pPr>
      <w:r>
        <w:t>Estado de salvamento e sincronização sempre compreensível.</w:t>
      </w:r>
    </w:p>
    <w:p>
      <w:pPr>
        <w:spacing w:after="160" w:line="280" w:lineRule="auto"/>
        <w:widowControl/>
        <w:numPr>
          <w:ilvl w:val="0"/>
          <w:numId w:val="10"/>
        </w:numPr>
      </w:pPr>
      <w:r>
        <w:t>Erros corrigíveis sem perder o que já foi digitado.</w:t>
      </w:r>
    </w:p>
    <w:p>
      <w:pPr>
        <w:spacing w:after="160" w:line="280" w:lineRule="auto"/>
        <w:widowControl/>
        <w:numPr>
          <w:ilvl w:val="0"/>
          <w:numId w:val="10"/>
        </w:numPr>
      </w:pPr>
      <w:r>
        <w:t>Botão de desfazer e confirmação clara para exclusões.</w:t>
      </w:r>
    </w:p>
    <w:p>
      <w:pPr>
        <w:pStyle w:val="Heading1"/>
        <w:keepNext/>
        <w:widowControl/>
      </w:pPr>
      <w:r>
        <w:t>8. Passaporte Rural</w:t>
      </w:r>
    </w:p>
    <w:p>
      <w:pPr>
        <w:widowControl/>
      </w:pPr>
      <w:r>
        <w:t>O relatório de crédito atual pode evoluir para uma área central chamada Passaporte Rural. O objetivo não é prometer aprovação nem inventar um score bancário. O produto organiza informações declaradas pelo produtor e evidencia sua origem, período, completude e integridade.</w:t>
      </w:r>
    </w:p>
    <w:p>
      <w:pPr>
        <w:pStyle w:val="Heading2"/>
        <w:keepNext/>
        <w:widowControl/>
      </w:pPr>
      <w:r>
        <w:t>8.1 Conteúdo possível</w:t>
      </w:r>
    </w:p>
    <w:p>
      <w:pPr>
        <w:spacing w:after="160" w:line="280" w:lineRule="auto"/>
        <w:widowControl/>
        <w:numPr>
          <w:ilvl w:val="0"/>
          <w:numId w:val="10"/>
        </w:numPr>
      </w:pPr>
      <w:r>
        <w:t>Perfil do produtor e da propriedade.</w:t>
      </w:r>
    </w:p>
    <w:p>
      <w:pPr>
        <w:spacing w:after="160" w:line="280" w:lineRule="auto"/>
        <w:widowControl/>
        <w:numPr>
          <w:ilvl w:val="0"/>
          <w:numId w:val="10"/>
        </w:numPr>
      </w:pPr>
      <w:r>
        <w:t>Histórico de safras, produção e vendas registradas.</w:t>
      </w:r>
    </w:p>
    <w:p>
      <w:pPr>
        <w:spacing w:after="160" w:line="280" w:lineRule="auto"/>
        <w:widowControl/>
        <w:numPr>
          <w:ilvl w:val="0"/>
          <w:numId w:val="10"/>
        </w:numPr>
      </w:pPr>
      <w:r>
        <w:t>Receitas, despesas e custo por cultura, safra ou área.</w:t>
      </w:r>
    </w:p>
    <w:p>
      <w:pPr>
        <w:spacing w:after="160" w:line="280" w:lineRule="auto"/>
        <w:widowControl/>
        <w:numPr>
          <w:ilvl w:val="0"/>
          <w:numId w:val="10"/>
        </w:numPr>
      </w:pPr>
      <w:r>
        <w:t>Documentos e comprovantes anexados.</w:t>
      </w:r>
    </w:p>
    <w:p>
      <w:pPr>
        <w:spacing w:after="160" w:line="280" w:lineRule="auto"/>
        <w:widowControl/>
        <w:numPr>
          <w:ilvl w:val="0"/>
          <w:numId w:val="10"/>
        </w:numPr>
      </w:pPr>
      <w:r>
        <w:t>Origem dos registros, data da atualização e situação de sincronização.</w:t>
      </w:r>
    </w:p>
    <w:p>
      <w:pPr>
        <w:spacing w:after="160" w:line="280" w:lineRule="auto"/>
        <w:widowControl/>
        <w:numPr>
          <w:ilvl w:val="0"/>
          <w:numId w:val="10"/>
        </w:numPr>
      </w:pPr>
      <w:r>
        <w:t>Consentimento, finalidade de compartilhamento e integridade verificável.</w:t>
      </w:r>
    </w:p>
    <w:p>
      <w:pPr>
        <w:pStyle w:val="Heading2"/>
        <w:keepNext/>
        <w:widowControl/>
      </w:pPr>
      <w:r>
        <w:t>8.2 Indicador de preparação</w:t>
      </w:r>
    </w:p>
    <w:p>
      <w:pPr>
        <w:widowControl/>
      </w:pPr>
      <w:r>
        <w:t>A interface poderia informar: “Seu Passaporte Rural está 72% completo” e indicar o que falta. A porcentagem deve representar completude documental, não probabilidade de crédito.</w:t>
      </w:r>
    </w:p>
    <w:p>
      <w:pPr>
        <w:pStyle w:val="Heading2"/>
        <w:keepNext/>
        <w:widowControl/>
      </w:pPr>
      <w:r>
        <w:t>8.3 Questões que exigem pesquisa</w:t>
      </w:r>
    </w:p>
    <w:p>
      <w:pPr>
        <w:spacing w:after="160" w:line="280" w:lineRule="auto"/>
        <w:widowControl/>
        <w:numPr>
          <w:ilvl w:val="0"/>
          <w:numId w:val="10"/>
        </w:numPr>
      </w:pPr>
      <w:r>
        <w:t>Quais informações bancos, cooperativas de crédito e agentes de ATER realmente consideram úteis?</w:t>
      </w:r>
    </w:p>
    <w:p>
      <w:pPr>
        <w:spacing w:after="160" w:line="280" w:lineRule="auto"/>
        <w:widowControl/>
        <w:numPr>
          <w:ilvl w:val="0"/>
          <w:numId w:val="10"/>
        </w:numPr>
      </w:pPr>
      <w:r>
        <w:t>Que documentos não podem ser substituídos por registros do aplicativo?</w:t>
      </w:r>
    </w:p>
    <w:p>
      <w:pPr>
        <w:spacing w:after="160" w:line="280" w:lineRule="auto"/>
        <w:widowControl/>
        <w:numPr>
          <w:ilvl w:val="0"/>
          <w:numId w:val="10"/>
        </w:numPr>
      </w:pPr>
      <w:r>
        <w:t>Como evitar que o produtor interprete completude como garantia de aprovação?</w:t>
      </w:r>
    </w:p>
    <w:p>
      <w:pPr>
        <w:spacing w:after="160" w:line="280" w:lineRule="auto"/>
        <w:widowControl/>
        <w:numPr>
          <w:ilvl w:val="0"/>
          <w:numId w:val="10"/>
        </w:numPr>
      </w:pPr>
      <w:r>
        <w:t>Quais dados podem ser verificados por fontes externas e quais continuam autodeclarados?</w:t>
      </w:r>
    </w:p>
    <w:p>
      <w:pPr>
        <w:spacing w:after="160" w:line="280" w:lineRule="auto"/>
        <w:widowControl/>
        <w:numPr>
          <w:ilvl w:val="0"/>
          <w:numId w:val="10"/>
        </w:numPr>
      </w:pPr>
      <w:r>
        <w:t>Quem assume responsabilidade por correções, contestação e compartilhamento?</w:t>
      </w:r>
    </w:p>
    <w:p>
      <w:pPr>
        <w:pStyle w:val="Heading1"/>
        <w:keepNext/>
        <w:widowControl/>
      </w:pPr>
      <w:r>
        <w:t>9. Modo Simples verdadeiro</w:t>
      </w:r>
    </w:p>
    <w:p>
      <w:pPr>
        <w:widowControl/>
      </w:pPr>
      <w:r>
        <w:t>Os protótipos HTML devem ser tratados como referência de design. Na beta analisada existem componentes acessíveis, mas não há comprovação de uma alternância global persistente entre modo completo e Modo Simples. A evolução precisa mudar fluxo, linguagem e densidade — não apenas aumentar a fonte.</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3"/>
            <w:vAlign w:val="center"/>
            <w:tcMar>
              <w:top w:w="80" w:type="dxa"/>
              <w:bottom w:w="80" w:type="dxa"/>
              <w:start w:w="120" w:type="dxa"/>
              <w:end w:w="120" w:type="dxa"/>
            </w:tcMar>
          </w:tcPr>
          <w:p>
            <w:pPr>
              <w:spacing w:after="40"/>
            </w:pPr>
            <w:r>
              <w:rPr>
                <w:rFonts w:ascii="Calibri" w:hAnsi="Calibri"/>
                <w:b/>
                <w:color w:val="123D1A"/>
                <w:sz w:val="17"/>
              </w:rPr>
              <w:t>Princípio</w:t>
            </w:r>
          </w:p>
        </w:tc>
        <w:tc>
          <w:tcPr>
            <w:tcW w:type="dxa" w:w="7010"/>
            <w:shd w:fill="F2F4F3"/>
            <w:vAlign w:val="center"/>
            <w:tcMar>
              <w:top w:w="80" w:type="dxa"/>
              <w:bottom w:w="80" w:type="dxa"/>
              <w:start w:w="120" w:type="dxa"/>
              <w:end w:w="120" w:type="dxa"/>
            </w:tcMar>
          </w:tcPr>
          <w:p>
            <w:pPr>
              <w:spacing w:after="40"/>
            </w:pPr>
            <w:r>
              <w:rPr>
                <w:rFonts w:ascii="Calibri" w:hAnsi="Calibri"/>
                <w:b/>
                <w:color w:val="123D1A"/>
                <w:sz w:val="17"/>
              </w:rPr>
              <w:t>Comportamento esperado</w:t>
            </w:r>
          </w:p>
        </w:tc>
      </w:tr>
      <w:tr>
        <w:trPr>
          <w:cantSplit/>
        </w:trPr>
        <w:tc>
          <w:tcPr>
            <w:tcW w:type="dxa" w:w="2350"/>
            <w:vAlign w:val="center"/>
            <w:tcMar>
              <w:top w:w="80" w:type="dxa"/>
              <w:bottom w:w="80" w:type="dxa"/>
              <w:start w:w="120" w:type="dxa"/>
              <w:end w:w="120" w:type="dxa"/>
            </w:tcMar>
          </w:tcPr>
          <w:p>
            <w:pPr>
              <w:spacing w:after="20" w:line="252" w:lineRule="auto"/>
            </w:pPr>
            <w:r>
              <w:rPr>
                <w:rFonts w:ascii="Calibri" w:hAnsi="Calibri"/>
                <w:color w:val="1B241D"/>
                <w:sz w:val="17"/>
              </w:rPr>
              <w:t>Poucos destinos</w:t>
            </w:r>
          </w:p>
        </w:tc>
        <w:tc>
          <w:tcPr>
            <w:tcW w:type="dxa" w:w="7010"/>
            <w:vAlign w:val="center"/>
            <w:tcMar>
              <w:top w:w="80" w:type="dxa"/>
              <w:bottom w:w="80" w:type="dxa"/>
              <w:start w:w="120" w:type="dxa"/>
              <w:end w:w="120" w:type="dxa"/>
            </w:tcMar>
          </w:tcPr>
          <w:p>
            <w:pPr>
              <w:spacing w:after="20" w:line="252" w:lineRule="auto"/>
            </w:pPr>
            <w:r>
              <w:rPr>
                <w:rFonts w:ascii="Calibri" w:hAnsi="Calibri"/>
                <w:color w:val="1B241D"/>
                <w:sz w:val="17"/>
              </w:rPr>
              <w:t>No máximo cinco áreas principais, com ícone e texto.</w:t>
            </w:r>
          </w:p>
        </w:tc>
      </w:tr>
      <w:tr>
        <w:trPr>
          <w:cantSplit/>
        </w:trPr>
        <w:tc>
          <w:tcPr>
            <w:tcW w:type="dxa" w:w="2350"/>
            <w:shd w:fill="F8FAF8"/>
            <w:vAlign w:val="center"/>
            <w:tcMar>
              <w:top w:w="80" w:type="dxa"/>
              <w:bottom w:w="80" w:type="dxa"/>
              <w:start w:w="120" w:type="dxa"/>
              <w:end w:w="120" w:type="dxa"/>
            </w:tcMar>
          </w:tcPr>
          <w:p>
            <w:pPr>
              <w:spacing w:after="20" w:line="252" w:lineRule="auto"/>
            </w:pPr>
            <w:r>
              <w:rPr>
                <w:rFonts w:ascii="Calibri" w:hAnsi="Calibri"/>
                <w:color w:val="1B241D"/>
                <w:sz w:val="17"/>
              </w:rPr>
              <w:t>Uma decisão por tela</w:t>
            </w:r>
          </w:p>
        </w:tc>
        <w:tc>
          <w:tcPr>
            <w:tcW w:type="dxa" w:w="7010"/>
            <w:shd w:fill="F8FAF8"/>
            <w:vAlign w:val="center"/>
            <w:tcMar>
              <w:top w:w="80" w:type="dxa"/>
              <w:bottom w:w="80" w:type="dxa"/>
              <w:start w:w="120" w:type="dxa"/>
              <w:end w:w="120" w:type="dxa"/>
            </w:tcMar>
          </w:tcPr>
          <w:p>
            <w:pPr>
              <w:spacing w:after="20" w:line="252" w:lineRule="auto"/>
            </w:pPr>
            <w:r>
              <w:rPr>
                <w:rFonts w:ascii="Calibri" w:hAnsi="Calibri"/>
                <w:color w:val="1B241D"/>
                <w:sz w:val="17"/>
              </w:rPr>
              <w:t>Formulários divididos em perguntas curtas e progressivas.</w:t>
            </w:r>
          </w:p>
        </w:tc>
      </w:tr>
      <w:tr>
        <w:trPr>
          <w:cantSplit/>
        </w:trPr>
        <w:tc>
          <w:tcPr>
            <w:tcW w:type="dxa" w:w="2350"/>
            <w:vAlign w:val="center"/>
            <w:tcMar>
              <w:top w:w="80" w:type="dxa"/>
              <w:bottom w:w="80" w:type="dxa"/>
              <w:start w:w="120" w:type="dxa"/>
              <w:end w:w="120" w:type="dxa"/>
            </w:tcMar>
          </w:tcPr>
          <w:p>
            <w:pPr>
              <w:spacing w:after="20" w:line="252" w:lineRule="auto"/>
            </w:pPr>
            <w:r>
              <w:rPr>
                <w:rFonts w:ascii="Calibri" w:hAnsi="Calibri"/>
                <w:color w:val="1B241D"/>
                <w:sz w:val="17"/>
              </w:rPr>
              <w:t>Linguagem adaptável</w:t>
            </w:r>
          </w:p>
        </w:tc>
        <w:tc>
          <w:tcPr>
            <w:tcW w:type="dxa" w:w="7010"/>
            <w:vAlign w:val="center"/>
            <w:tcMar>
              <w:top w:w="80" w:type="dxa"/>
              <w:bottom w:w="80" w:type="dxa"/>
              <w:start w:w="120" w:type="dxa"/>
              <w:end w:w="120" w:type="dxa"/>
            </w:tcMar>
          </w:tcPr>
          <w:p>
            <w:pPr>
              <w:spacing w:after="20" w:line="252" w:lineRule="auto"/>
            </w:pPr>
            <w:r>
              <w:rPr>
                <w:rFonts w:ascii="Calibri" w:hAnsi="Calibri"/>
                <w:color w:val="1B241D"/>
                <w:sz w:val="17"/>
              </w:rPr>
              <w:t>Talhão, roçado, lote, terreno ou área conforme o contexto do usuário.</w:t>
            </w:r>
          </w:p>
        </w:tc>
      </w:tr>
      <w:tr>
        <w:trPr>
          <w:cantSplit/>
        </w:trPr>
        <w:tc>
          <w:tcPr>
            <w:tcW w:type="dxa" w:w="2350"/>
            <w:shd w:fill="F8FAF8"/>
            <w:vAlign w:val="center"/>
            <w:tcMar>
              <w:top w:w="80" w:type="dxa"/>
              <w:bottom w:w="80" w:type="dxa"/>
              <w:start w:w="120" w:type="dxa"/>
              <w:end w:w="120" w:type="dxa"/>
            </w:tcMar>
          </w:tcPr>
          <w:p>
            <w:pPr>
              <w:spacing w:after="20" w:line="252" w:lineRule="auto"/>
            </w:pPr>
            <w:r>
              <w:rPr>
                <w:rFonts w:ascii="Calibri" w:hAnsi="Calibri"/>
                <w:color w:val="1B241D"/>
                <w:sz w:val="17"/>
              </w:rPr>
              <w:t>Acessibilidade</w:t>
            </w:r>
          </w:p>
        </w:tc>
        <w:tc>
          <w:tcPr>
            <w:tcW w:type="dxa" w:w="7010"/>
            <w:shd w:fill="F8FAF8"/>
            <w:vAlign w:val="center"/>
            <w:tcMar>
              <w:top w:w="80" w:type="dxa"/>
              <w:bottom w:w="80" w:type="dxa"/>
              <w:start w:w="120" w:type="dxa"/>
              <w:end w:w="120" w:type="dxa"/>
            </w:tcMar>
          </w:tcPr>
          <w:p>
            <w:pPr>
              <w:spacing w:after="20" w:line="252" w:lineRule="auto"/>
            </w:pPr>
            <w:r>
              <w:rPr>
                <w:rFonts w:ascii="Calibri" w:hAnsi="Calibri"/>
                <w:color w:val="1B241D"/>
                <w:sz w:val="17"/>
              </w:rPr>
              <w:t>Alvos amplos, contraste, escala de fonte, leitor de tela e uso sob sol.</w:t>
            </w:r>
          </w:p>
        </w:tc>
      </w:tr>
      <w:tr>
        <w:trPr>
          <w:cantSplit/>
        </w:trPr>
        <w:tc>
          <w:tcPr>
            <w:tcW w:type="dxa" w:w="2350"/>
            <w:vAlign w:val="center"/>
            <w:tcMar>
              <w:top w:w="80" w:type="dxa"/>
              <w:bottom w:w="80" w:type="dxa"/>
              <w:start w:w="120" w:type="dxa"/>
              <w:end w:w="120" w:type="dxa"/>
            </w:tcMar>
          </w:tcPr>
          <w:p>
            <w:pPr>
              <w:spacing w:after="20" w:line="252" w:lineRule="auto"/>
            </w:pPr>
            <w:r>
              <w:rPr>
                <w:rFonts w:ascii="Calibri" w:hAnsi="Calibri"/>
                <w:color w:val="1B241D"/>
                <w:sz w:val="17"/>
              </w:rPr>
              <w:t>Ajuda contextual</w:t>
            </w:r>
          </w:p>
        </w:tc>
        <w:tc>
          <w:tcPr>
            <w:tcW w:type="dxa" w:w="7010"/>
            <w:vAlign w:val="center"/>
            <w:tcMar>
              <w:top w:w="80" w:type="dxa"/>
              <w:bottom w:w="80" w:type="dxa"/>
              <w:start w:w="120" w:type="dxa"/>
              <w:end w:w="120" w:type="dxa"/>
            </w:tcMar>
          </w:tcPr>
          <w:p>
            <w:pPr>
              <w:spacing w:after="20" w:line="252" w:lineRule="auto"/>
            </w:pPr>
            <w:r>
              <w:rPr>
                <w:rFonts w:ascii="Calibri" w:hAnsi="Calibri"/>
                <w:color w:val="1B241D"/>
                <w:sz w:val="17"/>
              </w:rPr>
              <w:t>Explicar por que a informação é solicitada e mostrar exemplo.</w:t>
            </w:r>
          </w:p>
        </w:tc>
      </w:tr>
      <w:tr>
        <w:trPr>
          <w:cantSplit/>
        </w:trPr>
        <w:tc>
          <w:tcPr>
            <w:tcW w:type="dxa" w:w="2350"/>
            <w:shd w:fill="F8FAF8"/>
            <w:vAlign w:val="center"/>
            <w:tcMar>
              <w:top w:w="80" w:type="dxa"/>
              <w:bottom w:w="80" w:type="dxa"/>
              <w:start w:w="120" w:type="dxa"/>
              <w:end w:w="120" w:type="dxa"/>
            </w:tcMar>
          </w:tcPr>
          <w:p>
            <w:pPr>
              <w:spacing w:after="20" w:line="252" w:lineRule="auto"/>
            </w:pPr>
            <w:r>
              <w:rPr>
                <w:rFonts w:ascii="Calibri" w:hAnsi="Calibri"/>
                <w:color w:val="1B241D"/>
                <w:sz w:val="17"/>
              </w:rPr>
              <w:t>Privacidade visual</w:t>
            </w:r>
          </w:p>
        </w:tc>
        <w:tc>
          <w:tcPr>
            <w:tcW w:type="dxa" w:w="7010"/>
            <w:shd w:fill="F8FAF8"/>
            <w:vAlign w:val="center"/>
            <w:tcMar>
              <w:top w:w="80" w:type="dxa"/>
              <w:bottom w:w="80" w:type="dxa"/>
              <w:start w:w="120" w:type="dxa"/>
              <w:end w:w="120" w:type="dxa"/>
            </w:tcMar>
          </w:tcPr>
          <w:p>
            <w:pPr>
              <w:spacing w:after="20" w:line="252" w:lineRule="auto"/>
            </w:pPr>
            <w:r>
              <w:rPr>
                <w:rFonts w:ascii="Calibri" w:hAnsi="Calibri"/>
                <w:color w:val="1B241D"/>
                <w:sz w:val="17"/>
              </w:rPr>
              <w:t>Permitir ocultar valores em ambientes públicos.</w:t>
            </w:r>
          </w:p>
        </w:tc>
      </w:tr>
      <w:tr>
        <w:trPr>
          <w:cantSplit/>
        </w:trPr>
        <w:tc>
          <w:tcPr>
            <w:tcW w:type="dxa" w:w="2350"/>
            <w:vAlign w:val="center"/>
            <w:tcMar>
              <w:top w:w="80" w:type="dxa"/>
              <w:bottom w:w="80" w:type="dxa"/>
              <w:start w:w="120" w:type="dxa"/>
              <w:end w:w="120" w:type="dxa"/>
            </w:tcMar>
          </w:tcPr>
          <w:p>
            <w:pPr>
              <w:spacing w:after="20" w:line="252" w:lineRule="auto"/>
            </w:pPr>
            <w:r>
              <w:rPr>
                <w:rFonts w:ascii="Calibri" w:hAnsi="Calibri"/>
                <w:color w:val="1B241D"/>
                <w:sz w:val="17"/>
              </w:rPr>
              <w:t>Apoio assistido</w:t>
            </w:r>
          </w:p>
        </w:tc>
        <w:tc>
          <w:tcPr>
            <w:tcW w:type="dxa" w:w="7010"/>
            <w:vAlign w:val="center"/>
            <w:tcMar>
              <w:top w:w="80" w:type="dxa"/>
              <w:bottom w:w="80" w:type="dxa"/>
              <w:start w:w="120" w:type="dxa"/>
              <w:end w:w="120" w:type="dxa"/>
            </w:tcMar>
          </w:tcPr>
          <w:p>
            <w:pPr>
              <w:spacing w:after="20" w:line="252" w:lineRule="auto"/>
            </w:pPr>
            <w:r>
              <w:rPr>
                <w:rFonts w:ascii="Calibri" w:hAnsi="Calibri"/>
                <w:color w:val="1B241D"/>
                <w:sz w:val="17"/>
              </w:rPr>
              <w:t>Familiar ou técnico ajuda apenas com autorização e registro de ações.</w:t>
            </w:r>
          </w:p>
        </w:tc>
      </w:tr>
    </w:tbl>
    <w:p>
      <w:pPr>
        <w:widowControl/>
        <w:spacing w:after="40"/>
      </w:pPr>
    </w:p>
    <w:p>
      <w:pPr>
        <w:pStyle w:val="Heading1"/>
        <w:keepNext/>
        <w:widowControl/>
      </w:pPr>
      <w:r>
        <w:t>10. Recursos com potencial de diferenciação</w:t>
      </w:r>
    </w:p>
    <w:tbl>
      <w:tblPr>
        <w:tblStyle w:val="TableGrid"/>
        <w:tblW w:type="dxa" w:w="9360"/>
        <w:jc w:val="center"/>
        <w:tblLayout w:type="fixed"/>
        <w:tblLook w:firstColumn="1" w:firstRow="1" w:lastColumn="0" w:lastRow="0" w:noHBand="0" w:noVBand="1" w:val="04A0"/>
        <w:tblInd w:w="120" w:type="dxa"/>
      </w:tblPr>
      <w:tblGrid>
        <w:gridCol w:w="1800"/>
        <w:gridCol w:w="3830"/>
        <w:gridCol w:w="3730"/>
      </w:tblGrid>
      <w:tr>
        <w:trPr>
          <w:tblHeader w:val="true"/>
          <w:cantSplit/>
        </w:trPr>
        <w:tc>
          <w:tcPr>
            <w:tcW w:type="dxa" w:w="1800"/>
            <w:shd w:fill="F2F4F3"/>
            <w:vAlign w:val="center"/>
            <w:tcMar>
              <w:top w:w="80" w:type="dxa"/>
              <w:bottom w:w="80" w:type="dxa"/>
              <w:start w:w="120" w:type="dxa"/>
              <w:end w:w="120" w:type="dxa"/>
            </w:tcMar>
          </w:tcPr>
          <w:p>
            <w:pPr>
              <w:spacing w:after="40"/>
            </w:pPr>
            <w:r>
              <w:rPr>
                <w:rFonts w:ascii="Calibri" w:hAnsi="Calibri"/>
                <w:b/>
                <w:color w:val="123D1A"/>
                <w:sz w:val="16"/>
              </w:rPr>
              <w:t>Recurso</w:t>
            </w:r>
          </w:p>
        </w:tc>
        <w:tc>
          <w:tcPr>
            <w:tcW w:type="dxa" w:w="3830"/>
            <w:shd w:fill="F2F4F3"/>
            <w:vAlign w:val="center"/>
            <w:tcMar>
              <w:top w:w="80" w:type="dxa"/>
              <w:bottom w:w="80" w:type="dxa"/>
              <w:start w:w="120" w:type="dxa"/>
              <w:end w:w="120" w:type="dxa"/>
            </w:tcMar>
          </w:tcPr>
          <w:p>
            <w:pPr>
              <w:spacing w:after="40"/>
            </w:pPr>
            <w:r>
              <w:rPr>
                <w:rFonts w:ascii="Calibri" w:hAnsi="Calibri"/>
                <w:b/>
                <w:color w:val="123D1A"/>
                <w:sz w:val="16"/>
              </w:rPr>
              <w:t>Valor para o usuário</w:t>
            </w:r>
          </w:p>
        </w:tc>
        <w:tc>
          <w:tcPr>
            <w:tcW w:type="dxa" w:w="3730"/>
            <w:shd w:fill="F2F4F3"/>
            <w:vAlign w:val="center"/>
            <w:tcMar>
              <w:top w:w="80" w:type="dxa"/>
              <w:bottom w:w="80" w:type="dxa"/>
              <w:start w:w="120" w:type="dxa"/>
              <w:end w:w="120" w:type="dxa"/>
            </w:tcMar>
          </w:tcPr>
          <w:p>
            <w:pPr>
              <w:spacing w:after="40"/>
            </w:pPr>
            <w:r>
              <w:rPr>
                <w:rFonts w:ascii="Calibri" w:hAnsi="Calibri"/>
                <w:b/>
                <w:color w:val="123D1A"/>
                <w:sz w:val="16"/>
              </w:rPr>
              <w:t>Condição para desenvolver</w:t>
            </w:r>
          </w:p>
        </w:tc>
      </w:tr>
      <w:tr>
        <w:trPr>
          <w:cantSplit/>
        </w:trPr>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Registro por voz</w:t>
            </w:r>
          </w:p>
        </w:tc>
        <w:tc>
          <w:tcPr>
            <w:tcW w:type="dxa" w:w="3830"/>
            <w:vAlign w:val="center"/>
            <w:tcMar>
              <w:top w:w="80" w:type="dxa"/>
              <w:bottom w:w="80" w:type="dxa"/>
              <w:start w:w="120" w:type="dxa"/>
              <w:end w:w="120" w:type="dxa"/>
            </w:tcMar>
          </w:tcPr>
          <w:p>
            <w:pPr>
              <w:spacing w:after="20" w:line="252" w:lineRule="auto"/>
            </w:pPr>
            <w:r>
              <w:rPr>
                <w:rFonts w:ascii="Calibri" w:hAnsi="Calibri"/>
                <w:color w:val="1B241D"/>
                <w:sz w:val="16"/>
              </w:rPr>
              <w:t>Reduz digitação e pode aproximar o app da linguagem cotidiana.</w:t>
            </w:r>
          </w:p>
        </w:tc>
        <w:tc>
          <w:tcPr>
            <w:tcW w:type="dxa" w:w="3730"/>
            <w:vAlign w:val="center"/>
            <w:tcMar>
              <w:top w:w="80" w:type="dxa"/>
              <w:bottom w:w="80" w:type="dxa"/>
              <w:start w:w="120" w:type="dxa"/>
              <w:end w:w="120" w:type="dxa"/>
            </w:tcMar>
          </w:tcPr>
          <w:p>
            <w:pPr>
              <w:spacing w:after="20" w:line="252" w:lineRule="auto"/>
            </w:pPr>
            <w:r>
              <w:rPr>
                <w:rFonts w:ascii="Calibri" w:hAnsi="Calibri"/>
                <w:color w:val="1B241D"/>
                <w:sz w:val="16"/>
              </w:rPr>
              <w:t>Testar precisão, privacidade, sotaques, funcionamento offline e confirmação.</w:t>
            </w:r>
          </w:p>
        </w:tc>
      </w:tr>
      <w:tr>
        <w:trPr>
          <w:cantSplit/>
        </w:trPr>
        <w:tc>
          <w:tcPr>
            <w:tcW w:type="dxa" w:w="1800"/>
            <w:shd w:fill="F8FAF8"/>
            <w:vAlign w:val="center"/>
            <w:tcMar>
              <w:top w:w="80" w:type="dxa"/>
              <w:bottom w:w="80" w:type="dxa"/>
              <w:start w:w="120" w:type="dxa"/>
              <w:end w:w="120" w:type="dxa"/>
            </w:tcMar>
          </w:tcPr>
          <w:p>
            <w:pPr>
              <w:spacing w:after="20" w:line="252" w:lineRule="auto"/>
            </w:pPr>
            <w:r>
              <w:rPr>
                <w:rFonts w:ascii="Calibri" w:hAnsi="Calibri"/>
                <w:color w:val="1B241D"/>
                <w:sz w:val="16"/>
              </w:rPr>
              <w:t>Foto de comprovante</w:t>
            </w:r>
          </w:p>
        </w:tc>
        <w:tc>
          <w:tcPr>
            <w:tcW w:type="dxa" w:w="3830"/>
            <w:shd w:fill="F8FAF8"/>
            <w:vAlign w:val="center"/>
            <w:tcMar>
              <w:top w:w="80" w:type="dxa"/>
              <w:bottom w:w="80" w:type="dxa"/>
              <w:start w:w="120" w:type="dxa"/>
              <w:end w:w="120" w:type="dxa"/>
            </w:tcMar>
          </w:tcPr>
          <w:p>
            <w:pPr>
              <w:spacing w:after="20" w:line="252" w:lineRule="auto"/>
            </w:pPr>
            <w:r>
              <w:rPr>
                <w:rFonts w:ascii="Calibri" w:hAnsi="Calibri"/>
                <w:color w:val="1B241D"/>
                <w:sz w:val="16"/>
              </w:rPr>
              <w:t>Organiza notas e recibos junto a despesas e vendas.</w:t>
            </w:r>
          </w:p>
        </w:tc>
        <w:tc>
          <w:tcPr>
            <w:tcW w:type="dxa" w:w="3730"/>
            <w:shd w:fill="F8FAF8"/>
            <w:vAlign w:val="center"/>
            <w:tcMar>
              <w:top w:w="80" w:type="dxa"/>
              <w:bottom w:w="80" w:type="dxa"/>
              <w:start w:w="120" w:type="dxa"/>
              <w:end w:w="120" w:type="dxa"/>
            </w:tcMar>
          </w:tcPr>
          <w:p>
            <w:pPr>
              <w:spacing w:after="20" w:line="252" w:lineRule="auto"/>
            </w:pPr>
            <w:r>
              <w:rPr>
                <w:rFonts w:ascii="Calibri" w:hAnsi="Calibri"/>
                <w:color w:val="1B241D"/>
                <w:sz w:val="16"/>
              </w:rPr>
              <w:t>Começar com anexo simples; OCR somente após validar necessidade.</w:t>
            </w:r>
          </w:p>
        </w:tc>
      </w:tr>
      <w:tr>
        <w:trPr>
          <w:cantSplit/>
        </w:trPr>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Evidências de campo</w:t>
            </w:r>
          </w:p>
        </w:tc>
        <w:tc>
          <w:tcPr>
            <w:tcW w:type="dxa" w:w="3830"/>
            <w:vAlign w:val="center"/>
            <w:tcMar>
              <w:top w:w="80" w:type="dxa"/>
              <w:bottom w:w="80" w:type="dxa"/>
              <w:start w:w="120" w:type="dxa"/>
              <w:end w:w="120" w:type="dxa"/>
            </w:tcMar>
          </w:tcPr>
          <w:p>
            <w:pPr>
              <w:spacing w:after="20" w:line="252" w:lineRule="auto"/>
            </w:pPr>
            <w:r>
              <w:rPr>
                <w:rFonts w:ascii="Calibri" w:hAnsi="Calibri"/>
                <w:color w:val="1B241D"/>
                <w:sz w:val="16"/>
              </w:rPr>
              <w:t>Foto, data, local opcional e responsável melhoram rastreabilidade.</w:t>
            </w:r>
          </w:p>
        </w:tc>
        <w:tc>
          <w:tcPr>
            <w:tcW w:type="dxa" w:w="3730"/>
            <w:vAlign w:val="center"/>
            <w:tcMar>
              <w:top w:w="80" w:type="dxa"/>
              <w:bottom w:w="80" w:type="dxa"/>
              <w:start w:w="120" w:type="dxa"/>
              <w:end w:w="120" w:type="dxa"/>
            </w:tcMar>
          </w:tcPr>
          <w:p>
            <w:pPr>
              <w:spacing w:after="20" w:line="252" w:lineRule="auto"/>
            </w:pPr>
            <w:r>
              <w:rPr>
                <w:rFonts w:ascii="Calibri" w:hAnsi="Calibri"/>
                <w:color w:val="1B241D"/>
                <w:sz w:val="16"/>
              </w:rPr>
              <w:t>Consentimento, consumo de armazenamento e regras de retenção.</w:t>
            </w:r>
          </w:p>
        </w:tc>
      </w:tr>
      <w:tr>
        <w:trPr>
          <w:cantSplit/>
        </w:trPr>
        <w:tc>
          <w:tcPr>
            <w:tcW w:type="dxa" w:w="1800"/>
            <w:shd w:fill="F8FAF8"/>
            <w:vAlign w:val="center"/>
            <w:tcMar>
              <w:top w:w="80" w:type="dxa"/>
              <w:bottom w:w="80" w:type="dxa"/>
              <w:start w:w="120" w:type="dxa"/>
              <w:end w:w="120" w:type="dxa"/>
            </w:tcMar>
          </w:tcPr>
          <w:p>
            <w:pPr>
              <w:spacing w:after="20" w:line="252" w:lineRule="auto"/>
            </w:pPr>
            <w:r>
              <w:rPr>
                <w:rFonts w:ascii="Calibri" w:hAnsi="Calibri"/>
                <w:color w:val="1B241D"/>
                <w:sz w:val="16"/>
              </w:rPr>
              <w:t>Alertas explicáveis</w:t>
            </w:r>
          </w:p>
        </w:tc>
        <w:tc>
          <w:tcPr>
            <w:tcW w:type="dxa" w:w="3830"/>
            <w:shd w:fill="F8FAF8"/>
            <w:vAlign w:val="center"/>
            <w:tcMar>
              <w:top w:w="80" w:type="dxa"/>
              <w:bottom w:w="80" w:type="dxa"/>
              <w:start w:w="120" w:type="dxa"/>
              <w:end w:w="120" w:type="dxa"/>
            </w:tcMar>
          </w:tcPr>
          <w:p>
            <w:pPr>
              <w:spacing w:after="20" w:line="252" w:lineRule="auto"/>
            </w:pPr>
            <w:r>
              <w:rPr>
                <w:rFonts w:ascii="Calibri" w:hAnsi="Calibri"/>
                <w:color w:val="1B241D"/>
                <w:sz w:val="16"/>
              </w:rPr>
              <w:t>Transforma dados em ação sem esconder o cálculo.</w:t>
            </w:r>
          </w:p>
        </w:tc>
        <w:tc>
          <w:tcPr>
            <w:tcW w:type="dxa" w:w="3730"/>
            <w:shd w:fill="F8FAF8"/>
            <w:vAlign w:val="center"/>
            <w:tcMar>
              <w:top w:w="80" w:type="dxa"/>
              <w:bottom w:w="80" w:type="dxa"/>
              <w:start w:w="120" w:type="dxa"/>
              <w:end w:w="120" w:type="dxa"/>
            </w:tcMar>
          </w:tcPr>
          <w:p>
            <w:pPr>
              <w:spacing w:after="20" w:line="252" w:lineRule="auto"/>
            </w:pPr>
            <w:r>
              <w:rPr>
                <w:rFonts w:ascii="Calibri" w:hAnsi="Calibri"/>
                <w:color w:val="1B241D"/>
                <w:sz w:val="16"/>
              </w:rPr>
              <w:t>Regras simples e auditáveis antes de IA generativa.</w:t>
            </w:r>
          </w:p>
        </w:tc>
      </w:tr>
      <w:tr>
        <w:trPr>
          <w:cantSplit/>
        </w:trPr>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Modo Cooperativa</w:t>
            </w:r>
          </w:p>
        </w:tc>
        <w:tc>
          <w:tcPr>
            <w:tcW w:type="dxa" w:w="3830"/>
            <w:vAlign w:val="center"/>
            <w:tcMar>
              <w:top w:w="80" w:type="dxa"/>
              <w:bottom w:w="80" w:type="dxa"/>
              <w:start w:w="120" w:type="dxa"/>
              <w:end w:w="120" w:type="dxa"/>
            </w:tcMar>
          </w:tcPr>
          <w:p>
            <w:pPr>
              <w:spacing w:after="20" w:line="252" w:lineRule="auto"/>
            </w:pPr>
            <w:r>
              <w:rPr>
                <w:rFonts w:ascii="Calibri" w:hAnsi="Calibri"/>
                <w:color w:val="1B241D"/>
                <w:sz w:val="16"/>
              </w:rPr>
              <w:t>Permite implantação, assistência e correção de cadastros em escala.</w:t>
            </w:r>
          </w:p>
        </w:tc>
        <w:tc>
          <w:tcPr>
            <w:tcW w:type="dxa" w:w="3730"/>
            <w:vAlign w:val="center"/>
            <w:tcMar>
              <w:top w:w="80" w:type="dxa"/>
              <w:bottom w:w="80" w:type="dxa"/>
              <w:start w:w="120" w:type="dxa"/>
              <w:end w:w="120" w:type="dxa"/>
            </w:tcMar>
          </w:tcPr>
          <w:p>
            <w:pPr>
              <w:spacing w:after="20" w:line="252" w:lineRule="auto"/>
            </w:pPr>
            <w:r>
              <w:rPr>
                <w:rFonts w:ascii="Calibri" w:hAnsi="Calibri"/>
                <w:color w:val="1B241D"/>
                <w:sz w:val="16"/>
              </w:rPr>
              <w:t>Modelo de permissões, auditoria, consentimento e isolamento multiempresa.</w:t>
            </w:r>
          </w:p>
        </w:tc>
      </w:tr>
      <w:tr>
        <w:trPr>
          <w:cantSplit/>
        </w:trPr>
        <w:tc>
          <w:tcPr>
            <w:tcW w:type="dxa" w:w="1800"/>
            <w:shd w:fill="F8FAF8"/>
            <w:vAlign w:val="center"/>
            <w:tcMar>
              <w:top w:w="80" w:type="dxa"/>
              <w:bottom w:w="80" w:type="dxa"/>
              <w:start w:w="120" w:type="dxa"/>
              <w:end w:w="120" w:type="dxa"/>
            </w:tcMar>
          </w:tcPr>
          <w:p>
            <w:pPr>
              <w:spacing w:after="20" w:line="252" w:lineRule="auto"/>
            </w:pPr>
            <w:r>
              <w:rPr>
                <w:rFonts w:ascii="Calibri" w:hAnsi="Calibri"/>
                <w:color w:val="1B241D"/>
                <w:sz w:val="16"/>
              </w:rPr>
              <w:t>Clima regional</w:t>
            </w:r>
          </w:p>
        </w:tc>
        <w:tc>
          <w:tcPr>
            <w:tcW w:type="dxa" w:w="3830"/>
            <w:shd w:fill="F8FAF8"/>
            <w:vAlign w:val="center"/>
            <w:tcMar>
              <w:top w:w="80" w:type="dxa"/>
              <w:bottom w:w="80" w:type="dxa"/>
              <w:start w:w="120" w:type="dxa"/>
              <w:end w:w="120" w:type="dxa"/>
            </w:tcMar>
          </w:tcPr>
          <w:p>
            <w:pPr>
              <w:spacing w:after="20" w:line="252" w:lineRule="auto"/>
            </w:pPr>
            <w:r>
              <w:rPr>
                <w:rFonts w:ascii="Calibri" w:hAnsi="Calibri"/>
                <w:color w:val="1B241D"/>
                <w:sz w:val="16"/>
              </w:rPr>
              <w:t>Apoia planejamento e alertas de risco.</w:t>
            </w:r>
          </w:p>
        </w:tc>
        <w:tc>
          <w:tcPr>
            <w:tcW w:type="dxa" w:w="3730"/>
            <w:shd w:fill="F8FAF8"/>
            <w:vAlign w:val="center"/>
            <w:tcMar>
              <w:top w:w="80" w:type="dxa"/>
              <w:bottom w:w="80" w:type="dxa"/>
              <w:start w:w="120" w:type="dxa"/>
              <w:end w:w="120" w:type="dxa"/>
            </w:tcMar>
          </w:tcPr>
          <w:p>
            <w:pPr>
              <w:spacing w:after="20" w:line="252" w:lineRule="auto"/>
            </w:pPr>
            <w:r>
              <w:rPr>
                <w:rFonts w:ascii="Calibri" w:hAnsi="Calibri"/>
                <w:color w:val="1B241D"/>
                <w:sz w:val="16"/>
              </w:rPr>
              <w:t>Entrar depois da estabilidade; definir fonte, precisão e responsabilidade.</w:t>
            </w:r>
          </w:p>
        </w:tc>
      </w:tr>
      <w:tr>
        <w:trPr>
          <w:cantSplit/>
        </w:trPr>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Preços locais</w:t>
            </w:r>
          </w:p>
        </w:tc>
        <w:tc>
          <w:tcPr>
            <w:tcW w:type="dxa" w:w="3830"/>
            <w:vAlign w:val="center"/>
            <w:tcMar>
              <w:top w:w="80" w:type="dxa"/>
              <w:bottom w:w="80" w:type="dxa"/>
              <w:start w:w="120" w:type="dxa"/>
              <w:end w:w="120" w:type="dxa"/>
            </w:tcMar>
          </w:tcPr>
          <w:p>
            <w:pPr>
              <w:spacing w:after="20" w:line="252" w:lineRule="auto"/>
            </w:pPr>
            <w:r>
              <w:rPr>
                <w:rFonts w:ascii="Calibri" w:hAnsi="Calibri"/>
                <w:color w:val="1B241D"/>
                <w:sz w:val="16"/>
              </w:rPr>
              <w:t>Ajuda a contextualizar venda e planejamento.</w:t>
            </w:r>
          </w:p>
        </w:tc>
        <w:tc>
          <w:tcPr>
            <w:tcW w:type="dxa" w:w="3730"/>
            <w:vAlign w:val="center"/>
            <w:tcMar>
              <w:top w:w="80" w:type="dxa"/>
              <w:bottom w:w="80" w:type="dxa"/>
              <w:start w:w="120" w:type="dxa"/>
              <w:end w:w="120" w:type="dxa"/>
            </w:tcMar>
          </w:tcPr>
          <w:p>
            <w:pPr>
              <w:spacing w:after="20" w:line="252" w:lineRule="auto"/>
            </w:pPr>
            <w:r>
              <w:rPr>
                <w:rFonts w:ascii="Calibri" w:hAnsi="Calibri"/>
                <w:color w:val="1B241D"/>
                <w:sz w:val="16"/>
              </w:rPr>
              <w:t>Validar disponibilidade, atualização e recorte por praça/cultura.</w:t>
            </w:r>
          </w:p>
        </w:tc>
      </w:tr>
    </w:tbl>
    <w:p>
      <w:pPr>
        <w:widowControl/>
        <w:spacing w:after="40"/>
      </w:pPr>
    </w:p>
    <w:p>
      <w:pPr>
        <w:pStyle w:val="Heading1"/>
        <w:keepNext/>
        <w:widowControl/>
      </w:pPr>
      <w:r>
        <w:t>11. Cenário competitivo inicial</w:t>
      </w:r>
    </w:p>
    <w:p>
      <w:pPr>
        <w:widowControl/>
      </w:pPr>
      <w:r>
        <w:t>Offline não é, isoladamente, um diferencial: Aegro, MyFarm, FieldView e AGRIVI divulgam recursos offline em diferentes partes de suas operações. A pesquisa deve comparar profundidade, facilidade, público, preço, implantação, suporte, plataformas e confiança — não apenas presença de uma função.</w:t>
      </w:r>
    </w:p>
    <w:tbl>
      <w:tblPr>
        <w:tblStyle w:val="TableGrid"/>
        <w:tblW w:type="dxa" w:w="9360"/>
        <w:jc w:val="center"/>
        <w:tblLayout w:type="fixed"/>
        <w:tblLook w:firstColumn="1" w:firstRow="1" w:lastColumn="0" w:lastRow="0" w:noHBand="0" w:noVBand="1" w:val="04A0"/>
        <w:tblInd w:w="120" w:type="dxa"/>
      </w:tblPr>
      <w:tblGrid>
        <w:gridCol w:w="1300"/>
        <w:gridCol w:w="4040"/>
        <w:gridCol w:w="4020"/>
      </w:tblGrid>
      <w:tr>
        <w:trPr>
          <w:tblHeader w:val="true"/>
          <w:cantSplit/>
        </w:trPr>
        <w:tc>
          <w:tcPr>
            <w:tcW w:type="dxa" w:w="1300"/>
            <w:shd w:fill="F2F4F3"/>
            <w:vAlign w:val="center"/>
            <w:tcMar>
              <w:top w:w="80" w:type="dxa"/>
              <w:bottom w:w="80" w:type="dxa"/>
              <w:start w:w="120" w:type="dxa"/>
              <w:end w:w="120" w:type="dxa"/>
            </w:tcMar>
          </w:tcPr>
          <w:p>
            <w:pPr>
              <w:spacing w:after="40"/>
            </w:pPr>
            <w:r>
              <w:rPr>
                <w:rFonts w:ascii="Calibri" w:hAnsi="Calibri"/>
                <w:b/>
                <w:color w:val="123D1A"/>
                <w:sz w:val="16"/>
              </w:rPr>
              <w:t>Solução</w:t>
            </w:r>
          </w:p>
        </w:tc>
        <w:tc>
          <w:tcPr>
            <w:tcW w:type="dxa" w:w="4040"/>
            <w:shd w:fill="F2F4F3"/>
            <w:vAlign w:val="center"/>
            <w:tcMar>
              <w:top w:w="80" w:type="dxa"/>
              <w:bottom w:w="80" w:type="dxa"/>
              <w:start w:w="120" w:type="dxa"/>
              <w:end w:w="120" w:type="dxa"/>
            </w:tcMar>
          </w:tcPr>
          <w:p>
            <w:pPr>
              <w:spacing w:after="40"/>
            </w:pPr>
            <w:r>
              <w:rPr>
                <w:rFonts w:ascii="Calibri" w:hAnsi="Calibri"/>
                <w:b/>
                <w:color w:val="123D1A"/>
                <w:sz w:val="16"/>
              </w:rPr>
              <w:t>Força divulgada</w:t>
            </w:r>
          </w:p>
        </w:tc>
        <w:tc>
          <w:tcPr>
            <w:tcW w:type="dxa" w:w="4020"/>
            <w:shd w:fill="F2F4F3"/>
            <w:vAlign w:val="center"/>
            <w:tcMar>
              <w:top w:w="80" w:type="dxa"/>
              <w:bottom w:w="80" w:type="dxa"/>
              <w:start w:w="120" w:type="dxa"/>
              <w:end w:w="120" w:type="dxa"/>
            </w:tcMar>
          </w:tcPr>
          <w:p>
            <w:pPr>
              <w:spacing w:after="40"/>
            </w:pPr>
            <w:r>
              <w:rPr>
                <w:rFonts w:ascii="Calibri" w:hAnsi="Calibri"/>
                <w:b/>
                <w:color w:val="123D1A"/>
                <w:sz w:val="16"/>
              </w:rPr>
              <w:t>Espaço potencial para o AgroGestão Pro</w:t>
            </w:r>
          </w:p>
        </w:tc>
      </w:tr>
      <w:tr>
        <w:trPr>
          <w:cantSplit/>
        </w:trPr>
        <w:tc>
          <w:tcPr>
            <w:tcW w:type="dxa" w:w="1300"/>
            <w:vAlign w:val="center"/>
            <w:tcMar>
              <w:top w:w="80" w:type="dxa"/>
              <w:bottom w:w="80" w:type="dxa"/>
              <w:start w:w="120" w:type="dxa"/>
              <w:end w:w="120" w:type="dxa"/>
            </w:tcMar>
          </w:tcPr>
          <w:p>
            <w:pPr>
              <w:spacing w:after="20" w:line="252" w:lineRule="auto"/>
            </w:pPr>
            <w:r>
              <w:rPr>
                <w:rFonts w:ascii="Calibri" w:hAnsi="Calibri"/>
                <w:color w:val="1B241D"/>
                <w:sz w:val="16"/>
              </w:rPr>
              <w:t>Aegro</w:t>
            </w:r>
          </w:p>
        </w:tc>
        <w:tc>
          <w:tcPr>
            <w:tcW w:type="dxa" w:w="4040"/>
            <w:vAlign w:val="center"/>
            <w:tcMar>
              <w:top w:w="80" w:type="dxa"/>
              <w:bottom w:w="80" w:type="dxa"/>
              <w:start w:w="120" w:type="dxa"/>
              <w:end w:w="120" w:type="dxa"/>
            </w:tcMar>
          </w:tcPr>
          <w:p>
            <w:pPr>
              <w:spacing w:after="20" w:line="252" w:lineRule="auto"/>
            </w:pPr>
            <w:r>
              <w:rPr>
                <w:rFonts w:ascii="Calibri" w:hAnsi="Calibri"/>
                <w:color w:val="1B241D"/>
                <w:sz w:val="16"/>
              </w:rPr>
              <w:t>Gestão financeira, operacional e fiscal; app offline; integrações; pecuária; suporte e base comercial.</w:t>
            </w:r>
          </w:p>
        </w:tc>
        <w:tc>
          <w:tcPr>
            <w:tcW w:type="dxa" w:w="4020"/>
            <w:vAlign w:val="center"/>
            <w:tcMar>
              <w:top w:w="80" w:type="dxa"/>
              <w:bottom w:w="80" w:type="dxa"/>
              <w:start w:w="120" w:type="dxa"/>
              <w:end w:w="120" w:type="dxa"/>
            </w:tcMar>
          </w:tcPr>
          <w:p>
            <w:pPr>
              <w:spacing w:after="20" w:line="252" w:lineRule="auto"/>
            </w:pPr>
            <w:r>
              <w:rPr>
                <w:rFonts w:ascii="Calibri" w:hAnsi="Calibri"/>
                <w:color w:val="1B241D"/>
                <w:sz w:val="16"/>
              </w:rPr>
              <w:t>Experiência ainda mais dirigida, leve e específica para agricultura familiar e crédito.</w:t>
            </w:r>
          </w:p>
        </w:tc>
      </w:tr>
      <w:tr>
        <w:trPr>
          <w:cantSplit/>
        </w:trPr>
        <w:tc>
          <w:tcPr>
            <w:tcW w:type="dxa" w:w="1300"/>
            <w:shd w:fill="F8FAF8"/>
            <w:vAlign w:val="center"/>
            <w:tcMar>
              <w:top w:w="80" w:type="dxa"/>
              <w:bottom w:w="80" w:type="dxa"/>
              <w:start w:w="120" w:type="dxa"/>
              <w:end w:w="120" w:type="dxa"/>
            </w:tcMar>
          </w:tcPr>
          <w:p>
            <w:pPr>
              <w:spacing w:after="20" w:line="252" w:lineRule="auto"/>
            </w:pPr>
            <w:r>
              <w:rPr>
                <w:rFonts w:ascii="Calibri" w:hAnsi="Calibri"/>
                <w:color w:val="1B241D"/>
                <w:sz w:val="16"/>
              </w:rPr>
              <w:t>MyFarm</w:t>
            </w:r>
          </w:p>
        </w:tc>
        <w:tc>
          <w:tcPr>
            <w:tcW w:type="dxa" w:w="4040"/>
            <w:shd w:fill="F8FAF8"/>
            <w:vAlign w:val="center"/>
            <w:tcMar>
              <w:top w:w="80" w:type="dxa"/>
              <w:bottom w:w="80" w:type="dxa"/>
              <w:start w:w="120" w:type="dxa"/>
              <w:end w:w="120" w:type="dxa"/>
            </w:tcMar>
          </w:tcPr>
          <w:p>
            <w:pPr>
              <w:spacing w:after="20" w:line="252" w:lineRule="auto"/>
            </w:pPr>
            <w:r>
              <w:rPr>
                <w:rFonts w:ascii="Calibri" w:hAnsi="Calibri"/>
                <w:color w:val="1B241D"/>
                <w:sz w:val="16"/>
              </w:rPr>
              <w:t>Financeiro, produção, atividades, máquinas, suprimentos, obrigações legais, resultados e offline.</w:t>
            </w:r>
          </w:p>
        </w:tc>
        <w:tc>
          <w:tcPr>
            <w:tcW w:type="dxa" w:w="4020"/>
            <w:shd w:fill="F8FAF8"/>
            <w:vAlign w:val="center"/>
            <w:tcMar>
              <w:top w:w="80" w:type="dxa"/>
              <w:bottom w:w="80" w:type="dxa"/>
              <w:start w:w="120" w:type="dxa"/>
              <w:end w:w="120" w:type="dxa"/>
            </w:tcMar>
          </w:tcPr>
          <w:p>
            <w:pPr>
              <w:spacing w:after="20" w:line="252" w:lineRule="auto"/>
            </w:pPr>
            <w:r>
              <w:rPr>
                <w:rFonts w:ascii="Calibri" w:hAnsi="Calibri"/>
                <w:color w:val="1B241D"/>
                <w:sz w:val="16"/>
              </w:rPr>
              <w:t>Menor curva de aprendizagem e implantação por cooperativas em propriedades menos digitalizadas.</w:t>
            </w:r>
          </w:p>
        </w:tc>
      </w:tr>
      <w:tr>
        <w:trPr>
          <w:cantSplit/>
        </w:trPr>
        <w:tc>
          <w:tcPr>
            <w:tcW w:type="dxa" w:w="1300"/>
            <w:vAlign w:val="center"/>
            <w:tcMar>
              <w:top w:w="80" w:type="dxa"/>
              <w:bottom w:w="80" w:type="dxa"/>
              <w:start w:w="120" w:type="dxa"/>
              <w:end w:w="120" w:type="dxa"/>
            </w:tcMar>
          </w:tcPr>
          <w:p>
            <w:pPr>
              <w:spacing w:after="20" w:line="252" w:lineRule="auto"/>
            </w:pPr>
            <w:r>
              <w:rPr>
                <w:rFonts w:ascii="Calibri" w:hAnsi="Calibri"/>
                <w:color w:val="1B241D"/>
                <w:sz w:val="16"/>
              </w:rPr>
              <w:t>FieldView</w:t>
            </w:r>
          </w:p>
        </w:tc>
        <w:tc>
          <w:tcPr>
            <w:tcW w:type="dxa" w:w="4040"/>
            <w:vAlign w:val="center"/>
            <w:tcMar>
              <w:top w:w="80" w:type="dxa"/>
              <w:bottom w:w="80" w:type="dxa"/>
              <w:start w:w="120" w:type="dxa"/>
              <w:end w:w="120" w:type="dxa"/>
            </w:tcMar>
          </w:tcPr>
          <w:p>
            <w:pPr>
              <w:spacing w:after="20" w:line="252" w:lineRule="auto"/>
            </w:pPr>
            <w:r>
              <w:rPr>
                <w:rFonts w:ascii="Calibri" w:hAnsi="Calibri"/>
                <w:color w:val="1B241D"/>
                <w:sz w:val="16"/>
              </w:rPr>
              <w:t>Dados de plantio, pulverização e colheita; mapas, máquinas, prescrições e conectividade de equipamentos.</w:t>
            </w:r>
          </w:p>
        </w:tc>
        <w:tc>
          <w:tcPr>
            <w:tcW w:type="dxa" w:w="4020"/>
            <w:vAlign w:val="center"/>
            <w:tcMar>
              <w:top w:w="80" w:type="dxa"/>
              <w:bottom w:w="80" w:type="dxa"/>
              <w:start w:w="120" w:type="dxa"/>
              <w:end w:w="120" w:type="dxa"/>
            </w:tcMar>
          </w:tcPr>
          <w:p>
            <w:pPr>
              <w:spacing w:after="20" w:line="252" w:lineRule="auto"/>
            </w:pPr>
            <w:r>
              <w:rPr>
                <w:rFonts w:ascii="Calibri" w:hAnsi="Calibri"/>
                <w:color w:val="1B241D"/>
                <w:sz w:val="16"/>
              </w:rPr>
              <w:t>Propriedades sem maquinário conectado, com prioridade em rotina e organização financeira.</w:t>
            </w:r>
          </w:p>
        </w:tc>
      </w:tr>
      <w:tr>
        <w:trPr>
          <w:cantSplit/>
        </w:trPr>
        <w:tc>
          <w:tcPr>
            <w:tcW w:type="dxa" w:w="1300"/>
            <w:shd w:fill="F8FAF8"/>
            <w:vAlign w:val="center"/>
            <w:tcMar>
              <w:top w:w="80" w:type="dxa"/>
              <w:bottom w:w="80" w:type="dxa"/>
              <w:start w:w="120" w:type="dxa"/>
              <w:end w:w="120" w:type="dxa"/>
            </w:tcMar>
          </w:tcPr>
          <w:p>
            <w:pPr>
              <w:spacing w:after="20" w:line="252" w:lineRule="auto"/>
            </w:pPr>
            <w:r>
              <w:rPr>
                <w:rFonts w:ascii="Calibri" w:hAnsi="Calibri"/>
                <w:color w:val="1B241D"/>
                <w:sz w:val="16"/>
              </w:rPr>
              <w:t>AGRIVI</w:t>
            </w:r>
          </w:p>
        </w:tc>
        <w:tc>
          <w:tcPr>
            <w:tcW w:type="dxa" w:w="4040"/>
            <w:shd w:fill="F8FAF8"/>
            <w:vAlign w:val="center"/>
            <w:tcMar>
              <w:top w:w="80" w:type="dxa"/>
              <w:bottom w:w="80" w:type="dxa"/>
              <w:start w:w="120" w:type="dxa"/>
              <w:end w:w="120" w:type="dxa"/>
            </w:tcMar>
          </w:tcPr>
          <w:p>
            <w:pPr>
              <w:spacing w:after="20" w:line="252" w:lineRule="auto"/>
            </w:pPr>
            <w:r>
              <w:rPr>
                <w:rFonts w:ascii="Calibri" w:hAnsi="Calibri"/>
                <w:color w:val="1B241D"/>
                <w:sz w:val="16"/>
              </w:rPr>
              <w:t>Operação central, planejamento avançado, analytics, clima, IoT, ERP e compliance.</w:t>
            </w:r>
          </w:p>
        </w:tc>
        <w:tc>
          <w:tcPr>
            <w:tcW w:type="dxa" w:w="4020"/>
            <w:shd w:fill="F8FAF8"/>
            <w:vAlign w:val="center"/>
            <w:tcMar>
              <w:top w:w="80" w:type="dxa"/>
              <w:bottom w:w="80" w:type="dxa"/>
              <w:start w:w="120" w:type="dxa"/>
              <w:end w:w="120" w:type="dxa"/>
            </w:tcMar>
          </w:tcPr>
          <w:p>
            <w:pPr>
              <w:spacing w:after="20" w:line="252" w:lineRule="auto"/>
            </w:pPr>
            <w:r>
              <w:rPr>
                <w:rFonts w:ascii="Calibri" w:hAnsi="Calibri"/>
                <w:color w:val="1B241D"/>
                <w:sz w:val="16"/>
              </w:rPr>
              <w:t>Contexto regional, menor complexidade e custo de adoção.</w:t>
            </w:r>
          </w:p>
        </w:tc>
      </w:tr>
      <w:tr>
        <w:trPr>
          <w:cantSplit/>
        </w:trPr>
        <w:tc>
          <w:tcPr>
            <w:tcW w:type="dxa" w:w="1300"/>
            <w:vAlign w:val="center"/>
            <w:tcMar>
              <w:top w:w="80" w:type="dxa"/>
              <w:bottom w:w="80" w:type="dxa"/>
              <w:start w:w="120" w:type="dxa"/>
              <w:end w:w="120" w:type="dxa"/>
            </w:tcMar>
          </w:tcPr>
          <w:p>
            <w:pPr>
              <w:spacing w:after="20" w:line="252" w:lineRule="auto"/>
            </w:pPr>
            <w:r>
              <w:rPr>
                <w:rFonts w:ascii="Calibri" w:hAnsi="Calibri"/>
                <w:color w:val="1B241D"/>
                <w:sz w:val="16"/>
              </w:rPr>
              <w:t>Caderno/planilha/WhatsApp</w:t>
            </w:r>
          </w:p>
        </w:tc>
        <w:tc>
          <w:tcPr>
            <w:tcW w:type="dxa" w:w="4040"/>
            <w:vAlign w:val="center"/>
            <w:tcMar>
              <w:top w:w="80" w:type="dxa"/>
              <w:bottom w:w="80" w:type="dxa"/>
              <w:start w:w="120" w:type="dxa"/>
              <w:end w:w="120" w:type="dxa"/>
            </w:tcMar>
          </w:tcPr>
          <w:p>
            <w:pPr>
              <w:spacing w:after="20" w:line="252" w:lineRule="auto"/>
            </w:pPr>
            <w:r>
              <w:rPr>
                <w:rFonts w:ascii="Calibri" w:hAnsi="Calibri"/>
                <w:color w:val="1B241D"/>
                <w:sz w:val="16"/>
              </w:rPr>
              <w:t>Baixo custo, familiaridade, flexibilidade e pouca implantação.</w:t>
            </w:r>
          </w:p>
        </w:tc>
        <w:tc>
          <w:tcPr>
            <w:tcW w:type="dxa" w:w="4020"/>
            <w:vAlign w:val="center"/>
            <w:tcMar>
              <w:top w:w="80" w:type="dxa"/>
              <w:bottom w:w="80" w:type="dxa"/>
              <w:start w:w="120" w:type="dxa"/>
              <w:end w:w="120" w:type="dxa"/>
            </w:tcMar>
          </w:tcPr>
          <w:p>
            <w:pPr>
              <w:spacing w:after="20" w:line="252" w:lineRule="auto"/>
            </w:pPr>
            <w:r>
              <w:rPr>
                <w:rFonts w:ascii="Calibri" w:hAnsi="Calibri"/>
                <w:color w:val="1B241D"/>
                <w:sz w:val="16"/>
              </w:rPr>
              <w:t>Estrutura, histórico, cálculo, integridade, backup e reutilização dos dados.</w:t>
            </w:r>
          </w:p>
        </w:tc>
      </w:tr>
    </w:tbl>
    <w:p>
      <w:pPr>
        <w:widowControl/>
        <w:spacing w:after="40"/>
      </w:pPr>
    </w:p>
    <w:p>
      <w:pPr>
        <w:pStyle w:val="Heading2"/>
        <w:keepNext/>
        <w:widowControl/>
      </w:pPr>
      <w:r>
        <w:t>11.1 Comparação por critério</w:t>
      </w:r>
    </w:p>
    <w:tbl>
      <w:tblPr>
        <w:tblStyle w:val="TableGrid"/>
        <w:tblW w:type="dxa" w:w="9360"/>
        <w:jc w:val="center"/>
        <w:tblLayout w:type="fixed"/>
        <w:tblLook w:firstColumn="1" w:firstRow="1" w:lastColumn="0" w:lastRow="0" w:noHBand="0" w:noVBand="1" w:val="04A0"/>
        <w:tblInd w:w="120" w:type="dxa"/>
      </w:tblPr>
      <w:tblGrid>
        <w:gridCol w:w="1250"/>
        <w:gridCol w:w="2500"/>
        <w:gridCol w:w="2700"/>
        <w:gridCol w:w="2910"/>
      </w:tblGrid>
      <w:tr>
        <w:trPr>
          <w:tblHeader w:val="true"/>
          <w:cantSplit/>
        </w:trPr>
        <w:tc>
          <w:tcPr>
            <w:tcW w:type="dxa" w:w="1250"/>
            <w:shd w:fill="F2F4F3"/>
            <w:vAlign w:val="center"/>
            <w:tcMar>
              <w:top w:w="80" w:type="dxa"/>
              <w:bottom w:w="80" w:type="dxa"/>
              <w:start w:w="120" w:type="dxa"/>
              <w:end w:w="120" w:type="dxa"/>
            </w:tcMar>
          </w:tcPr>
          <w:p>
            <w:pPr>
              <w:spacing w:after="40"/>
            </w:pPr>
            <w:r>
              <w:rPr>
                <w:rFonts w:ascii="Calibri" w:hAnsi="Calibri"/>
                <w:b/>
                <w:color w:val="123D1A"/>
                <w:sz w:val="15"/>
              </w:rPr>
              <w:t>Critério</w:t>
            </w:r>
          </w:p>
        </w:tc>
        <w:tc>
          <w:tcPr>
            <w:tcW w:type="dxa" w:w="2500"/>
            <w:shd w:fill="F2F4F3"/>
            <w:vAlign w:val="center"/>
            <w:tcMar>
              <w:top w:w="80" w:type="dxa"/>
              <w:bottom w:w="80" w:type="dxa"/>
              <w:start w:w="120" w:type="dxa"/>
              <w:end w:w="120" w:type="dxa"/>
            </w:tcMar>
          </w:tcPr>
          <w:p>
            <w:pPr>
              <w:spacing w:after="40"/>
            </w:pPr>
            <w:r>
              <w:rPr>
                <w:rFonts w:ascii="Calibri" w:hAnsi="Calibri"/>
                <w:b/>
                <w:color w:val="123D1A"/>
                <w:sz w:val="15"/>
              </w:rPr>
              <w:t>AgroGestão Pro</w:t>
            </w:r>
          </w:p>
        </w:tc>
        <w:tc>
          <w:tcPr>
            <w:tcW w:type="dxa" w:w="2700"/>
            <w:shd w:fill="F2F4F3"/>
            <w:vAlign w:val="center"/>
            <w:tcMar>
              <w:top w:w="80" w:type="dxa"/>
              <w:bottom w:w="80" w:type="dxa"/>
              <w:start w:w="120" w:type="dxa"/>
              <w:end w:w="120" w:type="dxa"/>
            </w:tcMar>
          </w:tcPr>
          <w:p>
            <w:pPr>
              <w:spacing w:after="40"/>
            </w:pPr>
            <w:r>
              <w:rPr>
                <w:rFonts w:ascii="Calibri" w:hAnsi="Calibri"/>
                <w:b/>
                <w:color w:val="123D1A"/>
                <w:sz w:val="15"/>
              </w:rPr>
              <w:t>Concorrentes maduros</w:t>
            </w:r>
          </w:p>
        </w:tc>
        <w:tc>
          <w:tcPr>
            <w:tcW w:type="dxa" w:w="2910"/>
            <w:shd w:fill="F2F4F3"/>
            <w:vAlign w:val="center"/>
            <w:tcMar>
              <w:top w:w="80" w:type="dxa"/>
              <w:bottom w:w="80" w:type="dxa"/>
              <w:start w:w="120" w:type="dxa"/>
              <w:end w:w="120" w:type="dxa"/>
            </w:tcMar>
          </w:tcPr>
          <w:p>
            <w:pPr>
              <w:spacing w:after="40"/>
            </w:pPr>
            <w:r>
              <w:rPr>
                <w:rFonts w:ascii="Calibri" w:hAnsi="Calibri"/>
                <w:b/>
                <w:color w:val="123D1A"/>
                <w:sz w:val="15"/>
              </w:rPr>
              <w:t>Pergunta de validação</w:t>
            </w:r>
          </w:p>
        </w:tc>
      </w:tr>
      <w:tr>
        <w:trPr>
          <w:cantSplit/>
        </w:trPr>
        <w:tc>
          <w:tcPr>
            <w:tcW w:type="dxa" w:w="1250"/>
            <w:vAlign w:val="center"/>
            <w:tcMar>
              <w:top w:w="80" w:type="dxa"/>
              <w:bottom w:w="80" w:type="dxa"/>
              <w:start w:w="120" w:type="dxa"/>
              <w:end w:w="120" w:type="dxa"/>
            </w:tcMar>
          </w:tcPr>
          <w:p>
            <w:pPr>
              <w:spacing w:after="20" w:line="252" w:lineRule="auto"/>
            </w:pPr>
            <w:r>
              <w:rPr>
                <w:rFonts w:ascii="Calibri" w:hAnsi="Calibri"/>
                <w:color w:val="1B241D"/>
                <w:sz w:val="15"/>
              </w:rPr>
              <w:t>Offline</w:t>
            </w:r>
          </w:p>
        </w:tc>
        <w:tc>
          <w:tcPr>
            <w:tcW w:type="dxa" w:w="2500"/>
            <w:vAlign w:val="center"/>
            <w:tcMar>
              <w:top w:w="80" w:type="dxa"/>
              <w:bottom w:w="80" w:type="dxa"/>
              <w:start w:w="120" w:type="dxa"/>
              <w:end w:w="120" w:type="dxa"/>
            </w:tcMar>
          </w:tcPr>
          <w:p>
            <w:pPr>
              <w:spacing w:after="20" w:line="252" w:lineRule="auto"/>
            </w:pPr>
            <w:r>
              <w:rPr>
                <w:rFonts w:ascii="Calibri" w:hAnsi="Calibri"/>
                <w:color w:val="1B241D"/>
                <w:sz w:val="15"/>
              </w:rPr>
              <w:t>Arquitetura local-first comprovada na beta.</w:t>
            </w:r>
          </w:p>
        </w:tc>
        <w:tc>
          <w:tcPr>
            <w:tcW w:type="dxa" w:w="2700"/>
            <w:vAlign w:val="center"/>
            <w:tcMar>
              <w:top w:w="80" w:type="dxa"/>
              <w:bottom w:w="80" w:type="dxa"/>
              <w:start w:w="120" w:type="dxa"/>
              <w:end w:w="120" w:type="dxa"/>
            </w:tcMar>
          </w:tcPr>
          <w:p>
            <w:pPr>
              <w:spacing w:after="20" w:line="252" w:lineRule="auto"/>
            </w:pPr>
            <w:r>
              <w:rPr>
                <w:rFonts w:ascii="Calibri" w:hAnsi="Calibri"/>
                <w:color w:val="1B241D"/>
                <w:sz w:val="15"/>
              </w:rPr>
              <w:t>Também disponível em várias soluções.</w:t>
            </w:r>
          </w:p>
        </w:tc>
        <w:tc>
          <w:tcPr>
            <w:tcW w:type="dxa" w:w="2910"/>
            <w:vAlign w:val="center"/>
            <w:tcMar>
              <w:top w:w="80" w:type="dxa"/>
              <w:bottom w:w="80" w:type="dxa"/>
              <w:start w:w="120" w:type="dxa"/>
              <w:end w:w="120" w:type="dxa"/>
            </w:tcMar>
          </w:tcPr>
          <w:p>
            <w:pPr>
              <w:spacing w:after="20" w:line="252" w:lineRule="auto"/>
            </w:pPr>
            <w:r>
              <w:rPr>
                <w:rFonts w:ascii="Calibri" w:hAnsi="Calibri"/>
                <w:color w:val="1B241D"/>
                <w:sz w:val="15"/>
              </w:rPr>
              <w:t>É mais confiável e transparente em rede ruim?</w:t>
            </w:r>
          </w:p>
        </w:tc>
      </w:tr>
      <w:tr>
        <w:trPr>
          <w:cantSplit/>
        </w:trPr>
        <w:tc>
          <w:tcPr>
            <w:tcW w:type="dxa" w:w="1250"/>
            <w:shd w:fill="F8FAF8"/>
            <w:vAlign w:val="center"/>
            <w:tcMar>
              <w:top w:w="80" w:type="dxa"/>
              <w:bottom w:w="80" w:type="dxa"/>
              <w:start w:w="120" w:type="dxa"/>
              <w:end w:w="120" w:type="dxa"/>
            </w:tcMar>
          </w:tcPr>
          <w:p>
            <w:pPr>
              <w:spacing w:after="20" w:line="252" w:lineRule="auto"/>
            </w:pPr>
            <w:r>
              <w:rPr>
                <w:rFonts w:ascii="Calibri" w:hAnsi="Calibri"/>
                <w:color w:val="1B241D"/>
                <w:sz w:val="15"/>
              </w:rPr>
              <w:t>Simplicidade</w:t>
            </w:r>
          </w:p>
        </w:tc>
        <w:tc>
          <w:tcPr>
            <w:tcW w:type="dxa" w:w="2500"/>
            <w:shd w:fill="F8FAF8"/>
            <w:vAlign w:val="center"/>
            <w:tcMar>
              <w:top w:w="80" w:type="dxa"/>
              <w:bottom w:w="80" w:type="dxa"/>
              <w:start w:w="120" w:type="dxa"/>
              <w:end w:w="120" w:type="dxa"/>
            </w:tcMar>
          </w:tcPr>
          <w:p>
            <w:pPr>
              <w:spacing w:after="20" w:line="252" w:lineRule="auto"/>
            </w:pPr>
            <w:r>
              <w:rPr>
                <w:rFonts w:ascii="Calibri" w:hAnsi="Calibri"/>
                <w:color w:val="1B241D"/>
                <w:sz w:val="15"/>
              </w:rPr>
              <w:t>Hipótese central; Modo Simples incompleto.</w:t>
            </w:r>
          </w:p>
        </w:tc>
        <w:tc>
          <w:tcPr>
            <w:tcW w:type="dxa" w:w="2700"/>
            <w:shd w:fill="F8FAF8"/>
            <w:vAlign w:val="center"/>
            <w:tcMar>
              <w:top w:w="80" w:type="dxa"/>
              <w:bottom w:w="80" w:type="dxa"/>
              <w:start w:w="120" w:type="dxa"/>
              <w:end w:w="120" w:type="dxa"/>
            </w:tcMar>
          </w:tcPr>
          <w:p>
            <w:pPr>
              <w:spacing w:after="20" w:line="252" w:lineRule="auto"/>
            </w:pPr>
            <w:r>
              <w:rPr>
                <w:rFonts w:ascii="Calibri" w:hAnsi="Calibri"/>
                <w:color w:val="1B241D"/>
                <w:sz w:val="15"/>
              </w:rPr>
              <w:t>Prometem usabilidade e oferecem treinamento.</w:t>
            </w:r>
          </w:p>
        </w:tc>
        <w:tc>
          <w:tcPr>
            <w:tcW w:type="dxa" w:w="2910"/>
            <w:shd w:fill="F8FAF8"/>
            <w:vAlign w:val="center"/>
            <w:tcMar>
              <w:top w:w="80" w:type="dxa"/>
              <w:bottom w:w="80" w:type="dxa"/>
              <w:start w:w="120" w:type="dxa"/>
              <w:end w:w="120" w:type="dxa"/>
            </w:tcMar>
          </w:tcPr>
          <w:p>
            <w:pPr>
              <w:spacing w:after="20" w:line="252" w:lineRule="auto"/>
            </w:pPr>
            <w:r>
              <w:rPr>
                <w:rFonts w:ascii="Calibri" w:hAnsi="Calibri"/>
                <w:color w:val="1B241D"/>
                <w:sz w:val="15"/>
              </w:rPr>
              <w:t>Produtor conclui tarefas sem ajuda?</w:t>
            </w:r>
          </w:p>
        </w:tc>
      </w:tr>
      <w:tr>
        <w:trPr>
          <w:cantSplit/>
        </w:trPr>
        <w:tc>
          <w:tcPr>
            <w:tcW w:type="dxa" w:w="1250"/>
            <w:vAlign w:val="center"/>
            <w:tcMar>
              <w:top w:w="80" w:type="dxa"/>
              <w:bottom w:w="80" w:type="dxa"/>
              <w:start w:w="120" w:type="dxa"/>
              <w:end w:w="120" w:type="dxa"/>
            </w:tcMar>
          </w:tcPr>
          <w:p>
            <w:pPr>
              <w:spacing w:after="20" w:line="252" w:lineRule="auto"/>
            </w:pPr>
            <w:r>
              <w:rPr>
                <w:rFonts w:ascii="Calibri" w:hAnsi="Calibri"/>
                <w:color w:val="1B241D"/>
                <w:sz w:val="15"/>
              </w:rPr>
              <w:t>Crédito</w:t>
            </w:r>
          </w:p>
        </w:tc>
        <w:tc>
          <w:tcPr>
            <w:tcW w:type="dxa" w:w="2500"/>
            <w:vAlign w:val="center"/>
            <w:tcMar>
              <w:top w:w="80" w:type="dxa"/>
              <w:bottom w:w="80" w:type="dxa"/>
              <w:start w:w="120" w:type="dxa"/>
              <w:end w:w="120" w:type="dxa"/>
            </w:tcMar>
          </w:tcPr>
          <w:p>
            <w:pPr>
              <w:spacing w:after="20" w:line="252" w:lineRule="auto"/>
            </w:pPr>
            <w:r>
              <w:rPr>
                <w:rFonts w:ascii="Calibri" w:hAnsi="Calibri"/>
                <w:color w:val="1B241D"/>
                <w:sz w:val="15"/>
              </w:rPr>
              <w:t>PDF com completude, consentimento e hash.</w:t>
            </w:r>
          </w:p>
        </w:tc>
        <w:tc>
          <w:tcPr>
            <w:tcW w:type="dxa" w:w="2700"/>
            <w:vAlign w:val="center"/>
            <w:tcMar>
              <w:top w:w="80" w:type="dxa"/>
              <w:bottom w:w="80" w:type="dxa"/>
              <w:start w:w="120" w:type="dxa"/>
              <w:end w:w="120" w:type="dxa"/>
            </w:tcMar>
          </w:tcPr>
          <w:p>
            <w:pPr>
              <w:spacing w:after="20" w:line="252" w:lineRule="auto"/>
            </w:pPr>
            <w:r>
              <w:rPr>
                <w:rFonts w:ascii="Calibri" w:hAnsi="Calibri"/>
                <w:color w:val="1B241D"/>
                <w:sz w:val="15"/>
              </w:rPr>
              <w:t>Relatórios gerenciais; processos variam.</w:t>
            </w:r>
          </w:p>
        </w:tc>
        <w:tc>
          <w:tcPr>
            <w:tcW w:type="dxa" w:w="2910"/>
            <w:vAlign w:val="center"/>
            <w:tcMar>
              <w:top w:w="80" w:type="dxa"/>
              <w:bottom w:w="80" w:type="dxa"/>
              <w:start w:w="120" w:type="dxa"/>
              <w:end w:w="120" w:type="dxa"/>
            </w:tcMar>
          </w:tcPr>
          <w:p>
            <w:pPr>
              <w:spacing w:after="20" w:line="252" w:lineRule="auto"/>
            </w:pPr>
            <w:r>
              <w:rPr>
                <w:rFonts w:ascii="Calibri" w:hAnsi="Calibri"/>
                <w:color w:val="1B241D"/>
                <w:sz w:val="15"/>
              </w:rPr>
              <w:t>Instituições consideram o dossiê útil?</w:t>
            </w:r>
          </w:p>
        </w:tc>
      </w:tr>
      <w:tr>
        <w:trPr>
          <w:cantSplit/>
        </w:trPr>
        <w:tc>
          <w:tcPr>
            <w:tcW w:type="dxa" w:w="1250"/>
            <w:shd w:fill="F8FAF8"/>
            <w:vAlign w:val="center"/>
            <w:tcMar>
              <w:top w:w="80" w:type="dxa"/>
              <w:bottom w:w="80" w:type="dxa"/>
              <w:start w:w="120" w:type="dxa"/>
              <w:end w:w="120" w:type="dxa"/>
            </w:tcMar>
          </w:tcPr>
          <w:p>
            <w:pPr>
              <w:spacing w:after="20" w:line="252" w:lineRule="auto"/>
            </w:pPr>
            <w:r>
              <w:rPr>
                <w:rFonts w:ascii="Calibri" w:hAnsi="Calibri"/>
                <w:color w:val="1B241D"/>
                <w:sz w:val="15"/>
              </w:rPr>
              <w:t>Escopo</w:t>
            </w:r>
          </w:p>
        </w:tc>
        <w:tc>
          <w:tcPr>
            <w:tcW w:type="dxa" w:w="2500"/>
            <w:shd w:fill="F8FAF8"/>
            <w:vAlign w:val="center"/>
            <w:tcMar>
              <w:top w:w="80" w:type="dxa"/>
              <w:bottom w:w="80" w:type="dxa"/>
              <w:start w:w="120" w:type="dxa"/>
              <w:end w:w="120" w:type="dxa"/>
            </w:tcMar>
          </w:tcPr>
          <w:p>
            <w:pPr>
              <w:spacing w:after="20" w:line="252" w:lineRule="auto"/>
            </w:pPr>
            <w:r>
              <w:rPr>
                <w:rFonts w:ascii="Calibri" w:hAnsi="Calibri"/>
                <w:color w:val="1B241D"/>
                <w:sz w:val="15"/>
              </w:rPr>
              <w:t>Safra, tarefas e caixa simples.</w:t>
            </w:r>
          </w:p>
        </w:tc>
        <w:tc>
          <w:tcPr>
            <w:tcW w:type="dxa" w:w="2700"/>
            <w:shd w:fill="F8FAF8"/>
            <w:vAlign w:val="center"/>
            <w:tcMar>
              <w:top w:w="80" w:type="dxa"/>
              <w:bottom w:w="80" w:type="dxa"/>
              <w:start w:w="120" w:type="dxa"/>
              <w:end w:w="120" w:type="dxa"/>
            </w:tcMar>
          </w:tcPr>
          <w:p>
            <w:pPr>
              <w:spacing w:after="20" w:line="252" w:lineRule="auto"/>
            </w:pPr>
            <w:r>
              <w:rPr>
                <w:rFonts w:ascii="Calibri" w:hAnsi="Calibri"/>
                <w:color w:val="1B241D"/>
                <w:sz w:val="15"/>
              </w:rPr>
              <w:t>Estoque, fiscal, máquinas, mapas e integrações.</w:t>
            </w:r>
          </w:p>
        </w:tc>
        <w:tc>
          <w:tcPr>
            <w:tcW w:type="dxa" w:w="2910"/>
            <w:shd w:fill="F8FAF8"/>
            <w:vAlign w:val="center"/>
            <w:tcMar>
              <w:top w:w="80" w:type="dxa"/>
              <w:bottom w:w="80" w:type="dxa"/>
              <w:start w:w="120" w:type="dxa"/>
              <w:end w:w="120" w:type="dxa"/>
            </w:tcMar>
          </w:tcPr>
          <w:p>
            <w:pPr>
              <w:spacing w:after="20" w:line="252" w:lineRule="auto"/>
            </w:pPr>
            <w:r>
              <w:rPr>
                <w:rFonts w:ascii="Calibri" w:hAnsi="Calibri"/>
                <w:color w:val="1B241D"/>
                <w:sz w:val="15"/>
              </w:rPr>
              <w:t>Qual é o mínimo indispensável para retenção?</w:t>
            </w:r>
          </w:p>
        </w:tc>
      </w:tr>
      <w:tr>
        <w:trPr>
          <w:cantSplit/>
        </w:trPr>
        <w:tc>
          <w:tcPr>
            <w:tcW w:type="dxa" w:w="1250"/>
            <w:vAlign w:val="center"/>
            <w:tcMar>
              <w:top w:w="80" w:type="dxa"/>
              <w:bottom w:w="80" w:type="dxa"/>
              <w:start w:w="120" w:type="dxa"/>
              <w:end w:w="120" w:type="dxa"/>
            </w:tcMar>
          </w:tcPr>
          <w:p>
            <w:pPr>
              <w:spacing w:after="20" w:line="252" w:lineRule="auto"/>
            </w:pPr>
            <w:r>
              <w:rPr>
                <w:rFonts w:ascii="Calibri" w:hAnsi="Calibri"/>
                <w:color w:val="1B241D"/>
                <w:sz w:val="15"/>
              </w:rPr>
              <w:t>Distribuição</w:t>
            </w:r>
          </w:p>
        </w:tc>
        <w:tc>
          <w:tcPr>
            <w:tcW w:type="dxa" w:w="2500"/>
            <w:vAlign w:val="center"/>
            <w:tcMar>
              <w:top w:w="80" w:type="dxa"/>
              <w:bottom w:w="80" w:type="dxa"/>
              <w:start w:w="120" w:type="dxa"/>
              <w:end w:w="120" w:type="dxa"/>
            </w:tcMar>
          </w:tcPr>
          <w:p>
            <w:pPr>
              <w:spacing w:after="20" w:line="252" w:lineRule="auto"/>
            </w:pPr>
            <w:r>
              <w:rPr>
                <w:rFonts w:ascii="Calibri" w:hAnsi="Calibri"/>
                <w:color w:val="1B241D"/>
                <w:sz w:val="15"/>
              </w:rPr>
              <w:t>Foco pretendido em cooperativas e Nordeste.</w:t>
            </w:r>
          </w:p>
        </w:tc>
        <w:tc>
          <w:tcPr>
            <w:tcW w:type="dxa" w:w="2700"/>
            <w:vAlign w:val="center"/>
            <w:tcMar>
              <w:top w:w="80" w:type="dxa"/>
              <w:bottom w:w="80" w:type="dxa"/>
              <w:start w:w="120" w:type="dxa"/>
              <w:end w:w="120" w:type="dxa"/>
            </w:tcMar>
          </w:tcPr>
          <w:p>
            <w:pPr>
              <w:spacing w:after="20" w:line="252" w:lineRule="auto"/>
            </w:pPr>
            <w:r>
              <w:rPr>
                <w:rFonts w:ascii="Calibri" w:hAnsi="Calibri"/>
                <w:color w:val="1B241D"/>
                <w:sz w:val="15"/>
              </w:rPr>
              <w:t>Equipes comerciais, parceiros e suporte consolidados.</w:t>
            </w:r>
          </w:p>
        </w:tc>
        <w:tc>
          <w:tcPr>
            <w:tcW w:type="dxa" w:w="2910"/>
            <w:vAlign w:val="center"/>
            <w:tcMar>
              <w:top w:w="80" w:type="dxa"/>
              <w:bottom w:w="80" w:type="dxa"/>
              <w:start w:w="120" w:type="dxa"/>
              <w:end w:w="120" w:type="dxa"/>
            </w:tcMar>
          </w:tcPr>
          <w:p>
            <w:pPr>
              <w:spacing w:after="20" w:line="252" w:lineRule="auto"/>
            </w:pPr>
            <w:r>
              <w:rPr>
                <w:rFonts w:ascii="Calibri" w:hAnsi="Calibri"/>
                <w:color w:val="1B241D"/>
                <w:sz w:val="15"/>
              </w:rPr>
              <w:t>Quem vende, implanta e atende com confiança?</w:t>
            </w:r>
          </w:p>
        </w:tc>
      </w:tr>
      <w:tr>
        <w:trPr>
          <w:cantSplit/>
        </w:trPr>
        <w:tc>
          <w:tcPr>
            <w:tcW w:type="dxa" w:w="1250"/>
            <w:shd w:fill="F8FAF8"/>
            <w:vAlign w:val="center"/>
            <w:tcMar>
              <w:top w:w="80" w:type="dxa"/>
              <w:bottom w:w="80" w:type="dxa"/>
              <w:start w:w="120" w:type="dxa"/>
              <w:end w:w="120" w:type="dxa"/>
            </w:tcMar>
          </w:tcPr>
          <w:p>
            <w:pPr>
              <w:spacing w:after="20" w:line="252" w:lineRule="auto"/>
            </w:pPr>
            <w:r>
              <w:rPr>
                <w:rFonts w:ascii="Calibri" w:hAnsi="Calibri"/>
                <w:color w:val="1B241D"/>
                <w:sz w:val="15"/>
              </w:rPr>
              <w:t>Maturidade</w:t>
            </w:r>
          </w:p>
        </w:tc>
        <w:tc>
          <w:tcPr>
            <w:tcW w:type="dxa" w:w="2500"/>
            <w:shd w:fill="F8FAF8"/>
            <w:vAlign w:val="center"/>
            <w:tcMar>
              <w:top w:w="80" w:type="dxa"/>
              <w:bottom w:w="80" w:type="dxa"/>
              <w:start w:w="120" w:type="dxa"/>
              <w:end w:w="120" w:type="dxa"/>
            </w:tcMar>
          </w:tcPr>
          <w:p>
            <w:pPr>
              <w:spacing w:after="20" w:line="252" w:lineRule="auto"/>
            </w:pPr>
            <w:r>
              <w:rPr>
                <w:rFonts w:ascii="Calibri" w:hAnsi="Calibri"/>
                <w:color w:val="1B241D"/>
                <w:sz w:val="15"/>
              </w:rPr>
              <w:t>Beta Android.</w:t>
            </w:r>
          </w:p>
        </w:tc>
        <w:tc>
          <w:tcPr>
            <w:tcW w:type="dxa" w:w="2700"/>
            <w:shd w:fill="F8FAF8"/>
            <w:vAlign w:val="center"/>
            <w:tcMar>
              <w:top w:w="80" w:type="dxa"/>
              <w:bottom w:w="80" w:type="dxa"/>
              <w:start w:w="120" w:type="dxa"/>
              <w:end w:w="120" w:type="dxa"/>
            </w:tcMar>
          </w:tcPr>
          <w:p>
            <w:pPr>
              <w:spacing w:after="20" w:line="252" w:lineRule="auto"/>
            </w:pPr>
            <w:r>
              <w:rPr>
                <w:rFonts w:ascii="Calibri" w:hAnsi="Calibri"/>
                <w:color w:val="1B241D"/>
                <w:sz w:val="15"/>
              </w:rPr>
              <w:t>Produtos em operação comercial há anos.</w:t>
            </w:r>
          </w:p>
        </w:tc>
        <w:tc>
          <w:tcPr>
            <w:tcW w:type="dxa" w:w="2910"/>
            <w:shd w:fill="F8FAF8"/>
            <w:vAlign w:val="center"/>
            <w:tcMar>
              <w:top w:w="80" w:type="dxa"/>
              <w:bottom w:w="80" w:type="dxa"/>
              <w:start w:w="120" w:type="dxa"/>
              <w:end w:w="120" w:type="dxa"/>
            </w:tcMar>
          </w:tcPr>
          <w:p>
            <w:pPr>
              <w:spacing w:after="20" w:line="252" w:lineRule="auto"/>
            </w:pPr>
            <w:r>
              <w:rPr>
                <w:rFonts w:ascii="Calibri" w:hAnsi="Calibri"/>
                <w:color w:val="1B241D"/>
                <w:sz w:val="15"/>
              </w:rPr>
              <w:t>Quais riscos impedem uso real hoje?</w:t>
            </w:r>
          </w:p>
        </w:tc>
      </w:tr>
    </w:tbl>
    <w:p>
      <w:pPr>
        <w:widowControl/>
        <w:spacing w:after="40"/>
      </w:pPr>
    </w:p>
    <w:p>
      <w:pPr>
        <w:pStyle w:val="Heading1"/>
        <w:keepNext/>
        <w:widowControl/>
      </w:pPr>
      <w:r>
        <w:t>12. Vantagens e desvantagens reais</w:t>
      </w:r>
    </w:p>
    <w:p>
      <w:pPr>
        <w:pStyle w:val="Heading2"/>
        <w:keepNext/>
        <w:widowControl/>
      </w:pPr>
      <w:r>
        <w:t>12.1 Vantagens potenciais</w:t>
      </w:r>
    </w:p>
    <w:p>
      <w:pPr>
        <w:spacing w:after="160" w:line="280" w:lineRule="auto"/>
        <w:widowControl/>
        <w:numPr>
          <w:ilvl w:val="0"/>
          <w:numId w:val="10"/>
        </w:numPr>
      </w:pPr>
      <w:r>
        <w:t>Código e arquitetura sob controle do projeto, permitindo adaptação regional.</w:t>
      </w:r>
    </w:p>
    <w:p>
      <w:pPr>
        <w:spacing w:after="160" w:line="280" w:lineRule="auto"/>
        <w:widowControl/>
        <w:numPr>
          <w:ilvl w:val="0"/>
          <w:numId w:val="10"/>
        </w:numPr>
      </w:pPr>
      <w:r>
        <w:t>Offline como fundamento técnico, não apenas modo auxiliar.</w:t>
      </w:r>
    </w:p>
    <w:p>
      <w:pPr>
        <w:spacing w:after="160" w:line="280" w:lineRule="auto"/>
        <w:widowControl/>
        <w:numPr>
          <w:ilvl w:val="0"/>
          <w:numId w:val="10"/>
        </w:numPr>
      </w:pPr>
      <w:r>
        <w:t>Fluxo de crédito já possui consentimento, completude e integridade acima de um protótipo comum.</w:t>
      </w:r>
    </w:p>
    <w:p>
      <w:pPr>
        <w:spacing w:after="160" w:line="280" w:lineRule="auto"/>
        <w:widowControl/>
        <w:numPr>
          <w:ilvl w:val="0"/>
          <w:numId w:val="10"/>
        </w:numPr>
      </w:pPr>
      <w:r>
        <w:t>Possibilidade de começar simples e crescer conforme a maturidade do produtor.</w:t>
      </w:r>
    </w:p>
    <w:p>
      <w:pPr>
        <w:spacing w:after="160" w:line="280" w:lineRule="auto"/>
        <w:widowControl/>
        <w:numPr>
          <w:ilvl w:val="0"/>
          <w:numId w:val="10"/>
        </w:numPr>
      </w:pPr>
      <w:r>
        <w:t>Posicionamento claro para redes locais de confiança e agricultura familiar.</w:t>
      </w:r>
    </w:p>
    <w:p>
      <w:pPr>
        <w:pStyle w:val="Heading2"/>
        <w:keepNext/>
        <w:widowControl/>
      </w:pPr>
      <w:r>
        <w:t>12.2 Desvantagens atuais</w:t>
      </w:r>
    </w:p>
    <w:p>
      <w:pPr>
        <w:spacing w:after="160" w:line="280" w:lineRule="auto"/>
        <w:widowControl/>
        <w:numPr>
          <w:ilvl w:val="0"/>
          <w:numId w:val="10"/>
        </w:numPr>
      </w:pPr>
      <w:r>
        <w:t>Produto Android em beta, sem histórico comercial, SLA ou suporte estruturado.</w:t>
      </w:r>
    </w:p>
    <w:p>
      <w:pPr>
        <w:spacing w:after="160" w:line="280" w:lineRule="auto"/>
        <w:widowControl/>
        <w:numPr>
          <w:ilvl w:val="0"/>
          <w:numId w:val="10"/>
        </w:numPr>
      </w:pPr>
      <w:r>
        <w:t>Escopo inferior aos ERPs rurais estabelecidos.</w:t>
      </w:r>
    </w:p>
    <w:p>
      <w:pPr>
        <w:spacing w:after="160" w:line="280" w:lineRule="auto"/>
        <w:widowControl/>
        <w:numPr>
          <w:ilvl w:val="0"/>
          <w:numId w:val="10"/>
        </w:numPr>
      </w:pPr>
      <w:r>
        <w:t>Modo Simples ainda não existe como experiência global comprovada.</w:t>
      </w:r>
    </w:p>
    <w:p>
      <w:pPr>
        <w:spacing w:after="160" w:line="280" w:lineRule="auto"/>
        <w:widowControl/>
        <w:numPr>
          <w:ilvl w:val="0"/>
          <w:numId w:val="10"/>
        </w:numPr>
      </w:pPr>
      <w:r>
        <w:t>Sem evidência publicada de retenção, economia, produtividade ou aceitação bancária.</w:t>
      </w:r>
    </w:p>
    <w:p>
      <w:pPr>
        <w:spacing w:after="160" w:line="280" w:lineRule="auto"/>
        <w:widowControl/>
        <w:numPr>
          <w:ilvl w:val="0"/>
          <w:numId w:val="10"/>
        </w:numPr>
      </w:pPr>
      <w:r>
        <w:t>Sem colaboração completa, múltiplas propriedades, estoque, fiscal ou integração com máquinas.</w:t>
      </w:r>
    </w:p>
    <w:p>
      <w:pPr>
        <w:spacing w:after="160" w:line="280" w:lineRule="auto"/>
        <w:widowControl/>
        <w:numPr>
          <w:ilvl w:val="0"/>
          <w:numId w:val="10"/>
        </w:numPr>
      </w:pPr>
      <w:r>
        <w:t>Riscos técnicos ainda abertos: migração destrutiva antiga, valores em Double, conflito por data, arquivos grandes e ausência de CI comercial.</w:t>
      </w:r>
    </w:p>
    <w:p>
      <w:pPr>
        <w:pStyle w:val="Heading1"/>
        <w:keepNext/>
        <w:widowControl/>
      </w:pPr>
      <w:r>
        <w:t>13. Modelo de negócio a investigar</w:t>
      </w:r>
    </w:p>
    <w:p>
      <w:pPr>
        <w:widowControl/>
      </w:pPr>
      <w:r>
        <w:t>A hipótese inicial é um SaaS adaptado à sazonalidade da renda agrícola. O modelo mais promissor pode ser híbrido: produto individual de entrada e contratos B2B2C com cooperativas, associações, ATER ou parceiros financeiros. Isso não deve ser decidido sem pesquisa de custo de aquisição, implantação e suporte.</w:t>
      </w:r>
    </w:p>
    <w:tbl>
      <w:tblPr>
        <w:tblStyle w:val="TableGrid"/>
        <w:tblW w:type="dxa" w:w="9360"/>
        <w:jc w:val="center"/>
        <w:tblLayout w:type="fixed"/>
        <w:tblLook w:firstColumn="1" w:firstRow="1" w:lastColumn="0" w:lastRow="0" w:noHBand="0" w:noVBand="1" w:val="04A0"/>
        <w:tblInd w:w="120" w:type="dxa"/>
      </w:tblPr>
      <w:tblGrid>
        <w:gridCol w:w="1850"/>
        <w:gridCol w:w="3400"/>
        <w:gridCol w:w="4110"/>
      </w:tblGrid>
      <w:tr>
        <w:trPr>
          <w:tblHeader w:val="true"/>
          <w:cantSplit/>
        </w:trPr>
        <w:tc>
          <w:tcPr>
            <w:tcW w:type="dxa" w:w="1850"/>
            <w:shd w:fill="F2F4F3"/>
            <w:vAlign w:val="center"/>
            <w:tcMar>
              <w:top w:w="80" w:type="dxa"/>
              <w:bottom w:w="80" w:type="dxa"/>
              <w:start w:w="120" w:type="dxa"/>
              <w:end w:w="120" w:type="dxa"/>
            </w:tcMar>
          </w:tcPr>
          <w:p>
            <w:pPr>
              <w:spacing w:after="40"/>
            </w:pPr>
            <w:r>
              <w:rPr>
                <w:rFonts w:ascii="Calibri" w:hAnsi="Calibri"/>
                <w:b/>
                <w:color w:val="123D1A"/>
                <w:sz w:val="16"/>
              </w:rPr>
              <w:t>Opção</w:t>
            </w:r>
          </w:p>
        </w:tc>
        <w:tc>
          <w:tcPr>
            <w:tcW w:type="dxa" w:w="3400"/>
            <w:shd w:fill="F2F4F3"/>
            <w:vAlign w:val="center"/>
            <w:tcMar>
              <w:top w:w="80" w:type="dxa"/>
              <w:bottom w:w="80" w:type="dxa"/>
              <w:start w:w="120" w:type="dxa"/>
              <w:end w:w="120" w:type="dxa"/>
            </w:tcMar>
          </w:tcPr>
          <w:p>
            <w:pPr>
              <w:spacing w:after="40"/>
            </w:pPr>
            <w:r>
              <w:rPr>
                <w:rFonts w:ascii="Calibri" w:hAnsi="Calibri"/>
                <w:b/>
                <w:color w:val="123D1A"/>
                <w:sz w:val="16"/>
              </w:rPr>
              <w:t>Benefício</w:t>
            </w:r>
          </w:p>
        </w:tc>
        <w:tc>
          <w:tcPr>
            <w:tcW w:type="dxa" w:w="4110"/>
            <w:shd w:fill="F2F4F3"/>
            <w:vAlign w:val="center"/>
            <w:tcMar>
              <w:top w:w="80" w:type="dxa"/>
              <w:bottom w:w="80" w:type="dxa"/>
              <w:start w:w="120" w:type="dxa"/>
              <w:end w:w="120" w:type="dxa"/>
            </w:tcMar>
          </w:tcPr>
          <w:p>
            <w:pPr>
              <w:spacing w:after="40"/>
            </w:pPr>
            <w:r>
              <w:rPr>
                <w:rFonts w:ascii="Calibri" w:hAnsi="Calibri"/>
                <w:b/>
                <w:color w:val="123D1A"/>
                <w:sz w:val="16"/>
              </w:rPr>
              <w:t>Risco/Pergunta</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Gratuito básico</w:t>
            </w:r>
          </w:p>
        </w:tc>
        <w:tc>
          <w:tcPr>
            <w:tcW w:type="dxa" w:w="3400"/>
            <w:vAlign w:val="center"/>
            <w:tcMar>
              <w:top w:w="80" w:type="dxa"/>
              <w:bottom w:w="80" w:type="dxa"/>
              <w:start w:w="120" w:type="dxa"/>
              <w:end w:w="120" w:type="dxa"/>
            </w:tcMar>
          </w:tcPr>
          <w:p>
            <w:pPr>
              <w:spacing w:after="20" w:line="252" w:lineRule="auto"/>
            </w:pPr>
            <w:r>
              <w:rPr>
                <w:rFonts w:ascii="Calibri" w:hAnsi="Calibri"/>
                <w:color w:val="1B241D"/>
                <w:sz w:val="16"/>
              </w:rPr>
              <w:t>Reduz barreira e amplia experimentação.</w:t>
            </w:r>
          </w:p>
        </w:tc>
        <w:tc>
          <w:tcPr>
            <w:tcW w:type="dxa" w:w="4110"/>
            <w:vAlign w:val="center"/>
            <w:tcMar>
              <w:top w:w="80" w:type="dxa"/>
              <w:bottom w:w="80" w:type="dxa"/>
              <w:start w:w="120" w:type="dxa"/>
              <w:end w:w="120" w:type="dxa"/>
            </w:tcMar>
          </w:tcPr>
          <w:p>
            <w:pPr>
              <w:spacing w:after="20" w:line="252" w:lineRule="auto"/>
            </w:pPr>
            <w:r>
              <w:rPr>
                <w:rFonts w:ascii="Calibri" w:hAnsi="Calibri"/>
                <w:color w:val="1B241D"/>
                <w:sz w:val="16"/>
              </w:rPr>
              <w:t>Quem paga infraestrutura e suporte? Qual limite gera conversão sem bloquear valor essencial?</w:t>
            </w:r>
          </w:p>
        </w:tc>
      </w:tr>
      <w:tr>
        <w:trPr>
          <w:cantSplit/>
        </w:trPr>
        <w:tc>
          <w:tcPr>
            <w:tcW w:type="dxa" w:w="1850"/>
            <w:shd w:fill="F8FAF8"/>
            <w:vAlign w:val="center"/>
            <w:tcMar>
              <w:top w:w="80" w:type="dxa"/>
              <w:bottom w:w="80" w:type="dxa"/>
              <w:start w:w="120" w:type="dxa"/>
              <w:end w:w="120" w:type="dxa"/>
            </w:tcMar>
          </w:tcPr>
          <w:p>
            <w:pPr>
              <w:spacing w:after="20" w:line="252" w:lineRule="auto"/>
            </w:pPr>
            <w:r>
              <w:rPr>
                <w:rFonts w:ascii="Calibri" w:hAnsi="Calibri"/>
                <w:color w:val="1B241D"/>
                <w:sz w:val="16"/>
              </w:rPr>
              <w:t>Assinatura individual</w:t>
            </w:r>
          </w:p>
        </w:tc>
        <w:tc>
          <w:tcPr>
            <w:tcW w:type="dxa" w:w="3400"/>
            <w:shd w:fill="F8FAF8"/>
            <w:vAlign w:val="center"/>
            <w:tcMar>
              <w:top w:w="80" w:type="dxa"/>
              <w:bottom w:w="80" w:type="dxa"/>
              <w:start w:w="120" w:type="dxa"/>
              <w:end w:w="120" w:type="dxa"/>
            </w:tcMar>
          </w:tcPr>
          <w:p>
            <w:pPr>
              <w:spacing w:after="20" w:line="252" w:lineRule="auto"/>
            </w:pPr>
            <w:r>
              <w:rPr>
                <w:rFonts w:ascii="Calibri" w:hAnsi="Calibri"/>
                <w:color w:val="1B241D"/>
                <w:sz w:val="16"/>
              </w:rPr>
              <w:t>Receita direta e relação clara com o produtor.</w:t>
            </w:r>
          </w:p>
        </w:tc>
        <w:tc>
          <w:tcPr>
            <w:tcW w:type="dxa" w:w="4110"/>
            <w:shd w:fill="F8FAF8"/>
            <w:vAlign w:val="center"/>
            <w:tcMar>
              <w:top w:w="80" w:type="dxa"/>
              <w:bottom w:w="80" w:type="dxa"/>
              <w:start w:w="120" w:type="dxa"/>
              <w:end w:w="120" w:type="dxa"/>
            </w:tcMar>
          </w:tcPr>
          <w:p>
            <w:pPr>
              <w:spacing w:after="20" w:line="252" w:lineRule="auto"/>
            </w:pPr>
            <w:r>
              <w:rPr>
                <w:rFonts w:ascii="Calibri" w:hAnsi="Calibri"/>
                <w:color w:val="1B241D"/>
                <w:sz w:val="16"/>
              </w:rPr>
              <w:t>Disposição a pagar, sazonalidade e custo de aquisição podem inviabilizar.</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Plano cooperativa</w:t>
            </w:r>
          </w:p>
        </w:tc>
        <w:tc>
          <w:tcPr>
            <w:tcW w:type="dxa" w:w="3400"/>
            <w:vAlign w:val="center"/>
            <w:tcMar>
              <w:top w:w="80" w:type="dxa"/>
              <w:bottom w:w="80" w:type="dxa"/>
              <w:start w:w="120" w:type="dxa"/>
              <w:end w:w="120" w:type="dxa"/>
            </w:tcMar>
          </w:tcPr>
          <w:p>
            <w:pPr>
              <w:spacing w:after="20" w:line="252" w:lineRule="auto"/>
            </w:pPr>
            <w:r>
              <w:rPr>
                <w:rFonts w:ascii="Calibri" w:hAnsi="Calibri"/>
                <w:color w:val="1B241D"/>
                <w:sz w:val="16"/>
              </w:rPr>
              <w:t>Distribuição, treinamento e suporte em grupo.</w:t>
            </w:r>
          </w:p>
        </w:tc>
        <w:tc>
          <w:tcPr>
            <w:tcW w:type="dxa" w:w="4110"/>
            <w:vAlign w:val="center"/>
            <w:tcMar>
              <w:top w:w="80" w:type="dxa"/>
              <w:bottom w:w="80" w:type="dxa"/>
              <w:start w:w="120" w:type="dxa"/>
              <w:end w:w="120" w:type="dxa"/>
            </w:tcMar>
          </w:tcPr>
          <w:p>
            <w:pPr>
              <w:spacing w:after="20" w:line="252" w:lineRule="auto"/>
            </w:pPr>
            <w:r>
              <w:rPr>
                <w:rFonts w:ascii="Calibri" w:hAnsi="Calibri"/>
                <w:color w:val="1B241D"/>
                <w:sz w:val="16"/>
              </w:rPr>
              <w:t>Ciclo de venda maior, personalizações e governança dos dados.</w:t>
            </w:r>
          </w:p>
        </w:tc>
      </w:tr>
      <w:tr>
        <w:trPr>
          <w:cantSplit/>
        </w:trPr>
        <w:tc>
          <w:tcPr>
            <w:tcW w:type="dxa" w:w="1850"/>
            <w:shd w:fill="F8FAF8"/>
            <w:vAlign w:val="center"/>
            <w:tcMar>
              <w:top w:w="80" w:type="dxa"/>
              <w:bottom w:w="80" w:type="dxa"/>
              <w:start w:w="120" w:type="dxa"/>
              <w:end w:w="120" w:type="dxa"/>
            </w:tcMar>
          </w:tcPr>
          <w:p>
            <w:pPr>
              <w:spacing w:after="20" w:line="252" w:lineRule="auto"/>
            </w:pPr>
            <w:r>
              <w:rPr>
                <w:rFonts w:ascii="Calibri" w:hAnsi="Calibri"/>
                <w:color w:val="1B241D"/>
                <w:sz w:val="16"/>
              </w:rPr>
              <w:t>Pagamento por safra</w:t>
            </w:r>
          </w:p>
        </w:tc>
        <w:tc>
          <w:tcPr>
            <w:tcW w:type="dxa" w:w="3400"/>
            <w:shd w:fill="F8FAF8"/>
            <w:vAlign w:val="center"/>
            <w:tcMar>
              <w:top w:w="80" w:type="dxa"/>
              <w:bottom w:w="80" w:type="dxa"/>
              <w:start w:w="120" w:type="dxa"/>
              <w:end w:w="120" w:type="dxa"/>
            </w:tcMar>
          </w:tcPr>
          <w:p>
            <w:pPr>
              <w:spacing w:after="20" w:line="252" w:lineRule="auto"/>
            </w:pPr>
            <w:r>
              <w:rPr>
                <w:rFonts w:ascii="Calibri" w:hAnsi="Calibri"/>
                <w:color w:val="1B241D"/>
                <w:sz w:val="16"/>
              </w:rPr>
              <w:t>Alinha cobrança ao ciclo de receita.</w:t>
            </w:r>
          </w:p>
        </w:tc>
        <w:tc>
          <w:tcPr>
            <w:tcW w:type="dxa" w:w="4110"/>
            <w:shd w:fill="F8FAF8"/>
            <w:vAlign w:val="center"/>
            <w:tcMar>
              <w:top w:w="80" w:type="dxa"/>
              <w:bottom w:w="80" w:type="dxa"/>
              <w:start w:w="120" w:type="dxa"/>
              <w:end w:w="120" w:type="dxa"/>
            </w:tcMar>
          </w:tcPr>
          <w:p>
            <w:pPr>
              <w:spacing w:after="20" w:line="252" w:lineRule="auto"/>
            </w:pPr>
            <w:r>
              <w:rPr>
                <w:rFonts w:ascii="Calibri" w:hAnsi="Calibri"/>
                <w:color w:val="1B241D"/>
                <w:sz w:val="16"/>
              </w:rPr>
              <w:t>Como tratar safras sobrepostas, pecuária e produtores multicultura?</w:t>
            </w:r>
          </w:p>
        </w:tc>
      </w:tr>
      <w:tr>
        <w:trPr>
          <w:cantSplit/>
        </w:trPr>
        <w:tc>
          <w:tcPr>
            <w:tcW w:type="dxa" w:w="1850"/>
            <w:vAlign w:val="center"/>
            <w:tcMar>
              <w:top w:w="80" w:type="dxa"/>
              <w:bottom w:w="80" w:type="dxa"/>
              <w:start w:w="120" w:type="dxa"/>
              <w:end w:w="120" w:type="dxa"/>
            </w:tcMar>
          </w:tcPr>
          <w:p>
            <w:pPr>
              <w:spacing w:after="20" w:line="252" w:lineRule="auto"/>
            </w:pPr>
            <w:r>
              <w:rPr>
                <w:rFonts w:ascii="Calibri" w:hAnsi="Calibri"/>
                <w:color w:val="1B241D"/>
                <w:sz w:val="16"/>
              </w:rPr>
              <w:t>Patrocínio institucional</w:t>
            </w:r>
          </w:p>
        </w:tc>
        <w:tc>
          <w:tcPr>
            <w:tcW w:type="dxa" w:w="3400"/>
            <w:vAlign w:val="center"/>
            <w:tcMar>
              <w:top w:w="80" w:type="dxa"/>
              <w:bottom w:w="80" w:type="dxa"/>
              <w:start w:w="120" w:type="dxa"/>
              <w:end w:w="120" w:type="dxa"/>
            </w:tcMar>
          </w:tcPr>
          <w:p>
            <w:pPr>
              <w:spacing w:after="20" w:line="252" w:lineRule="auto"/>
            </w:pPr>
            <w:r>
              <w:rPr>
                <w:rFonts w:ascii="Calibri" w:hAnsi="Calibri"/>
                <w:color w:val="1B241D"/>
                <w:sz w:val="16"/>
              </w:rPr>
              <w:t>Pode ampliar acesso sem cobrar diretamente.</w:t>
            </w:r>
          </w:p>
        </w:tc>
        <w:tc>
          <w:tcPr>
            <w:tcW w:type="dxa" w:w="4110"/>
            <w:vAlign w:val="center"/>
            <w:tcMar>
              <w:top w:w="80" w:type="dxa"/>
              <w:bottom w:w="80" w:type="dxa"/>
              <w:start w:w="120" w:type="dxa"/>
              <w:end w:w="120" w:type="dxa"/>
            </w:tcMar>
          </w:tcPr>
          <w:p>
            <w:pPr>
              <w:spacing w:after="20" w:line="252" w:lineRule="auto"/>
            </w:pPr>
            <w:r>
              <w:rPr>
                <w:rFonts w:ascii="Calibri" w:hAnsi="Calibri"/>
                <w:color w:val="1B241D"/>
                <w:sz w:val="16"/>
              </w:rPr>
              <w:t>Independência, privacidade e conflito de interesse.</w:t>
            </w:r>
          </w:p>
        </w:tc>
      </w:tr>
    </w:tbl>
    <w:p>
      <w:pPr>
        <w:widowControl/>
        <w:spacing w:after="40"/>
      </w:pPr>
    </w:p>
    <w:p>
      <w:pPr>
        <w:pStyle w:val="Heading1"/>
        <w:keepNext/>
        <w:widowControl/>
      </w:pPr>
      <w:r>
        <w:t>14. Estratégia de distribuição</w:t>
      </w:r>
    </w:p>
    <w:p>
      <w:pPr>
        <w:widowControl/>
      </w:pPr>
      <w:r>
        <w:t>A confiança local pode ser mais importante do que publicidade digital. A pesquisa deve avaliar canais onde o produtor já busca orientação.</w:t>
      </w:r>
    </w:p>
    <w:p>
      <w:pPr>
        <w:spacing w:after="160" w:line="280" w:lineRule="auto"/>
        <w:widowControl/>
        <w:numPr>
          <w:ilvl w:val="0"/>
          <w:numId w:val="10"/>
        </w:numPr>
      </w:pPr>
      <w:r>
        <w:t>Cooperativas, associações e sindicatos rurais.</w:t>
      </w:r>
    </w:p>
    <w:p>
      <w:pPr>
        <w:spacing w:after="160" w:line="280" w:lineRule="auto"/>
        <w:widowControl/>
        <w:numPr>
          <w:ilvl w:val="0"/>
          <w:numId w:val="10"/>
        </w:numPr>
      </w:pPr>
      <w:r>
        <w:t>ATER pública e privada, técnicos agrícolas e agrônomos.</w:t>
      </w:r>
    </w:p>
    <w:p>
      <w:pPr>
        <w:spacing w:after="160" w:line="280" w:lineRule="auto"/>
        <w:widowControl/>
        <w:numPr>
          <w:ilvl w:val="0"/>
          <w:numId w:val="10"/>
        </w:numPr>
      </w:pPr>
      <w:r>
        <w:t>Agências e cooperativas de crédito, desde que não comprometam a independência dos dados.</w:t>
      </w:r>
    </w:p>
    <w:p>
      <w:pPr>
        <w:spacing w:after="160" w:line="280" w:lineRule="auto"/>
        <w:widowControl/>
        <w:numPr>
          <w:ilvl w:val="0"/>
          <w:numId w:val="10"/>
        </w:numPr>
      </w:pPr>
      <w:r>
        <w:t>Sebrae, Senar, universidades, institutos federais e programas de extensão.</w:t>
      </w:r>
    </w:p>
    <w:p>
      <w:pPr>
        <w:spacing w:after="160" w:line="280" w:lineRule="auto"/>
        <w:widowControl/>
        <w:numPr>
          <w:ilvl w:val="0"/>
          <w:numId w:val="10"/>
        </w:numPr>
      </w:pPr>
      <w:r>
        <w:t>Lojas de insumos e eventos regionais, com cuidados sobre conflito comercial.</w:t>
      </w:r>
    </w:p>
    <w:p>
      <w:pPr>
        <w:spacing w:after="160" w:line="280" w:lineRule="auto"/>
        <w:widowControl/>
        <w:numPr>
          <w:ilvl w:val="0"/>
          <w:numId w:val="10"/>
        </w:numPr>
      </w:pPr>
      <w:r>
        <w:t>Indicação entre produtores e familiares que já ajudam na gestão digital.</w:t>
      </w:r>
    </w:p>
    <w:p>
      <w:pPr>
        <w:pStyle w:val="Heading1"/>
        <w:keepNext/>
        <w:widowControl/>
      </w:pPr>
      <w:r>
        <w:t>15. O que não priorizar agora</w:t>
      </w:r>
    </w:p>
    <w:p>
      <w:pPr>
        <w:widowControl/>
      </w:pPr>
      <w:r>
        <w:t>Os itens abaixo podem ser valiosos no futuro, mas ampliam o produto antes da validação do hábito principal.</w:t>
      </w:r>
    </w:p>
    <w:p>
      <w:pPr>
        <w:spacing w:after="160" w:line="280" w:lineRule="auto"/>
        <w:widowControl/>
        <w:numPr>
          <w:ilvl w:val="0"/>
          <w:numId w:val="10"/>
        </w:numPr>
      </w:pPr>
      <w:r>
        <w:t>Integração com máquinas, telemetria e agricultura de precisão avançada.</w:t>
      </w:r>
    </w:p>
    <w:p>
      <w:pPr>
        <w:spacing w:after="160" w:line="280" w:lineRule="auto"/>
        <w:widowControl/>
        <w:numPr>
          <w:ilvl w:val="0"/>
          <w:numId w:val="10"/>
        </w:numPr>
      </w:pPr>
      <w:r>
        <w:t>Marketplace de insumos ou venda de produção.</w:t>
      </w:r>
    </w:p>
    <w:p>
      <w:pPr>
        <w:spacing w:after="160" w:line="280" w:lineRule="auto"/>
        <w:widowControl/>
        <w:numPr>
          <w:ilvl w:val="0"/>
          <w:numId w:val="10"/>
        </w:numPr>
      </w:pPr>
      <w:r>
        <w:t>Emissão fiscal completa.</w:t>
      </w:r>
    </w:p>
    <w:p>
      <w:pPr>
        <w:spacing w:after="160" w:line="280" w:lineRule="auto"/>
        <w:widowControl/>
        <w:numPr>
          <w:ilvl w:val="0"/>
          <w:numId w:val="10"/>
        </w:numPr>
      </w:pPr>
      <w:r>
        <w:t>Diagnóstico de pragas por inteligência artificial.</w:t>
      </w:r>
    </w:p>
    <w:p>
      <w:pPr>
        <w:spacing w:after="160" w:line="280" w:lineRule="auto"/>
        <w:widowControl/>
        <w:numPr>
          <w:ilvl w:val="0"/>
          <w:numId w:val="10"/>
        </w:numPr>
      </w:pPr>
      <w:r>
        <w:t>Imagens de satélite e mapas avançados.</w:t>
      </w:r>
    </w:p>
    <w:p>
      <w:pPr>
        <w:spacing w:after="160" w:line="280" w:lineRule="auto"/>
        <w:widowControl/>
        <w:numPr>
          <w:ilvl w:val="0"/>
          <w:numId w:val="10"/>
        </w:numPr>
      </w:pPr>
      <w:r>
        <w:t>Rede social de produtores.</w:t>
      </w:r>
    </w:p>
    <w:p>
      <w:pPr>
        <w:spacing w:after="160" w:line="280" w:lineRule="auto"/>
        <w:widowControl/>
        <w:numPr>
          <w:ilvl w:val="0"/>
          <w:numId w:val="10"/>
        </w:numPr>
      </w:pPr>
      <w:r>
        <w:t>Chatbot genérico que tenta responder qualquer pergunta.</w:t>
      </w:r>
    </w:p>
    <w:p>
      <w:pPr>
        <w:spacing w:after="160" w:line="280" w:lineRule="auto"/>
        <w:widowControl/>
        <w:numPr>
          <w:ilvl w:val="0"/>
          <w:numId w:val="10"/>
        </w:numPr>
      </w:pPr>
      <w:r>
        <w:t>Expansão simultânea para todas as culturas e atividades pecuárias.</w:t>
      </w:r>
    </w:p>
    <w:p>
      <w:pPr>
        <w:pStyle w:val="Heading1"/>
        <w:keepNext/>
        <w:widowControl/>
      </w:pPr>
      <w:r>
        <w:t>16. Prioridades técnicas antes da expansão</w:t>
      </w:r>
    </w:p>
    <w:p>
      <w:pPr>
        <w:spacing w:after="160" w:line="280" w:lineRule="auto"/>
        <w:widowControl/>
        <w:numPr>
          <w:ilvl w:val="0"/>
          <w:numId w:val="13"/>
        </w:numPr>
      </w:pPr>
      <w:r>
        <w:t>Implementar recuperação e alteração de senha.</w:t>
      </w:r>
    </w:p>
    <w:p>
      <w:pPr>
        <w:spacing w:after="160" w:line="280" w:lineRule="auto"/>
        <w:widowControl/>
        <w:numPr>
          <w:ilvl w:val="0"/>
          <w:numId w:val="13"/>
        </w:numPr>
      </w:pPr>
      <w:r>
        <w:t>Remover a possibilidade de migração destrutiva da versão inicial do Room.</w:t>
      </w:r>
    </w:p>
    <w:p>
      <w:pPr>
        <w:spacing w:after="160" w:line="280" w:lineRule="auto"/>
        <w:widowControl/>
        <w:numPr>
          <w:ilvl w:val="0"/>
          <w:numId w:val="13"/>
        </w:numPr>
      </w:pPr>
      <w:r>
        <w:t>Migrar valores monetários de Double para centavos inteiros ou decimal exato.</w:t>
      </w:r>
    </w:p>
    <w:p>
      <w:pPr>
        <w:spacing w:after="160" w:line="280" w:lineRule="auto"/>
        <w:widowControl/>
        <w:numPr>
          <w:ilvl w:val="0"/>
          <w:numId w:val="13"/>
        </w:numPr>
      </w:pPr>
      <w:r>
        <w:t>Criar integração contínua para build, testes, lint e verificação de segredos.</w:t>
      </w:r>
    </w:p>
    <w:p>
      <w:pPr>
        <w:spacing w:after="160" w:line="280" w:lineRule="auto"/>
        <w:widowControl/>
        <w:numPr>
          <w:ilvl w:val="0"/>
          <w:numId w:val="13"/>
        </w:numPr>
      </w:pPr>
      <w:r>
        <w:t>Dividir repositório, sincronização, relatório e telas monolíticas em componentes testáveis.</w:t>
      </w:r>
    </w:p>
    <w:p>
      <w:pPr>
        <w:spacing w:after="160" w:line="280" w:lineRule="auto"/>
        <w:widowControl/>
        <w:numPr>
          <w:ilvl w:val="0"/>
          <w:numId w:val="13"/>
        </w:numPr>
      </w:pPr>
      <w:r>
        <w:t>Evoluir conflitos de sincronização, sobretudo para registros financeiros.</w:t>
      </w:r>
    </w:p>
    <w:p>
      <w:pPr>
        <w:spacing w:after="160" w:line="280" w:lineRule="auto"/>
        <w:widowControl/>
        <w:numPr>
          <w:ilvl w:val="0"/>
          <w:numId w:val="13"/>
        </w:numPr>
      </w:pPr>
      <w:r>
        <w:t>Definir criptografia local, retenção, backup, portabilidade e resposta a incidentes.</w:t>
      </w:r>
    </w:p>
    <w:p>
      <w:pPr>
        <w:spacing w:after="160" w:line="280" w:lineRule="auto"/>
        <w:widowControl/>
        <w:numPr>
          <w:ilvl w:val="0"/>
          <w:numId w:val="13"/>
        </w:numPr>
      </w:pPr>
      <w:r>
        <w:t>Implementar o Modo Simples como configuração global e testável.</w:t>
      </w:r>
    </w:p>
    <w:p>
      <w:pPr>
        <w:pStyle w:val="Heading1"/>
        <w:keepNext/>
        <w:widowControl/>
      </w:pPr>
      <w:r>
        <w:t>17. Roadmap orientado a evidência</w:t>
      </w:r>
    </w:p>
    <w:tbl>
      <w:tblPr>
        <w:tblStyle w:val="TableGrid"/>
        <w:tblW w:type="dxa" w:w="9360"/>
        <w:jc w:val="center"/>
        <w:tblLayout w:type="fixed"/>
        <w:tblLook w:firstColumn="1" w:firstRow="1" w:lastColumn="0" w:lastRow="0" w:noHBand="0" w:noVBand="1" w:val="04A0"/>
        <w:tblInd w:w="120" w:type="dxa"/>
      </w:tblPr>
      <w:tblGrid>
        <w:gridCol w:w="1400"/>
        <w:gridCol w:w="4400"/>
        <w:gridCol w:w="3560"/>
      </w:tblGrid>
      <w:tr>
        <w:trPr>
          <w:tblHeader w:val="true"/>
          <w:cantSplit/>
        </w:trPr>
        <w:tc>
          <w:tcPr>
            <w:tcW w:type="dxa" w:w="1400"/>
            <w:shd w:fill="F2F4F3"/>
            <w:vAlign w:val="center"/>
            <w:tcMar>
              <w:top w:w="80" w:type="dxa"/>
              <w:bottom w:w="80" w:type="dxa"/>
              <w:start w:w="120" w:type="dxa"/>
              <w:end w:w="120" w:type="dxa"/>
            </w:tcMar>
          </w:tcPr>
          <w:p>
            <w:pPr>
              <w:spacing w:after="40"/>
            </w:pPr>
            <w:r>
              <w:rPr>
                <w:rFonts w:ascii="Calibri" w:hAnsi="Calibri"/>
                <w:b/>
                <w:color w:val="123D1A"/>
                <w:sz w:val="16"/>
              </w:rPr>
              <w:t>Fase</w:t>
            </w:r>
          </w:p>
        </w:tc>
        <w:tc>
          <w:tcPr>
            <w:tcW w:type="dxa" w:w="4400"/>
            <w:shd w:fill="F2F4F3"/>
            <w:vAlign w:val="center"/>
            <w:tcMar>
              <w:top w:w="80" w:type="dxa"/>
              <w:bottom w:w="80" w:type="dxa"/>
              <w:start w:w="120" w:type="dxa"/>
              <w:end w:w="120" w:type="dxa"/>
            </w:tcMar>
          </w:tcPr>
          <w:p>
            <w:pPr>
              <w:spacing w:after="40"/>
            </w:pPr>
            <w:r>
              <w:rPr>
                <w:rFonts w:ascii="Calibri" w:hAnsi="Calibri"/>
                <w:b/>
                <w:color w:val="123D1A"/>
                <w:sz w:val="16"/>
              </w:rPr>
              <w:t>Entrega</w:t>
            </w:r>
          </w:p>
        </w:tc>
        <w:tc>
          <w:tcPr>
            <w:tcW w:type="dxa" w:w="3560"/>
            <w:shd w:fill="F2F4F3"/>
            <w:vAlign w:val="center"/>
            <w:tcMar>
              <w:top w:w="80" w:type="dxa"/>
              <w:bottom w:w="80" w:type="dxa"/>
              <w:start w:w="120" w:type="dxa"/>
              <w:end w:w="120" w:type="dxa"/>
            </w:tcMar>
          </w:tcPr>
          <w:p>
            <w:pPr>
              <w:spacing w:after="40"/>
            </w:pPr>
            <w:r>
              <w:rPr>
                <w:rFonts w:ascii="Calibri" w:hAnsi="Calibri"/>
                <w:b/>
                <w:color w:val="123D1A"/>
                <w:sz w:val="16"/>
              </w:rPr>
              <w:t>Evidência exigida para avançar</w:t>
            </w:r>
          </w:p>
        </w:tc>
      </w:tr>
      <w:tr>
        <w:trPr>
          <w:cantSplit/>
        </w:trPr>
        <w:tc>
          <w:tcPr>
            <w:tcW w:type="dxa" w:w="1400"/>
            <w:vAlign w:val="center"/>
            <w:tcMar>
              <w:top w:w="80" w:type="dxa"/>
              <w:bottom w:w="80" w:type="dxa"/>
              <w:start w:w="120" w:type="dxa"/>
              <w:end w:w="120" w:type="dxa"/>
            </w:tcMar>
          </w:tcPr>
          <w:p>
            <w:pPr>
              <w:spacing w:after="20" w:line="252" w:lineRule="auto"/>
            </w:pPr>
            <w:r>
              <w:rPr>
                <w:rFonts w:ascii="Calibri" w:hAnsi="Calibri"/>
                <w:color w:val="1B241D"/>
                <w:sz w:val="16"/>
              </w:rPr>
              <w:t>1. Confiabilidade</w:t>
            </w:r>
          </w:p>
        </w:tc>
        <w:tc>
          <w:tcPr>
            <w:tcW w:type="dxa" w:w="4400"/>
            <w:vAlign w:val="center"/>
            <w:tcMar>
              <w:top w:w="80" w:type="dxa"/>
              <w:bottom w:w="80" w:type="dxa"/>
              <w:start w:w="120" w:type="dxa"/>
              <w:end w:w="120" w:type="dxa"/>
            </w:tcMar>
          </w:tcPr>
          <w:p>
            <w:pPr>
              <w:spacing w:after="20" w:line="252" w:lineRule="auto"/>
            </w:pPr>
            <w:r>
              <w:rPr>
                <w:rFonts w:ascii="Calibri" w:hAnsi="Calibri"/>
                <w:color w:val="1B241D"/>
                <w:sz w:val="16"/>
              </w:rPr>
              <w:t>Conta completa, migração segura, dinheiro exato, CI, sync previsível e Modo Simples inicial.</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6"/>
              </w:rPr>
              <w:t>Testes automatizados, zero perda de dados e uso em aparelhos de entrada.</w:t>
            </w:r>
          </w:p>
        </w:tc>
      </w:tr>
      <w:tr>
        <w:trPr>
          <w:cantSplit/>
        </w:trPr>
        <w:tc>
          <w:tcPr>
            <w:tcW w:type="dxa" w:w="1400"/>
            <w:shd w:fill="F8FAF8"/>
            <w:vAlign w:val="center"/>
            <w:tcMar>
              <w:top w:w="80" w:type="dxa"/>
              <w:bottom w:w="80" w:type="dxa"/>
              <w:start w:w="120" w:type="dxa"/>
              <w:end w:w="120" w:type="dxa"/>
            </w:tcMar>
          </w:tcPr>
          <w:p>
            <w:pPr>
              <w:spacing w:after="20" w:line="252" w:lineRule="auto"/>
            </w:pPr>
            <w:r>
              <w:rPr>
                <w:rFonts w:ascii="Calibri" w:hAnsi="Calibri"/>
                <w:color w:val="1B241D"/>
                <w:sz w:val="16"/>
              </w:rPr>
              <w:t>2. Hábito</w:t>
            </w:r>
          </w:p>
        </w:tc>
        <w:tc>
          <w:tcPr>
            <w:tcW w:type="dxa" w:w="4400"/>
            <w:shd w:fill="F8FAF8"/>
            <w:vAlign w:val="center"/>
            <w:tcMar>
              <w:top w:w="80" w:type="dxa"/>
              <w:bottom w:w="80" w:type="dxa"/>
              <w:start w:w="120" w:type="dxa"/>
              <w:end w:w="120" w:type="dxa"/>
            </w:tcMar>
          </w:tcPr>
          <w:p>
            <w:pPr>
              <w:spacing w:after="20" w:line="252" w:lineRule="auto"/>
            </w:pPr>
            <w:r>
              <w:rPr>
                <w:rFonts w:ascii="Calibri" w:hAnsi="Calibri"/>
                <w:color w:val="1B241D"/>
                <w:sz w:val="16"/>
              </w:rPr>
              <w:t>Tela Hoje e registro unificado rápido.</w:t>
            </w:r>
          </w:p>
        </w:tc>
        <w:tc>
          <w:tcPr>
            <w:tcW w:type="dxa" w:w="3560"/>
            <w:shd w:fill="F8FAF8"/>
            <w:vAlign w:val="center"/>
            <w:tcMar>
              <w:top w:w="80" w:type="dxa"/>
              <w:bottom w:w="80" w:type="dxa"/>
              <w:start w:w="120" w:type="dxa"/>
              <w:end w:w="120" w:type="dxa"/>
            </w:tcMar>
          </w:tcPr>
          <w:p>
            <w:pPr>
              <w:spacing w:after="20" w:line="252" w:lineRule="auto"/>
            </w:pPr>
            <w:r>
              <w:rPr>
                <w:rFonts w:ascii="Calibri" w:hAnsi="Calibri"/>
                <w:color w:val="1B241D"/>
                <w:sz w:val="16"/>
              </w:rPr>
              <w:t>Produtores registram semanalmente e concluem ações sem assistência.</w:t>
            </w:r>
          </w:p>
        </w:tc>
      </w:tr>
      <w:tr>
        <w:trPr>
          <w:cantSplit/>
        </w:trPr>
        <w:tc>
          <w:tcPr>
            <w:tcW w:type="dxa" w:w="1400"/>
            <w:vAlign w:val="center"/>
            <w:tcMar>
              <w:top w:w="80" w:type="dxa"/>
              <w:bottom w:w="80" w:type="dxa"/>
              <w:start w:w="120" w:type="dxa"/>
              <w:end w:w="120" w:type="dxa"/>
            </w:tcMar>
          </w:tcPr>
          <w:p>
            <w:pPr>
              <w:spacing w:after="20" w:line="252" w:lineRule="auto"/>
            </w:pPr>
            <w:r>
              <w:rPr>
                <w:rFonts w:ascii="Calibri" w:hAnsi="Calibri"/>
                <w:color w:val="1B241D"/>
                <w:sz w:val="16"/>
              </w:rPr>
              <w:t>3. Valor</w:t>
            </w:r>
          </w:p>
        </w:tc>
        <w:tc>
          <w:tcPr>
            <w:tcW w:type="dxa" w:w="4400"/>
            <w:vAlign w:val="center"/>
            <w:tcMar>
              <w:top w:w="80" w:type="dxa"/>
              <w:bottom w:w="80" w:type="dxa"/>
              <w:start w:w="120" w:type="dxa"/>
              <w:end w:w="120" w:type="dxa"/>
            </w:tcMar>
          </w:tcPr>
          <w:p>
            <w:pPr>
              <w:spacing w:after="20" w:line="252" w:lineRule="auto"/>
            </w:pPr>
            <w:r>
              <w:rPr>
                <w:rFonts w:ascii="Calibri" w:hAnsi="Calibri"/>
                <w:color w:val="1B241D"/>
                <w:sz w:val="16"/>
              </w:rPr>
              <w:t>Planejado versus realizado, alertas e Passaporte Rural.</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6"/>
              </w:rPr>
              <w:t>Produtores compreendem resultado; técnicos e agentes consideram o relatório útil.</w:t>
            </w:r>
          </w:p>
        </w:tc>
      </w:tr>
      <w:tr>
        <w:trPr>
          <w:cantSplit/>
        </w:trPr>
        <w:tc>
          <w:tcPr>
            <w:tcW w:type="dxa" w:w="1400"/>
            <w:shd w:fill="F8FAF8"/>
            <w:vAlign w:val="center"/>
            <w:tcMar>
              <w:top w:w="80" w:type="dxa"/>
              <w:bottom w:w="80" w:type="dxa"/>
              <w:start w:w="120" w:type="dxa"/>
              <w:end w:w="120" w:type="dxa"/>
            </w:tcMar>
          </w:tcPr>
          <w:p>
            <w:pPr>
              <w:spacing w:after="20" w:line="252" w:lineRule="auto"/>
            </w:pPr>
            <w:r>
              <w:rPr>
                <w:rFonts w:ascii="Calibri" w:hAnsi="Calibri"/>
                <w:color w:val="1B241D"/>
                <w:sz w:val="16"/>
              </w:rPr>
              <w:t>4. Piloto</w:t>
            </w:r>
          </w:p>
        </w:tc>
        <w:tc>
          <w:tcPr>
            <w:tcW w:type="dxa" w:w="4400"/>
            <w:shd w:fill="F8FAF8"/>
            <w:vAlign w:val="center"/>
            <w:tcMar>
              <w:top w:w="80" w:type="dxa"/>
              <w:bottom w:w="80" w:type="dxa"/>
              <w:start w:w="120" w:type="dxa"/>
              <w:end w:w="120" w:type="dxa"/>
            </w:tcMar>
          </w:tcPr>
          <w:p>
            <w:pPr>
              <w:spacing w:after="20" w:line="252" w:lineRule="auto"/>
            </w:pPr>
            <w:r>
              <w:rPr>
                <w:rFonts w:ascii="Calibri" w:hAnsi="Calibri"/>
                <w:color w:val="1B241D"/>
                <w:sz w:val="16"/>
              </w:rPr>
              <w:t>20–40 propriedades por 8–12 semanas.</w:t>
            </w:r>
          </w:p>
        </w:tc>
        <w:tc>
          <w:tcPr>
            <w:tcW w:type="dxa" w:w="3560"/>
            <w:shd w:fill="F8FAF8"/>
            <w:vAlign w:val="center"/>
            <w:tcMar>
              <w:top w:w="80" w:type="dxa"/>
              <w:bottom w:w="80" w:type="dxa"/>
              <w:start w:w="120" w:type="dxa"/>
              <w:end w:w="120" w:type="dxa"/>
            </w:tcMar>
          </w:tcPr>
          <w:p>
            <w:pPr>
              <w:spacing w:after="20" w:line="252" w:lineRule="auto"/>
            </w:pPr>
            <w:r>
              <w:rPr>
                <w:rFonts w:ascii="Calibri" w:hAnsi="Calibri"/>
                <w:color w:val="1B241D"/>
                <w:sz w:val="16"/>
              </w:rPr>
              <w:t>Retenção, qualidade dos dados, suporte, confiabilidade e disposição a pagar.</w:t>
            </w:r>
          </w:p>
        </w:tc>
      </w:tr>
      <w:tr>
        <w:trPr>
          <w:cantSplit/>
        </w:trPr>
        <w:tc>
          <w:tcPr>
            <w:tcW w:type="dxa" w:w="1400"/>
            <w:vAlign w:val="center"/>
            <w:tcMar>
              <w:top w:w="80" w:type="dxa"/>
              <w:bottom w:w="80" w:type="dxa"/>
              <w:start w:w="120" w:type="dxa"/>
              <w:end w:w="120" w:type="dxa"/>
            </w:tcMar>
          </w:tcPr>
          <w:p>
            <w:pPr>
              <w:spacing w:after="20" w:line="252" w:lineRule="auto"/>
            </w:pPr>
            <w:r>
              <w:rPr>
                <w:rFonts w:ascii="Calibri" w:hAnsi="Calibri"/>
                <w:color w:val="1B241D"/>
                <w:sz w:val="16"/>
              </w:rPr>
              <w:t>5. Ecossistema</w:t>
            </w:r>
          </w:p>
        </w:tc>
        <w:tc>
          <w:tcPr>
            <w:tcW w:type="dxa" w:w="4400"/>
            <w:vAlign w:val="center"/>
            <w:tcMar>
              <w:top w:w="80" w:type="dxa"/>
              <w:bottom w:w="80" w:type="dxa"/>
              <w:start w:w="120" w:type="dxa"/>
              <w:end w:w="120" w:type="dxa"/>
            </w:tcMar>
          </w:tcPr>
          <w:p>
            <w:pPr>
              <w:spacing w:after="20" w:line="252" w:lineRule="auto"/>
            </w:pPr>
            <w:r>
              <w:rPr>
                <w:rFonts w:ascii="Calibri" w:hAnsi="Calibri"/>
                <w:color w:val="1B241D"/>
                <w:sz w:val="16"/>
              </w:rPr>
              <w:t>Cooperativas, permissões, auditoria e integrações selecionadas.</w:t>
            </w:r>
          </w:p>
        </w:tc>
        <w:tc>
          <w:tcPr>
            <w:tcW w:type="dxa" w:w="3560"/>
            <w:vAlign w:val="center"/>
            <w:tcMar>
              <w:top w:w="80" w:type="dxa"/>
              <w:bottom w:w="80" w:type="dxa"/>
              <w:start w:w="120" w:type="dxa"/>
              <w:end w:w="120" w:type="dxa"/>
            </w:tcMar>
          </w:tcPr>
          <w:p>
            <w:pPr>
              <w:spacing w:after="20" w:line="252" w:lineRule="auto"/>
            </w:pPr>
            <w:r>
              <w:rPr>
                <w:rFonts w:ascii="Calibri" w:hAnsi="Calibri"/>
                <w:color w:val="1B241D"/>
                <w:sz w:val="16"/>
              </w:rPr>
              <w:t>Canal comercial repetível e governança validada.</w:t>
            </w:r>
          </w:p>
        </w:tc>
      </w:tr>
    </w:tbl>
    <w:p>
      <w:pPr>
        <w:widowControl/>
        <w:spacing w:after="40"/>
      </w:pPr>
    </w:p>
    <w:p>
      <w:pPr>
        <w:pStyle w:val="Heading1"/>
        <w:keepNext/>
        <w:widowControl/>
      </w:pPr>
      <w:r>
        <w:t>18. Métricas de produto</w:t>
      </w:r>
    </w:p>
    <w:tbl>
      <w:tblPr>
        <w:tblStyle w:val="TableGrid"/>
        <w:tblW w:type="dxa" w:w="9360"/>
        <w:jc w:val="center"/>
        <w:tblLayout w:type="fixed"/>
        <w:tblLook w:firstColumn="1" w:firstRow="1" w:lastColumn="0" w:lastRow="0" w:noHBand="0" w:noVBand="1" w:val="04A0"/>
        <w:tblInd w:w="120" w:type="dxa"/>
      </w:tblPr>
      <w:tblGrid>
        <w:gridCol w:w="1450"/>
        <w:gridCol w:w="4700"/>
        <w:gridCol w:w="3210"/>
      </w:tblGrid>
      <w:tr>
        <w:trPr>
          <w:tblHeader w:val="true"/>
          <w:cantSplit/>
        </w:trPr>
        <w:tc>
          <w:tcPr>
            <w:tcW w:type="dxa" w:w="1450"/>
            <w:shd w:fill="F2F4F3"/>
            <w:vAlign w:val="center"/>
            <w:tcMar>
              <w:top w:w="80" w:type="dxa"/>
              <w:bottom w:w="80" w:type="dxa"/>
              <w:start w:w="120" w:type="dxa"/>
              <w:end w:w="120" w:type="dxa"/>
            </w:tcMar>
          </w:tcPr>
          <w:p>
            <w:pPr>
              <w:spacing w:after="40"/>
            </w:pPr>
            <w:r>
              <w:rPr>
                <w:rFonts w:ascii="Calibri" w:hAnsi="Calibri"/>
                <w:b/>
                <w:color w:val="123D1A"/>
                <w:sz w:val="16"/>
              </w:rPr>
              <w:t>Dimensão</w:t>
            </w:r>
          </w:p>
        </w:tc>
        <w:tc>
          <w:tcPr>
            <w:tcW w:type="dxa" w:w="4700"/>
            <w:shd w:fill="F2F4F3"/>
            <w:vAlign w:val="center"/>
            <w:tcMar>
              <w:top w:w="80" w:type="dxa"/>
              <w:bottom w:w="80" w:type="dxa"/>
              <w:start w:w="120" w:type="dxa"/>
              <w:end w:w="120" w:type="dxa"/>
            </w:tcMar>
          </w:tcPr>
          <w:p>
            <w:pPr>
              <w:spacing w:after="40"/>
            </w:pPr>
            <w:r>
              <w:rPr>
                <w:rFonts w:ascii="Calibri" w:hAnsi="Calibri"/>
                <w:b/>
                <w:color w:val="123D1A"/>
                <w:sz w:val="16"/>
              </w:rPr>
              <w:t>Métrica sugerida</w:t>
            </w:r>
          </w:p>
        </w:tc>
        <w:tc>
          <w:tcPr>
            <w:tcW w:type="dxa" w:w="3210"/>
            <w:shd w:fill="F2F4F3"/>
            <w:vAlign w:val="center"/>
            <w:tcMar>
              <w:top w:w="80" w:type="dxa"/>
              <w:bottom w:w="80" w:type="dxa"/>
              <w:start w:w="120" w:type="dxa"/>
              <w:end w:w="120" w:type="dxa"/>
            </w:tcMar>
          </w:tcPr>
          <w:p>
            <w:pPr>
              <w:spacing w:after="40"/>
            </w:pPr>
            <w:r>
              <w:rPr>
                <w:rFonts w:ascii="Calibri" w:hAnsi="Calibri"/>
                <w:b/>
                <w:color w:val="123D1A"/>
                <w:sz w:val="16"/>
              </w:rPr>
              <w:t>Meta inicial a testar</w:t>
            </w:r>
          </w:p>
        </w:tc>
      </w:tr>
      <w:tr>
        <w:trPr>
          <w:cantSplit/>
        </w:trPr>
        <w:tc>
          <w:tcPr>
            <w:tcW w:type="dxa" w:w="1450"/>
            <w:vAlign w:val="center"/>
            <w:tcMar>
              <w:top w:w="80" w:type="dxa"/>
              <w:bottom w:w="80" w:type="dxa"/>
              <w:start w:w="120" w:type="dxa"/>
              <w:end w:w="120" w:type="dxa"/>
            </w:tcMar>
          </w:tcPr>
          <w:p>
            <w:pPr>
              <w:spacing w:after="20" w:line="252" w:lineRule="auto"/>
            </w:pPr>
            <w:r>
              <w:rPr>
                <w:rFonts w:ascii="Calibri" w:hAnsi="Calibri"/>
                <w:color w:val="1B241D"/>
                <w:sz w:val="16"/>
              </w:rPr>
              <w:t>Ativação</w:t>
            </w:r>
          </w:p>
        </w:tc>
        <w:tc>
          <w:tcPr>
            <w:tcW w:type="dxa" w:w="4700"/>
            <w:vAlign w:val="center"/>
            <w:tcMar>
              <w:top w:w="80" w:type="dxa"/>
              <w:bottom w:w="80" w:type="dxa"/>
              <w:start w:w="120" w:type="dxa"/>
              <w:end w:w="120" w:type="dxa"/>
            </w:tcMar>
          </w:tcPr>
          <w:p>
            <w:pPr>
              <w:spacing w:after="20" w:line="252" w:lineRule="auto"/>
            </w:pPr>
            <w:r>
              <w:rPr>
                <w:rFonts w:ascii="Calibri" w:hAnsi="Calibri"/>
                <w:color w:val="1B241D"/>
                <w:sz w:val="16"/>
              </w:rPr>
              <w:t>Tempo até o primeiro registro útil.</w:t>
            </w:r>
          </w:p>
        </w:tc>
        <w:tc>
          <w:tcPr>
            <w:tcW w:type="dxa" w:w="3210"/>
            <w:vAlign w:val="center"/>
            <w:tcMar>
              <w:top w:w="80" w:type="dxa"/>
              <w:bottom w:w="80" w:type="dxa"/>
              <w:start w:w="120" w:type="dxa"/>
              <w:end w:w="120" w:type="dxa"/>
            </w:tcMar>
          </w:tcPr>
          <w:p>
            <w:pPr>
              <w:spacing w:after="20" w:line="252" w:lineRule="auto"/>
            </w:pPr>
            <w:r>
              <w:rPr>
                <w:rFonts w:ascii="Calibri" w:hAnsi="Calibri"/>
                <w:color w:val="1B241D"/>
                <w:sz w:val="16"/>
              </w:rPr>
              <w:t>Menos de 5 minutos.</w:t>
            </w:r>
          </w:p>
        </w:tc>
      </w:tr>
      <w:tr>
        <w:trPr>
          <w:cantSplit/>
        </w:trPr>
        <w:tc>
          <w:tcPr>
            <w:tcW w:type="dxa" w:w="1450"/>
            <w:shd w:fill="F8FAF8"/>
            <w:vAlign w:val="center"/>
            <w:tcMar>
              <w:top w:w="80" w:type="dxa"/>
              <w:bottom w:w="80" w:type="dxa"/>
              <w:start w:w="120" w:type="dxa"/>
              <w:end w:w="120" w:type="dxa"/>
            </w:tcMar>
          </w:tcPr>
          <w:p>
            <w:pPr>
              <w:spacing w:after="20" w:line="252" w:lineRule="auto"/>
            </w:pPr>
            <w:r>
              <w:rPr>
                <w:rFonts w:ascii="Calibri" w:hAnsi="Calibri"/>
                <w:color w:val="1B241D"/>
                <w:sz w:val="16"/>
              </w:rPr>
              <w:t>Eficiência</w:t>
            </w:r>
          </w:p>
        </w:tc>
        <w:tc>
          <w:tcPr>
            <w:tcW w:type="dxa" w:w="4700"/>
            <w:shd w:fill="F8FAF8"/>
            <w:vAlign w:val="center"/>
            <w:tcMar>
              <w:top w:w="80" w:type="dxa"/>
              <w:bottom w:w="80" w:type="dxa"/>
              <w:start w:w="120" w:type="dxa"/>
              <w:end w:w="120" w:type="dxa"/>
            </w:tcMar>
          </w:tcPr>
          <w:p>
            <w:pPr>
              <w:spacing w:after="20" w:line="252" w:lineRule="auto"/>
            </w:pPr>
            <w:r>
              <w:rPr>
                <w:rFonts w:ascii="Calibri" w:hAnsi="Calibri"/>
                <w:color w:val="1B241D"/>
                <w:sz w:val="16"/>
              </w:rPr>
              <w:t>Tempo para registrar uma atividade recorrente.</w:t>
            </w:r>
          </w:p>
        </w:tc>
        <w:tc>
          <w:tcPr>
            <w:tcW w:type="dxa" w:w="3210"/>
            <w:shd w:fill="F8FAF8"/>
            <w:vAlign w:val="center"/>
            <w:tcMar>
              <w:top w:w="80" w:type="dxa"/>
              <w:bottom w:w="80" w:type="dxa"/>
              <w:start w:w="120" w:type="dxa"/>
              <w:end w:w="120" w:type="dxa"/>
            </w:tcMar>
          </w:tcPr>
          <w:p>
            <w:pPr>
              <w:spacing w:after="20" w:line="252" w:lineRule="auto"/>
            </w:pPr>
            <w:r>
              <w:rPr>
                <w:rFonts w:ascii="Calibri" w:hAnsi="Calibri"/>
                <w:color w:val="1B241D"/>
                <w:sz w:val="16"/>
              </w:rPr>
              <w:t>Menos de 30 segundos.</w:t>
            </w:r>
          </w:p>
        </w:tc>
      </w:tr>
      <w:tr>
        <w:trPr>
          <w:cantSplit/>
        </w:trPr>
        <w:tc>
          <w:tcPr>
            <w:tcW w:type="dxa" w:w="1450"/>
            <w:vAlign w:val="center"/>
            <w:tcMar>
              <w:top w:w="80" w:type="dxa"/>
              <w:bottom w:w="80" w:type="dxa"/>
              <w:start w:w="120" w:type="dxa"/>
              <w:end w:w="120" w:type="dxa"/>
            </w:tcMar>
          </w:tcPr>
          <w:p>
            <w:pPr>
              <w:spacing w:after="20" w:line="252" w:lineRule="auto"/>
            </w:pPr>
            <w:r>
              <w:rPr>
                <w:rFonts w:ascii="Calibri" w:hAnsi="Calibri"/>
                <w:color w:val="1B241D"/>
                <w:sz w:val="16"/>
              </w:rPr>
              <w:t>Retenção</w:t>
            </w:r>
          </w:p>
        </w:tc>
        <w:tc>
          <w:tcPr>
            <w:tcW w:type="dxa" w:w="4700"/>
            <w:vAlign w:val="center"/>
            <w:tcMar>
              <w:top w:w="80" w:type="dxa"/>
              <w:bottom w:w="80" w:type="dxa"/>
              <w:start w:w="120" w:type="dxa"/>
              <w:end w:w="120" w:type="dxa"/>
            </w:tcMar>
          </w:tcPr>
          <w:p>
            <w:pPr>
              <w:spacing w:after="20" w:line="252" w:lineRule="auto"/>
            </w:pPr>
            <w:r>
              <w:rPr>
                <w:rFonts w:ascii="Calibri" w:hAnsi="Calibri"/>
                <w:color w:val="1B241D"/>
                <w:sz w:val="16"/>
              </w:rPr>
              <w:t>Produtores ativos após 30 e 90 dias.</w:t>
            </w:r>
          </w:p>
        </w:tc>
        <w:tc>
          <w:tcPr>
            <w:tcW w:type="dxa" w:w="3210"/>
            <w:vAlign w:val="center"/>
            <w:tcMar>
              <w:top w:w="80" w:type="dxa"/>
              <w:bottom w:w="80" w:type="dxa"/>
              <w:start w:w="120" w:type="dxa"/>
              <w:end w:w="120" w:type="dxa"/>
            </w:tcMar>
          </w:tcPr>
          <w:p>
            <w:pPr>
              <w:spacing w:after="20" w:line="252" w:lineRule="auto"/>
            </w:pPr>
            <w:r>
              <w:rPr>
                <w:rFonts w:ascii="Calibri" w:hAnsi="Calibri"/>
                <w:color w:val="1B241D"/>
                <w:sz w:val="16"/>
              </w:rPr>
              <w:t>Definir após primeira coorte; comparar por canal e perfil.</w:t>
            </w:r>
          </w:p>
        </w:tc>
      </w:tr>
      <w:tr>
        <w:trPr>
          <w:cantSplit/>
        </w:trPr>
        <w:tc>
          <w:tcPr>
            <w:tcW w:type="dxa" w:w="1450"/>
            <w:shd w:fill="F8FAF8"/>
            <w:vAlign w:val="center"/>
            <w:tcMar>
              <w:top w:w="80" w:type="dxa"/>
              <w:bottom w:w="80" w:type="dxa"/>
              <w:start w:w="120" w:type="dxa"/>
              <w:end w:w="120" w:type="dxa"/>
            </w:tcMar>
          </w:tcPr>
          <w:p>
            <w:pPr>
              <w:spacing w:after="20" w:line="252" w:lineRule="auto"/>
            </w:pPr>
            <w:r>
              <w:rPr>
                <w:rFonts w:ascii="Calibri" w:hAnsi="Calibri"/>
                <w:color w:val="1B241D"/>
                <w:sz w:val="16"/>
              </w:rPr>
              <w:t>Hábito</w:t>
            </w:r>
          </w:p>
        </w:tc>
        <w:tc>
          <w:tcPr>
            <w:tcW w:type="dxa" w:w="4700"/>
            <w:shd w:fill="F8FAF8"/>
            <w:vAlign w:val="center"/>
            <w:tcMar>
              <w:top w:w="80" w:type="dxa"/>
              <w:bottom w:w="80" w:type="dxa"/>
              <w:start w:w="120" w:type="dxa"/>
              <w:end w:w="120" w:type="dxa"/>
            </w:tcMar>
          </w:tcPr>
          <w:p>
            <w:pPr>
              <w:spacing w:after="20" w:line="252" w:lineRule="auto"/>
            </w:pPr>
            <w:r>
              <w:rPr>
                <w:rFonts w:ascii="Calibri" w:hAnsi="Calibri"/>
                <w:color w:val="1B241D"/>
                <w:sz w:val="16"/>
              </w:rPr>
              <w:t>Semanas com pelo menos três registros úteis.</w:t>
            </w:r>
          </w:p>
        </w:tc>
        <w:tc>
          <w:tcPr>
            <w:tcW w:type="dxa" w:w="3210"/>
            <w:shd w:fill="F8FAF8"/>
            <w:vAlign w:val="center"/>
            <w:tcMar>
              <w:top w:w="80" w:type="dxa"/>
              <w:bottom w:w="80" w:type="dxa"/>
              <w:start w:w="120" w:type="dxa"/>
              <w:end w:w="120" w:type="dxa"/>
            </w:tcMar>
          </w:tcPr>
          <w:p>
            <w:pPr>
              <w:spacing w:after="20" w:line="252" w:lineRule="auto"/>
            </w:pPr>
            <w:r>
              <w:rPr>
                <w:rFonts w:ascii="Calibri" w:hAnsi="Calibri"/>
                <w:color w:val="1B241D"/>
                <w:sz w:val="16"/>
              </w:rPr>
              <w:t>Tendência crescente durante a safra.</w:t>
            </w:r>
          </w:p>
        </w:tc>
      </w:tr>
      <w:tr>
        <w:trPr>
          <w:cantSplit/>
        </w:trPr>
        <w:tc>
          <w:tcPr>
            <w:tcW w:type="dxa" w:w="1450"/>
            <w:vAlign w:val="center"/>
            <w:tcMar>
              <w:top w:w="80" w:type="dxa"/>
              <w:bottom w:w="80" w:type="dxa"/>
              <w:start w:w="120" w:type="dxa"/>
              <w:end w:w="120" w:type="dxa"/>
            </w:tcMar>
          </w:tcPr>
          <w:p>
            <w:pPr>
              <w:spacing w:after="20" w:line="252" w:lineRule="auto"/>
            </w:pPr>
            <w:r>
              <w:rPr>
                <w:rFonts w:ascii="Calibri" w:hAnsi="Calibri"/>
                <w:color w:val="1B241D"/>
                <w:sz w:val="16"/>
              </w:rPr>
              <w:t>Autonomia</w:t>
            </w:r>
          </w:p>
        </w:tc>
        <w:tc>
          <w:tcPr>
            <w:tcW w:type="dxa" w:w="4700"/>
            <w:vAlign w:val="center"/>
            <w:tcMar>
              <w:top w:w="80" w:type="dxa"/>
              <w:bottom w:w="80" w:type="dxa"/>
              <w:start w:w="120" w:type="dxa"/>
              <w:end w:w="120" w:type="dxa"/>
            </w:tcMar>
          </w:tcPr>
          <w:p>
            <w:pPr>
              <w:spacing w:after="20" w:line="252" w:lineRule="auto"/>
            </w:pPr>
            <w:r>
              <w:rPr>
                <w:rFonts w:ascii="Calibri" w:hAnsi="Calibri"/>
                <w:color w:val="1B241D"/>
                <w:sz w:val="16"/>
              </w:rPr>
              <w:t>Ações concluídas sem ajuda.</w:t>
            </w:r>
          </w:p>
        </w:tc>
        <w:tc>
          <w:tcPr>
            <w:tcW w:type="dxa" w:w="3210"/>
            <w:vAlign w:val="center"/>
            <w:tcMar>
              <w:top w:w="80" w:type="dxa"/>
              <w:bottom w:w="80" w:type="dxa"/>
              <w:start w:w="120" w:type="dxa"/>
              <w:end w:w="120" w:type="dxa"/>
            </w:tcMar>
          </w:tcPr>
          <w:p>
            <w:pPr>
              <w:spacing w:after="20" w:line="252" w:lineRule="auto"/>
            </w:pPr>
            <w:r>
              <w:rPr>
                <w:rFonts w:ascii="Calibri" w:hAnsi="Calibri"/>
                <w:color w:val="1B241D"/>
                <w:sz w:val="16"/>
              </w:rPr>
              <w:t>Maioria das tarefas essenciais.</w:t>
            </w:r>
          </w:p>
        </w:tc>
      </w:tr>
      <w:tr>
        <w:trPr>
          <w:cantSplit/>
        </w:trPr>
        <w:tc>
          <w:tcPr>
            <w:tcW w:type="dxa" w:w="1450"/>
            <w:shd w:fill="F8FAF8"/>
            <w:vAlign w:val="center"/>
            <w:tcMar>
              <w:top w:w="80" w:type="dxa"/>
              <w:bottom w:w="80" w:type="dxa"/>
              <w:start w:w="120" w:type="dxa"/>
              <w:end w:w="120" w:type="dxa"/>
            </w:tcMar>
          </w:tcPr>
          <w:p>
            <w:pPr>
              <w:spacing w:after="20" w:line="252" w:lineRule="auto"/>
            </w:pPr>
            <w:r>
              <w:rPr>
                <w:rFonts w:ascii="Calibri" w:hAnsi="Calibri"/>
                <w:color w:val="1B241D"/>
                <w:sz w:val="16"/>
              </w:rPr>
              <w:t>Confiabilidade</w:t>
            </w:r>
          </w:p>
        </w:tc>
        <w:tc>
          <w:tcPr>
            <w:tcW w:type="dxa" w:w="4700"/>
            <w:shd w:fill="F8FAF8"/>
            <w:vAlign w:val="center"/>
            <w:tcMar>
              <w:top w:w="80" w:type="dxa"/>
              <w:bottom w:w="80" w:type="dxa"/>
              <w:start w:w="120" w:type="dxa"/>
              <w:end w:w="120" w:type="dxa"/>
            </w:tcMar>
          </w:tcPr>
          <w:p>
            <w:pPr>
              <w:spacing w:after="20" w:line="252" w:lineRule="auto"/>
            </w:pPr>
            <w:r>
              <w:rPr>
                <w:rFonts w:ascii="Calibri" w:hAnsi="Calibri"/>
                <w:color w:val="1B241D"/>
                <w:sz w:val="16"/>
              </w:rPr>
              <w:t>Perda de dados e falha de sincronização não resolvida.</w:t>
            </w:r>
          </w:p>
        </w:tc>
        <w:tc>
          <w:tcPr>
            <w:tcW w:type="dxa" w:w="3210"/>
            <w:shd w:fill="F8FAF8"/>
            <w:vAlign w:val="center"/>
            <w:tcMar>
              <w:top w:w="80" w:type="dxa"/>
              <w:bottom w:w="80" w:type="dxa"/>
              <w:start w:w="120" w:type="dxa"/>
              <w:end w:w="120" w:type="dxa"/>
            </w:tcMar>
          </w:tcPr>
          <w:p>
            <w:pPr>
              <w:spacing w:after="20" w:line="252" w:lineRule="auto"/>
            </w:pPr>
            <w:r>
              <w:rPr>
                <w:rFonts w:ascii="Calibri" w:hAnsi="Calibri"/>
                <w:color w:val="1B241D"/>
                <w:sz w:val="16"/>
              </w:rPr>
              <w:t>Perda de dados: zero.</w:t>
            </w:r>
          </w:p>
        </w:tc>
      </w:tr>
      <w:tr>
        <w:trPr>
          <w:cantSplit/>
        </w:trPr>
        <w:tc>
          <w:tcPr>
            <w:tcW w:type="dxa" w:w="1450"/>
            <w:vAlign w:val="center"/>
            <w:tcMar>
              <w:top w:w="80" w:type="dxa"/>
              <w:bottom w:w="80" w:type="dxa"/>
              <w:start w:w="120" w:type="dxa"/>
              <w:end w:w="120" w:type="dxa"/>
            </w:tcMar>
          </w:tcPr>
          <w:p>
            <w:pPr>
              <w:spacing w:after="20" w:line="252" w:lineRule="auto"/>
            </w:pPr>
            <w:r>
              <w:rPr>
                <w:rFonts w:ascii="Calibri" w:hAnsi="Calibri"/>
                <w:color w:val="1B241D"/>
                <w:sz w:val="16"/>
              </w:rPr>
              <w:t>Valor</w:t>
            </w:r>
          </w:p>
        </w:tc>
        <w:tc>
          <w:tcPr>
            <w:tcW w:type="dxa" w:w="4700"/>
            <w:vAlign w:val="center"/>
            <w:tcMar>
              <w:top w:w="80" w:type="dxa"/>
              <w:bottom w:w="80" w:type="dxa"/>
              <w:start w:w="120" w:type="dxa"/>
              <w:end w:w="120" w:type="dxa"/>
            </w:tcMar>
          </w:tcPr>
          <w:p>
            <w:pPr>
              <w:spacing w:after="20" w:line="252" w:lineRule="auto"/>
            </w:pPr>
            <w:r>
              <w:rPr>
                <w:rFonts w:ascii="Calibri" w:hAnsi="Calibri"/>
                <w:color w:val="1B241D"/>
                <w:sz w:val="16"/>
              </w:rPr>
              <w:t>Produtor consegue explicar custo e resultado da safra.</w:t>
            </w:r>
          </w:p>
        </w:tc>
        <w:tc>
          <w:tcPr>
            <w:tcW w:type="dxa" w:w="3210"/>
            <w:vAlign w:val="center"/>
            <w:tcMar>
              <w:top w:w="80" w:type="dxa"/>
              <w:bottom w:w="80" w:type="dxa"/>
              <w:start w:w="120" w:type="dxa"/>
              <w:end w:w="120" w:type="dxa"/>
            </w:tcMar>
          </w:tcPr>
          <w:p>
            <w:pPr>
              <w:spacing w:after="20" w:line="252" w:lineRule="auto"/>
            </w:pPr>
            <w:r>
              <w:rPr>
                <w:rFonts w:ascii="Calibri" w:hAnsi="Calibri"/>
                <w:color w:val="1B241D"/>
                <w:sz w:val="16"/>
              </w:rPr>
              <w:t>Melhora mensurável antes/depois.</w:t>
            </w:r>
          </w:p>
        </w:tc>
      </w:tr>
      <w:tr>
        <w:trPr>
          <w:cantSplit/>
        </w:trPr>
        <w:tc>
          <w:tcPr>
            <w:tcW w:type="dxa" w:w="1450"/>
            <w:shd w:fill="F8FAF8"/>
            <w:vAlign w:val="center"/>
            <w:tcMar>
              <w:top w:w="80" w:type="dxa"/>
              <w:bottom w:w="80" w:type="dxa"/>
              <w:start w:w="120" w:type="dxa"/>
              <w:end w:w="120" w:type="dxa"/>
            </w:tcMar>
          </w:tcPr>
          <w:p>
            <w:pPr>
              <w:spacing w:after="20" w:line="252" w:lineRule="auto"/>
            </w:pPr>
            <w:r>
              <w:rPr>
                <w:rFonts w:ascii="Calibri" w:hAnsi="Calibri"/>
                <w:color w:val="1B241D"/>
                <w:sz w:val="16"/>
              </w:rPr>
              <w:t>Crédito</w:t>
            </w:r>
          </w:p>
        </w:tc>
        <w:tc>
          <w:tcPr>
            <w:tcW w:type="dxa" w:w="4700"/>
            <w:shd w:fill="F8FAF8"/>
            <w:vAlign w:val="center"/>
            <w:tcMar>
              <w:top w:w="80" w:type="dxa"/>
              <w:bottom w:w="80" w:type="dxa"/>
              <w:start w:w="120" w:type="dxa"/>
              <w:end w:w="120" w:type="dxa"/>
            </w:tcMar>
          </w:tcPr>
          <w:p>
            <w:pPr>
              <w:spacing w:after="20" w:line="252" w:lineRule="auto"/>
            </w:pPr>
            <w:r>
              <w:rPr>
                <w:rFonts w:ascii="Calibri" w:hAnsi="Calibri"/>
                <w:color w:val="1B241D"/>
                <w:sz w:val="16"/>
              </w:rPr>
              <w:t>Passaportes concluídos e considerados úteis.</w:t>
            </w:r>
          </w:p>
        </w:tc>
        <w:tc>
          <w:tcPr>
            <w:tcW w:type="dxa" w:w="3210"/>
            <w:shd w:fill="F8FAF8"/>
            <w:vAlign w:val="center"/>
            <w:tcMar>
              <w:top w:w="80" w:type="dxa"/>
              <w:bottom w:w="80" w:type="dxa"/>
              <w:start w:w="120" w:type="dxa"/>
              <w:end w:w="120" w:type="dxa"/>
            </w:tcMar>
          </w:tcPr>
          <w:p>
            <w:pPr>
              <w:spacing w:after="20" w:line="252" w:lineRule="auto"/>
            </w:pPr>
            <w:r>
              <w:rPr>
                <w:rFonts w:ascii="Calibri" w:hAnsi="Calibri"/>
                <w:color w:val="1B241D"/>
                <w:sz w:val="16"/>
              </w:rPr>
              <w:t>Validação qualitativa por diferentes instituições.</w:t>
            </w:r>
          </w:p>
        </w:tc>
      </w:tr>
      <w:tr>
        <w:trPr>
          <w:cantSplit/>
        </w:trPr>
        <w:tc>
          <w:tcPr>
            <w:tcW w:type="dxa" w:w="1450"/>
            <w:vAlign w:val="center"/>
            <w:tcMar>
              <w:top w:w="80" w:type="dxa"/>
              <w:bottom w:w="80" w:type="dxa"/>
              <w:start w:w="120" w:type="dxa"/>
              <w:end w:w="120" w:type="dxa"/>
            </w:tcMar>
          </w:tcPr>
          <w:p>
            <w:pPr>
              <w:spacing w:after="20" w:line="252" w:lineRule="auto"/>
            </w:pPr>
            <w:r>
              <w:rPr>
                <w:rFonts w:ascii="Calibri" w:hAnsi="Calibri"/>
                <w:color w:val="1B241D"/>
                <w:sz w:val="16"/>
              </w:rPr>
              <w:t>Negócio</w:t>
            </w:r>
          </w:p>
        </w:tc>
        <w:tc>
          <w:tcPr>
            <w:tcW w:type="dxa" w:w="4700"/>
            <w:vAlign w:val="center"/>
            <w:tcMar>
              <w:top w:w="80" w:type="dxa"/>
              <w:bottom w:w="80" w:type="dxa"/>
              <w:start w:w="120" w:type="dxa"/>
              <w:end w:w="120" w:type="dxa"/>
            </w:tcMar>
          </w:tcPr>
          <w:p>
            <w:pPr>
              <w:spacing w:after="20" w:line="252" w:lineRule="auto"/>
            </w:pPr>
            <w:r>
              <w:rPr>
                <w:rFonts w:ascii="Calibri" w:hAnsi="Calibri"/>
                <w:color w:val="1B241D"/>
                <w:sz w:val="16"/>
              </w:rPr>
              <w:t>Conversão, disposição a pagar, custo de suporte e churn.</w:t>
            </w:r>
          </w:p>
        </w:tc>
        <w:tc>
          <w:tcPr>
            <w:tcW w:type="dxa" w:w="3210"/>
            <w:vAlign w:val="center"/>
            <w:tcMar>
              <w:top w:w="80" w:type="dxa"/>
              <w:bottom w:w="80" w:type="dxa"/>
              <w:start w:w="120" w:type="dxa"/>
              <w:end w:w="120" w:type="dxa"/>
            </w:tcMar>
          </w:tcPr>
          <w:p>
            <w:pPr>
              <w:spacing w:after="20" w:line="252" w:lineRule="auto"/>
            </w:pPr>
            <w:r>
              <w:rPr>
                <w:rFonts w:ascii="Calibri" w:hAnsi="Calibri"/>
                <w:color w:val="1B241D"/>
                <w:sz w:val="16"/>
              </w:rPr>
              <w:t>Modelo sustentável por segmento/canal.</w:t>
            </w:r>
          </w:p>
        </w:tc>
      </w:tr>
    </w:tbl>
    <w:p>
      <w:pPr>
        <w:widowControl/>
        <w:spacing w:after="40"/>
      </w:pPr>
    </w:p>
    <w:p>
      <w:pPr>
        <w:pStyle w:val="Heading1"/>
        <w:keepNext/>
        <w:widowControl/>
      </w:pPr>
      <w:r>
        <w:t>19. Plano de pesquisa de mercado</w:t>
      </w:r>
    </w:p>
    <w:p>
      <w:pPr>
        <w:pStyle w:val="Heading2"/>
        <w:keepNext/>
        <w:widowControl/>
      </w:pPr>
      <w:r>
        <w:t>19.1 Pesquisa secundária</w:t>
      </w:r>
    </w:p>
    <w:p>
      <w:pPr>
        <w:spacing w:after="160" w:line="280" w:lineRule="auto"/>
        <w:widowControl/>
        <w:numPr>
          <w:ilvl w:val="0"/>
          <w:numId w:val="10"/>
        </w:numPr>
      </w:pPr>
      <w:r>
        <w:t>Dimensionar agricultura familiar e pequenos/médios produtores por estado, cultura, renda, conectividade e uso de smartphones.</w:t>
      </w:r>
    </w:p>
    <w:p>
      <w:pPr>
        <w:spacing w:after="160" w:line="280" w:lineRule="auto"/>
        <w:widowControl/>
        <w:numPr>
          <w:ilvl w:val="0"/>
          <w:numId w:val="10"/>
        </w:numPr>
      </w:pPr>
      <w:r>
        <w:t>Mapear orçamento, contratação, volume e distribuição regional do Pronaf e outras linhas relevantes.</w:t>
      </w:r>
    </w:p>
    <w:p>
      <w:pPr>
        <w:spacing w:after="160" w:line="280" w:lineRule="auto"/>
        <w:widowControl/>
        <w:numPr>
          <w:ilvl w:val="0"/>
          <w:numId w:val="10"/>
        </w:numPr>
      </w:pPr>
      <w:r>
        <w:t>Comparar preços, módulos, suporte, avaliações, plataformas e público-alvo dos concorrentes.</w:t>
      </w:r>
    </w:p>
    <w:p>
      <w:pPr>
        <w:spacing w:after="160" w:line="280" w:lineRule="auto"/>
        <w:widowControl/>
        <w:numPr>
          <w:ilvl w:val="0"/>
          <w:numId w:val="10"/>
        </w:numPr>
      </w:pPr>
      <w:r>
        <w:t>Revisar LGPD, requisitos de crédito, registros rurais, documentos e limites legais de relatórios informativos.</w:t>
      </w:r>
    </w:p>
    <w:p>
      <w:pPr>
        <w:spacing w:after="160" w:line="280" w:lineRule="auto"/>
        <w:widowControl/>
        <w:numPr>
          <w:ilvl w:val="0"/>
          <w:numId w:val="10"/>
        </w:numPr>
      </w:pPr>
      <w:r>
        <w:t>Mapear cooperativas, ATER, programas de digitalização e parceiros potenciais no Nordeste.</w:t>
      </w:r>
    </w:p>
    <w:p>
      <w:pPr>
        <w:pStyle w:val="Heading2"/>
        <w:keepNext/>
        <w:widowControl/>
      </w:pPr>
      <w:r>
        <w:t>19.2 Pesquisa qualitativa</w:t>
      </w:r>
    </w:p>
    <w:tbl>
      <w:tblPr>
        <w:tblStyle w:val="TableGrid"/>
        <w:tblW w:type="dxa" w:w="9360"/>
        <w:jc w:val="center"/>
        <w:tblLayout w:type="fixed"/>
        <w:tblLook w:firstColumn="1" w:firstRow="1" w:lastColumn="0" w:lastRow="0" w:noHBand="0" w:noVBand="1" w:val="04A0"/>
        <w:tblInd w:w="120" w:type="dxa"/>
      </w:tblPr>
      <w:tblGrid>
        <w:gridCol w:w="2400"/>
        <w:gridCol w:w="1800"/>
        <w:gridCol w:w="5160"/>
      </w:tblGrid>
      <w:tr>
        <w:trPr>
          <w:tblHeader w:val="true"/>
          <w:cantSplit/>
        </w:trPr>
        <w:tc>
          <w:tcPr>
            <w:tcW w:type="dxa" w:w="2400"/>
            <w:shd w:fill="F2F4F3"/>
            <w:vAlign w:val="center"/>
            <w:tcMar>
              <w:top w:w="80" w:type="dxa"/>
              <w:bottom w:w="80" w:type="dxa"/>
              <w:start w:w="120" w:type="dxa"/>
              <w:end w:w="120" w:type="dxa"/>
            </w:tcMar>
          </w:tcPr>
          <w:p>
            <w:pPr>
              <w:spacing w:after="40"/>
            </w:pPr>
            <w:r>
              <w:rPr>
                <w:rFonts w:ascii="Calibri" w:hAnsi="Calibri"/>
                <w:b/>
                <w:color w:val="123D1A"/>
                <w:sz w:val="16"/>
              </w:rPr>
              <w:t>Entrevistado</w:t>
            </w:r>
          </w:p>
        </w:tc>
        <w:tc>
          <w:tcPr>
            <w:tcW w:type="dxa" w:w="1800"/>
            <w:shd w:fill="F2F4F3"/>
            <w:vAlign w:val="center"/>
            <w:tcMar>
              <w:top w:w="80" w:type="dxa"/>
              <w:bottom w:w="80" w:type="dxa"/>
              <w:start w:w="120" w:type="dxa"/>
              <w:end w:w="120" w:type="dxa"/>
            </w:tcMar>
          </w:tcPr>
          <w:p>
            <w:pPr>
              <w:spacing w:after="40"/>
            </w:pPr>
            <w:r>
              <w:rPr>
                <w:rFonts w:ascii="Calibri" w:hAnsi="Calibri"/>
                <w:b/>
                <w:color w:val="123D1A"/>
                <w:sz w:val="16"/>
              </w:rPr>
              <w:t>Quantidade inicial</w:t>
            </w:r>
          </w:p>
        </w:tc>
        <w:tc>
          <w:tcPr>
            <w:tcW w:type="dxa" w:w="5160"/>
            <w:shd w:fill="F2F4F3"/>
            <w:vAlign w:val="center"/>
            <w:tcMar>
              <w:top w:w="80" w:type="dxa"/>
              <w:bottom w:w="80" w:type="dxa"/>
              <w:start w:w="120" w:type="dxa"/>
              <w:end w:w="120" w:type="dxa"/>
            </w:tcMar>
          </w:tcPr>
          <w:p>
            <w:pPr>
              <w:spacing w:after="40"/>
            </w:pPr>
            <w:r>
              <w:rPr>
                <w:rFonts w:ascii="Calibri" w:hAnsi="Calibri"/>
                <w:b/>
                <w:color w:val="123D1A"/>
                <w:sz w:val="16"/>
              </w:rPr>
              <w:t>O que investigar</w:t>
            </w:r>
          </w:p>
        </w:tc>
      </w:tr>
      <w:tr>
        <w:trPr>
          <w:cantSplit/>
        </w:trPr>
        <w:tc>
          <w:tcPr>
            <w:tcW w:type="dxa" w:w="2400"/>
            <w:vAlign w:val="center"/>
            <w:tcMar>
              <w:top w:w="80" w:type="dxa"/>
              <w:bottom w:w="80" w:type="dxa"/>
              <w:start w:w="120" w:type="dxa"/>
              <w:end w:w="120" w:type="dxa"/>
            </w:tcMar>
          </w:tcPr>
          <w:p>
            <w:pPr>
              <w:spacing w:after="20" w:line="252" w:lineRule="auto"/>
            </w:pPr>
            <w:r>
              <w:rPr>
                <w:rFonts w:ascii="Calibri" w:hAnsi="Calibri"/>
                <w:color w:val="1B241D"/>
                <w:sz w:val="16"/>
              </w:rPr>
              <w:t>Produtores</w:t>
            </w:r>
          </w:p>
        </w:tc>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20–30</w:t>
            </w:r>
          </w:p>
        </w:tc>
        <w:tc>
          <w:tcPr>
            <w:tcW w:type="dxa" w:w="5160"/>
            <w:vAlign w:val="center"/>
            <w:tcMar>
              <w:top w:w="80" w:type="dxa"/>
              <w:bottom w:w="80" w:type="dxa"/>
              <w:start w:w="120" w:type="dxa"/>
              <w:end w:w="120" w:type="dxa"/>
            </w:tcMar>
          </w:tcPr>
          <w:p>
            <w:pPr>
              <w:spacing w:after="20" w:line="252" w:lineRule="auto"/>
            </w:pPr>
            <w:r>
              <w:rPr>
                <w:rFonts w:ascii="Calibri" w:hAnsi="Calibri"/>
                <w:color w:val="1B241D"/>
                <w:sz w:val="16"/>
              </w:rPr>
              <w:t>Rotina, registros atuais, decisões, conectividade, confiança, abandono de apps e disposição a pagar.</w:t>
            </w:r>
          </w:p>
        </w:tc>
      </w:tr>
      <w:tr>
        <w:trPr>
          <w:cantSplit/>
        </w:trPr>
        <w:tc>
          <w:tcPr>
            <w:tcW w:type="dxa" w:w="2400"/>
            <w:shd w:fill="F8FAF8"/>
            <w:vAlign w:val="center"/>
            <w:tcMar>
              <w:top w:w="80" w:type="dxa"/>
              <w:bottom w:w="80" w:type="dxa"/>
              <w:start w:w="120" w:type="dxa"/>
              <w:end w:w="120" w:type="dxa"/>
            </w:tcMar>
          </w:tcPr>
          <w:p>
            <w:pPr>
              <w:spacing w:after="20" w:line="252" w:lineRule="auto"/>
            </w:pPr>
            <w:r>
              <w:rPr>
                <w:rFonts w:ascii="Calibri" w:hAnsi="Calibri"/>
                <w:color w:val="1B241D"/>
                <w:sz w:val="16"/>
              </w:rPr>
              <w:t>Cooperativas/associações</w:t>
            </w:r>
          </w:p>
        </w:tc>
        <w:tc>
          <w:tcPr>
            <w:tcW w:type="dxa" w:w="1800"/>
            <w:shd w:fill="F8FAF8"/>
            <w:vAlign w:val="center"/>
            <w:tcMar>
              <w:top w:w="80" w:type="dxa"/>
              <w:bottom w:w="80" w:type="dxa"/>
              <w:start w:w="120" w:type="dxa"/>
              <w:end w:w="120" w:type="dxa"/>
            </w:tcMar>
          </w:tcPr>
          <w:p>
            <w:pPr>
              <w:spacing w:after="20" w:line="252" w:lineRule="auto"/>
            </w:pPr>
            <w:r>
              <w:rPr>
                <w:rFonts w:ascii="Calibri" w:hAnsi="Calibri"/>
                <w:color w:val="1B241D"/>
                <w:sz w:val="16"/>
              </w:rPr>
              <w:t>5–8</w:t>
            </w:r>
          </w:p>
        </w:tc>
        <w:tc>
          <w:tcPr>
            <w:tcW w:type="dxa" w:w="5160"/>
            <w:shd w:fill="F8FAF8"/>
            <w:vAlign w:val="center"/>
            <w:tcMar>
              <w:top w:w="80" w:type="dxa"/>
              <w:bottom w:w="80" w:type="dxa"/>
              <w:start w:w="120" w:type="dxa"/>
              <w:end w:w="120" w:type="dxa"/>
            </w:tcMar>
          </w:tcPr>
          <w:p>
            <w:pPr>
              <w:spacing w:after="20" w:line="252" w:lineRule="auto"/>
            </w:pPr>
            <w:r>
              <w:rPr>
                <w:rFonts w:ascii="Calibri" w:hAnsi="Calibri"/>
                <w:color w:val="1B241D"/>
                <w:sz w:val="16"/>
              </w:rPr>
              <w:t>Implantação, suporte, dados necessários, compra institucional e governança.</w:t>
            </w:r>
          </w:p>
        </w:tc>
      </w:tr>
      <w:tr>
        <w:trPr>
          <w:cantSplit/>
        </w:trPr>
        <w:tc>
          <w:tcPr>
            <w:tcW w:type="dxa" w:w="2400"/>
            <w:vAlign w:val="center"/>
            <w:tcMar>
              <w:top w:w="80" w:type="dxa"/>
              <w:bottom w:w="80" w:type="dxa"/>
              <w:start w:w="120" w:type="dxa"/>
              <w:end w:w="120" w:type="dxa"/>
            </w:tcMar>
          </w:tcPr>
          <w:p>
            <w:pPr>
              <w:spacing w:after="20" w:line="252" w:lineRule="auto"/>
            </w:pPr>
            <w:r>
              <w:rPr>
                <w:rFonts w:ascii="Calibri" w:hAnsi="Calibri"/>
                <w:color w:val="1B241D"/>
                <w:sz w:val="16"/>
              </w:rPr>
              <w:t>ATER/técnicos</w:t>
            </w:r>
          </w:p>
        </w:tc>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8–12</w:t>
            </w:r>
          </w:p>
        </w:tc>
        <w:tc>
          <w:tcPr>
            <w:tcW w:type="dxa" w:w="5160"/>
            <w:vAlign w:val="center"/>
            <w:tcMar>
              <w:top w:w="80" w:type="dxa"/>
              <w:bottom w:w="80" w:type="dxa"/>
              <w:start w:w="120" w:type="dxa"/>
              <w:end w:w="120" w:type="dxa"/>
            </w:tcMar>
          </w:tcPr>
          <w:p>
            <w:pPr>
              <w:spacing w:after="20" w:line="252" w:lineRule="auto"/>
            </w:pPr>
            <w:r>
              <w:rPr>
                <w:rFonts w:ascii="Calibri" w:hAnsi="Calibri"/>
                <w:color w:val="1B241D"/>
                <w:sz w:val="16"/>
              </w:rPr>
              <w:t>Dados usados, erros comuns, acompanhamento, linguagem e valor do painel coletivo.</w:t>
            </w:r>
          </w:p>
        </w:tc>
      </w:tr>
      <w:tr>
        <w:trPr>
          <w:cantSplit/>
        </w:trPr>
        <w:tc>
          <w:tcPr>
            <w:tcW w:type="dxa" w:w="2400"/>
            <w:shd w:fill="F8FAF8"/>
            <w:vAlign w:val="center"/>
            <w:tcMar>
              <w:top w:w="80" w:type="dxa"/>
              <w:bottom w:w="80" w:type="dxa"/>
              <w:start w:w="120" w:type="dxa"/>
              <w:end w:w="120" w:type="dxa"/>
            </w:tcMar>
          </w:tcPr>
          <w:p>
            <w:pPr>
              <w:spacing w:after="20" w:line="252" w:lineRule="auto"/>
            </w:pPr>
            <w:r>
              <w:rPr>
                <w:rFonts w:ascii="Calibri" w:hAnsi="Calibri"/>
                <w:color w:val="1B241D"/>
                <w:sz w:val="16"/>
              </w:rPr>
              <w:t>Agentes de crédito</w:t>
            </w:r>
          </w:p>
        </w:tc>
        <w:tc>
          <w:tcPr>
            <w:tcW w:type="dxa" w:w="1800"/>
            <w:shd w:fill="F8FAF8"/>
            <w:vAlign w:val="center"/>
            <w:tcMar>
              <w:top w:w="80" w:type="dxa"/>
              <w:bottom w:w="80" w:type="dxa"/>
              <w:start w:w="120" w:type="dxa"/>
              <w:end w:w="120" w:type="dxa"/>
            </w:tcMar>
          </w:tcPr>
          <w:p>
            <w:pPr>
              <w:spacing w:after="20" w:line="252" w:lineRule="auto"/>
            </w:pPr>
            <w:r>
              <w:rPr>
                <w:rFonts w:ascii="Calibri" w:hAnsi="Calibri"/>
                <w:color w:val="1B241D"/>
                <w:sz w:val="16"/>
              </w:rPr>
              <w:t>5–8</w:t>
            </w:r>
          </w:p>
        </w:tc>
        <w:tc>
          <w:tcPr>
            <w:tcW w:type="dxa" w:w="5160"/>
            <w:shd w:fill="F8FAF8"/>
            <w:vAlign w:val="center"/>
            <w:tcMar>
              <w:top w:w="80" w:type="dxa"/>
              <w:bottom w:w="80" w:type="dxa"/>
              <w:start w:w="120" w:type="dxa"/>
              <w:end w:w="120" w:type="dxa"/>
            </w:tcMar>
          </w:tcPr>
          <w:p>
            <w:pPr>
              <w:spacing w:after="20" w:line="252" w:lineRule="auto"/>
            </w:pPr>
            <w:r>
              <w:rPr>
                <w:rFonts w:ascii="Calibri" w:hAnsi="Calibri"/>
                <w:color w:val="1B241D"/>
                <w:sz w:val="16"/>
              </w:rPr>
              <w:t>Documentos, confiabilidade, lacunas do dossiê e limites de aceitação.</w:t>
            </w:r>
          </w:p>
        </w:tc>
      </w:tr>
      <w:tr>
        <w:trPr>
          <w:cantSplit/>
        </w:trPr>
        <w:tc>
          <w:tcPr>
            <w:tcW w:type="dxa" w:w="2400"/>
            <w:vAlign w:val="center"/>
            <w:tcMar>
              <w:top w:w="80" w:type="dxa"/>
              <w:bottom w:w="80" w:type="dxa"/>
              <w:start w:w="120" w:type="dxa"/>
              <w:end w:w="120" w:type="dxa"/>
            </w:tcMar>
          </w:tcPr>
          <w:p>
            <w:pPr>
              <w:spacing w:after="20" w:line="252" w:lineRule="auto"/>
            </w:pPr>
            <w:r>
              <w:rPr>
                <w:rFonts w:ascii="Calibri" w:hAnsi="Calibri"/>
                <w:color w:val="1B241D"/>
                <w:sz w:val="16"/>
              </w:rPr>
              <w:t>Contadores rurais</w:t>
            </w:r>
          </w:p>
        </w:tc>
        <w:tc>
          <w:tcPr>
            <w:tcW w:type="dxa" w:w="1800"/>
            <w:vAlign w:val="center"/>
            <w:tcMar>
              <w:top w:w="80" w:type="dxa"/>
              <w:bottom w:w="80" w:type="dxa"/>
              <w:start w:w="120" w:type="dxa"/>
              <w:end w:w="120" w:type="dxa"/>
            </w:tcMar>
          </w:tcPr>
          <w:p>
            <w:pPr>
              <w:spacing w:after="20" w:line="252" w:lineRule="auto"/>
            </w:pPr>
            <w:r>
              <w:rPr>
                <w:rFonts w:ascii="Calibri" w:hAnsi="Calibri"/>
                <w:color w:val="1B241D"/>
                <w:sz w:val="16"/>
              </w:rPr>
              <w:t>3–5</w:t>
            </w:r>
          </w:p>
        </w:tc>
        <w:tc>
          <w:tcPr>
            <w:tcW w:type="dxa" w:w="5160"/>
            <w:vAlign w:val="center"/>
            <w:tcMar>
              <w:top w:w="80" w:type="dxa"/>
              <w:bottom w:w="80" w:type="dxa"/>
              <w:start w:w="120" w:type="dxa"/>
              <w:end w:w="120" w:type="dxa"/>
            </w:tcMar>
          </w:tcPr>
          <w:p>
            <w:pPr>
              <w:spacing w:after="20" w:line="252" w:lineRule="auto"/>
            </w:pPr>
            <w:r>
              <w:rPr>
                <w:rFonts w:ascii="Calibri" w:hAnsi="Calibri"/>
                <w:color w:val="1B241D"/>
                <w:sz w:val="16"/>
              </w:rPr>
              <w:t>Fluxo financeiro, exportação, precisão e obrigações futuras.</w:t>
            </w:r>
          </w:p>
        </w:tc>
      </w:tr>
    </w:tbl>
    <w:p>
      <w:pPr>
        <w:widowControl/>
        <w:spacing w:after="40"/>
      </w:pPr>
    </w:p>
    <w:p>
      <w:pPr>
        <w:pStyle w:val="Heading2"/>
        <w:keepNext/>
        <w:widowControl/>
      </w:pPr>
      <w:r>
        <w:t>19.3 Testes de produto</w:t>
      </w:r>
    </w:p>
    <w:p>
      <w:pPr>
        <w:spacing w:after="160" w:line="280" w:lineRule="auto"/>
        <w:widowControl/>
        <w:numPr>
          <w:ilvl w:val="0"/>
          <w:numId w:val="10"/>
        </w:numPr>
      </w:pPr>
      <w:r>
        <w:t>Teste comparativo: papel/WhatsApp versus beta atual versus Modo Simples.</w:t>
      </w:r>
    </w:p>
    <w:p>
      <w:pPr>
        <w:spacing w:after="160" w:line="280" w:lineRule="auto"/>
        <w:widowControl/>
        <w:numPr>
          <w:ilvl w:val="0"/>
          <w:numId w:val="10"/>
        </w:numPr>
      </w:pPr>
      <w:r>
        <w:t>Teste de cinco segundos da tela Hoje.</w:t>
      </w:r>
    </w:p>
    <w:p>
      <w:pPr>
        <w:spacing w:after="160" w:line="280" w:lineRule="auto"/>
        <w:widowControl/>
        <w:numPr>
          <w:ilvl w:val="0"/>
          <w:numId w:val="10"/>
        </w:numPr>
      </w:pPr>
      <w:r>
        <w:t>Registro cronometrado de compra, venda, tarefa e colheita.</w:t>
      </w:r>
    </w:p>
    <w:p>
      <w:pPr>
        <w:spacing w:after="160" w:line="280" w:lineRule="auto"/>
        <w:widowControl/>
        <w:numPr>
          <w:ilvl w:val="0"/>
          <w:numId w:val="10"/>
        </w:numPr>
      </w:pPr>
      <w:r>
        <w:t>Uso offline por vários dias, reconexão e conflito entre aparelhos.</w:t>
      </w:r>
    </w:p>
    <w:p>
      <w:pPr>
        <w:spacing w:after="160" w:line="280" w:lineRule="auto"/>
        <w:widowControl/>
        <w:numPr>
          <w:ilvl w:val="0"/>
          <w:numId w:val="10"/>
        </w:numPr>
      </w:pPr>
      <w:r>
        <w:t>Compreensão do Passaporte Rural sem explicação do pesquisador.</w:t>
      </w:r>
    </w:p>
    <w:p>
      <w:pPr>
        <w:spacing w:after="160" w:line="280" w:lineRule="auto"/>
        <w:widowControl/>
        <w:numPr>
          <w:ilvl w:val="0"/>
          <w:numId w:val="10"/>
        </w:numPr>
      </w:pPr>
      <w:r>
        <w:t>Teste em sol, com mãos ocupadas, fonte ampliada e aparelhos de entrada.</w:t>
      </w:r>
    </w:p>
    <w:p>
      <w:pPr>
        <w:pStyle w:val="Heading1"/>
        <w:keepNext/>
        <w:widowControl/>
      </w:pPr>
      <w:r>
        <w:t>20. Hipóteses prioritárias</w:t>
      </w:r>
    </w:p>
    <w:tbl>
      <w:tblPr>
        <w:tblStyle w:val="TableGrid"/>
        <w:tblW w:type="dxa" w:w="9360"/>
        <w:jc w:val="center"/>
        <w:tblLayout w:type="fixed"/>
        <w:tblLook w:firstColumn="1" w:firstRow="1" w:lastColumn="0" w:lastRow="0" w:noHBand="0" w:noVBand="1" w:val="04A0"/>
        <w:tblInd w:w="120" w:type="dxa"/>
      </w:tblPr>
      <w:tblGrid>
        <w:gridCol w:w="3250"/>
        <w:gridCol w:w="3050"/>
        <w:gridCol w:w="3060"/>
      </w:tblGrid>
      <w:tr>
        <w:trPr>
          <w:tblHeader w:val="true"/>
          <w:cantSplit/>
        </w:trPr>
        <w:tc>
          <w:tcPr>
            <w:tcW w:type="dxa" w:w="3250"/>
            <w:shd w:fill="F2F4F3"/>
            <w:vAlign w:val="center"/>
            <w:tcMar>
              <w:top w:w="80" w:type="dxa"/>
              <w:bottom w:w="80" w:type="dxa"/>
              <w:start w:w="120" w:type="dxa"/>
              <w:end w:w="120" w:type="dxa"/>
            </w:tcMar>
          </w:tcPr>
          <w:p>
            <w:pPr>
              <w:spacing w:after="40"/>
            </w:pPr>
            <w:r>
              <w:rPr>
                <w:rFonts w:ascii="Calibri" w:hAnsi="Calibri"/>
                <w:b/>
                <w:color w:val="123D1A"/>
                <w:sz w:val="16"/>
              </w:rPr>
              <w:t>Hipótese</w:t>
            </w:r>
          </w:p>
        </w:tc>
        <w:tc>
          <w:tcPr>
            <w:tcW w:type="dxa" w:w="3050"/>
            <w:shd w:fill="F2F4F3"/>
            <w:vAlign w:val="center"/>
            <w:tcMar>
              <w:top w:w="80" w:type="dxa"/>
              <w:bottom w:w="80" w:type="dxa"/>
              <w:start w:w="120" w:type="dxa"/>
              <w:end w:w="120" w:type="dxa"/>
            </w:tcMar>
          </w:tcPr>
          <w:p>
            <w:pPr>
              <w:spacing w:after="40"/>
            </w:pPr>
            <w:r>
              <w:rPr>
                <w:rFonts w:ascii="Calibri" w:hAnsi="Calibri"/>
                <w:b/>
                <w:color w:val="123D1A"/>
                <w:sz w:val="16"/>
              </w:rPr>
              <w:t>Como testar</w:t>
            </w:r>
          </w:p>
        </w:tc>
        <w:tc>
          <w:tcPr>
            <w:tcW w:type="dxa" w:w="3060"/>
            <w:shd w:fill="F2F4F3"/>
            <w:vAlign w:val="center"/>
            <w:tcMar>
              <w:top w:w="80" w:type="dxa"/>
              <w:bottom w:w="80" w:type="dxa"/>
              <w:start w:w="120" w:type="dxa"/>
              <w:end w:w="120" w:type="dxa"/>
            </w:tcMar>
          </w:tcPr>
          <w:p>
            <w:pPr>
              <w:spacing w:after="40"/>
            </w:pPr>
            <w:r>
              <w:rPr>
                <w:rFonts w:ascii="Calibri" w:hAnsi="Calibri"/>
                <w:b/>
                <w:color w:val="123D1A"/>
                <w:sz w:val="16"/>
              </w:rPr>
              <w:t>Sinal favorável</w:t>
            </w:r>
          </w:p>
        </w:tc>
      </w:tr>
      <w:tr>
        <w:trPr>
          <w:cantSplit/>
        </w:trPr>
        <w:tc>
          <w:tcPr>
            <w:tcW w:type="dxa" w:w="3250"/>
            <w:vAlign w:val="center"/>
            <w:tcMar>
              <w:top w:w="80" w:type="dxa"/>
              <w:bottom w:w="80" w:type="dxa"/>
              <w:start w:w="120" w:type="dxa"/>
              <w:end w:w="120" w:type="dxa"/>
            </w:tcMar>
          </w:tcPr>
          <w:p>
            <w:pPr>
              <w:spacing w:after="20" w:line="252" w:lineRule="auto"/>
            </w:pPr>
            <w:r>
              <w:rPr>
                <w:rFonts w:ascii="Calibri" w:hAnsi="Calibri"/>
                <w:color w:val="1B241D"/>
                <w:sz w:val="16"/>
              </w:rPr>
              <w:t>Simplicidade vence amplitude no segmento inicial.</w:t>
            </w:r>
          </w:p>
        </w:tc>
        <w:tc>
          <w:tcPr>
            <w:tcW w:type="dxa" w:w="3050"/>
            <w:vAlign w:val="center"/>
            <w:tcMar>
              <w:top w:w="80" w:type="dxa"/>
              <w:bottom w:w="80" w:type="dxa"/>
              <w:start w:w="120" w:type="dxa"/>
              <w:end w:w="120" w:type="dxa"/>
            </w:tcMar>
          </w:tcPr>
          <w:p>
            <w:pPr>
              <w:spacing w:after="20" w:line="252" w:lineRule="auto"/>
            </w:pPr>
            <w:r>
              <w:rPr>
                <w:rFonts w:ascii="Calibri" w:hAnsi="Calibri"/>
                <w:color w:val="1B241D"/>
                <w:sz w:val="16"/>
              </w:rPr>
              <w:t>Comparar tarefas essenciais com soluções atuais e métodos manuais.</w:t>
            </w:r>
          </w:p>
        </w:tc>
        <w:tc>
          <w:tcPr>
            <w:tcW w:type="dxa" w:w="3060"/>
            <w:vAlign w:val="center"/>
            <w:tcMar>
              <w:top w:w="80" w:type="dxa"/>
              <w:bottom w:w="80" w:type="dxa"/>
              <w:start w:w="120" w:type="dxa"/>
              <w:end w:w="120" w:type="dxa"/>
            </w:tcMar>
          </w:tcPr>
          <w:p>
            <w:pPr>
              <w:spacing w:after="20" w:line="252" w:lineRule="auto"/>
            </w:pPr>
            <w:r>
              <w:rPr>
                <w:rFonts w:ascii="Calibri" w:hAnsi="Calibri"/>
                <w:color w:val="1B241D"/>
                <w:sz w:val="16"/>
              </w:rPr>
              <w:t>Mais conclusão, menos ajuda e maior intenção de continuar.</w:t>
            </w:r>
          </w:p>
        </w:tc>
      </w:tr>
      <w:tr>
        <w:trPr>
          <w:cantSplit/>
        </w:trPr>
        <w:tc>
          <w:tcPr>
            <w:tcW w:type="dxa" w:w="3250"/>
            <w:shd w:fill="F8FAF8"/>
            <w:vAlign w:val="center"/>
            <w:tcMar>
              <w:top w:w="80" w:type="dxa"/>
              <w:bottom w:w="80" w:type="dxa"/>
              <w:start w:w="120" w:type="dxa"/>
              <w:end w:w="120" w:type="dxa"/>
            </w:tcMar>
          </w:tcPr>
          <w:p>
            <w:pPr>
              <w:spacing w:after="20" w:line="252" w:lineRule="auto"/>
            </w:pPr>
            <w:r>
              <w:rPr>
                <w:rFonts w:ascii="Calibri" w:hAnsi="Calibri"/>
                <w:color w:val="1B241D"/>
                <w:sz w:val="16"/>
              </w:rPr>
              <w:t>O produtor manterá registros semanais se o fluxo for rápido.</w:t>
            </w:r>
          </w:p>
        </w:tc>
        <w:tc>
          <w:tcPr>
            <w:tcW w:type="dxa" w:w="3050"/>
            <w:shd w:fill="F8FAF8"/>
            <w:vAlign w:val="center"/>
            <w:tcMar>
              <w:top w:w="80" w:type="dxa"/>
              <w:bottom w:w="80" w:type="dxa"/>
              <w:start w:w="120" w:type="dxa"/>
              <w:end w:w="120" w:type="dxa"/>
            </w:tcMar>
          </w:tcPr>
          <w:p>
            <w:pPr>
              <w:spacing w:after="20" w:line="252" w:lineRule="auto"/>
            </w:pPr>
            <w:r>
              <w:rPr>
                <w:rFonts w:ascii="Calibri" w:hAnsi="Calibri"/>
                <w:color w:val="1B241D"/>
                <w:sz w:val="16"/>
              </w:rPr>
              <w:t>Piloto longitudinal, não apenas teste de laboratório.</w:t>
            </w:r>
          </w:p>
        </w:tc>
        <w:tc>
          <w:tcPr>
            <w:tcW w:type="dxa" w:w="3060"/>
            <w:shd w:fill="F8FAF8"/>
            <w:vAlign w:val="center"/>
            <w:tcMar>
              <w:top w:w="80" w:type="dxa"/>
              <w:bottom w:w="80" w:type="dxa"/>
              <w:start w:w="120" w:type="dxa"/>
              <w:end w:w="120" w:type="dxa"/>
            </w:tcMar>
          </w:tcPr>
          <w:p>
            <w:pPr>
              <w:spacing w:after="20" w:line="252" w:lineRule="auto"/>
            </w:pPr>
            <w:r>
              <w:rPr>
                <w:rFonts w:ascii="Calibri" w:hAnsi="Calibri"/>
                <w:color w:val="1B241D"/>
                <w:sz w:val="16"/>
              </w:rPr>
              <w:t>Uso recorrente por oito semanas ou mais.</w:t>
            </w:r>
          </w:p>
        </w:tc>
      </w:tr>
      <w:tr>
        <w:trPr>
          <w:cantSplit/>
        </w:trPr>
        <w:tc>
          <w:tcPr>
            <w:tcW w:type="dxa" w:w="3250"/>
            <w:vAlign w:val="center"/>
            <w:tcMar>
              <w:top w:w="80" w:type="dxa"/>
              <w:bottom w:w="80" w:type="dxa"/>
              <w:start w:w="120" w:type="dxa"/>
              <w:end w:w="120" w:type="dxa"/>
            </w:tcMar>
          </w:tcPr>
          <w:p>
            <w:pPr>
              <w:spacing w:after="20" w:line="252" w:lineRule="auto"/>
            </w:pPr>
            <w:r>
              <w:rPr>
                <w:rFonts w:ascii="Calibri" w:hAnsi="Calibri"/>
                <w:color w:val="1B241D"/>
                <w:sz w:val="16"/>
              </w:rPr>
              <w:t>O Passaporte Rural gera valor concreto.</w:t>
            </w:r>
          </w:p>
        </w:tc>
        <w:tc>
          <w:tcPr>
            <w:tcW w:type="dxa" w:w="3050"/>
            <w:vAlign w:val="center"/>
            <w:tcMar>
              <w:top w:w="80" w:type="dxa"/>
              <w:bottom w:w="80" w:type="dxa"/>
              <w:start w:w="120" w:type="dxa"/>
              <w:end w:w="120" w:type="dxa"/>
            </w:tcMar>
          </w:tcPr>
          <w:p>
            <w:pPr>
              <w:spacing w:after="20" w:line="252" w:lineRule="auto"/>
            </w:pPr>
            <w:r>
              <w:rPr>
                <w:rFonts w:ascii="Calibri" w:hAnsi="Calibri"/>
                <w:color w:val="1B241D"/>
                <w:sz w:val="16"/>
              </w:rPr>
              <w:t>Apresentar a produtores, ATER e agentes de crédito.</w:t>
            </w:r>
          </w:p>
        </w:tc>
        <w:tc>
          <w:tcPr>
            <w:tcW w:type="dxa" w:w="3060"/>
            <w:vAlign w:val="center"/>
            <w:tcMar>
              <w:top w:w="80" w:type="dxa"/>
              <w:bottom w:w="80" w:type="dxa"/>
              <w:start w:w="120" w:type="dxa"/>
              <w:end w:w="120" w:type="dxa"/>
            </w:tcMar>
          </w:tcPr>
          <w:p>
            <w:pPr>
              <w:spacing w:after="20" w:line="252" w:lineRule="auto"/>
            </w:pPr>
            <w:r>
              <w:rPr>
                <w:rFonts w:ascii="Calibri" w:hAnsi="Calibri"/>
                <w:color w:val="1B241D"/>
                <w:sz w:val="16"/>
              </w:rPr>
              <w:t>Reduz tempo de organização e é considerado útil sem induzir promessa.</w:t>
            </w:r>
          </w:p>
        </w:tc>
      </w:tr>
      <w:tr>
        <w:trPr>
          <w:cantSplit/>
        </w:trPr>
        <w:tc>
          <w:tcPr>
            <w:tcW w:type="dxa" w:w="3250"/>
            <w:shd w:fill="F8FAF8"/>
            <w:vAlign w:val="center"/>
            <w:tcMar>
              <w:top w:w="80" w:type="dxa"/>
              <w:bottom w:w="80" w:type="dxa"/>
              <w:start w:w="120" w:type="dxa"/>
              <w:end w:w="120" w:type="dxa"/>
            </w:tcMar>
          </w:tcPr>
          <w:p>
            <w:pPr>
              <w:spacing w:after="20" w:line="252" w:lineRule="auto"/>
            </w:pPr>
            <w:r>
              <w:rPr>
                <w:rFonts w:ascii="Calibri" w:hAnsi="Calibri"/>
                <w:color w:val="1B241D"/>
                <w:sz w:val="16"/>
              </w:rPr>
              <w:t>Cooperativas são um canal eficiente.</w:t>
            </w:r>
          </w:p>
        </w:tc>
        <w:tc>
          <w:tcPr>
            <w:tcW w:type="dxa" w:w="3050"/>
            <w:shd w:fill="F8FAF8"/>
            <w:vAlign w:val="center"/>
            <w:tcMar>
              <w:top w:w="80" w:type="dxa"/>
              <w:bottom w:w="80" w:type="dxa"/>
              <w:start w:w="120" w:type="dxa"/>
              <w:end w:w="120" w:type="dxa"/>
            </w:tcMar>
          </w:tcPr>
          <w:p>
            <w:pPr>
              <w:spacing w:after="20" w:line="252" w:lineRule="auto"/>
            </w:pPr>
            <w:r>
              <w:rPr>
                <w:rFonts w:ascii="Calibri" w:hAnsi="Calibri"/>
                <w:color w:val="1B241D"/>
                <w:sz w:val="16"/>
              </w:rPr>
              <w:t>Pilotos com implantação individual e via cooperativa.</w:t>
            </w:r>
          </w:p>
        </w:tc>
        <w:tc>
          <w:tcPr>
            <w:tcW w:type="dxa" w:w="3060"/>
            <w:shd w:fill="F8FAF8"/>
            <w:vAlign w:val="center"/>
            <w:tcMar>
              <w:top w:w="80" w:type="dxa"/>
              <w:bottom w:w="80" w:type="dxa"/>
              <w:start w:w="120" w:type="dxa"/>
              <w:end w:w="120" w:type="dxa"/>
            </w:tcMar>
          </w:tcPr>
          <w:p>
            <w:pPr>
              <w:spacing w:after="20" w:line="252" w:lineRule="auto"/>
            </w:pPr>
            <w:r>
              <w:rPr>
                <w:rFonts w:ascii="Calibri" w:hAnsi="Calibri"/>
                <w:color w:val="1B241D"/>
                <w:sz w:val="16"/>
              </w:rPr>
              <w:t>Menor aquisição/suporte e melhor retenção.</w:t>
            </w:r>
          </w:p>
        </w:tc>
      </w:tr>
      <w:tr>
        <w:trPr>
          <w:cantSplit/>
        </w:trPr>
        <w:tc>
          <w:tcPr>
            <w:tcW w:type="dxa" w:w="3250"/>
            <w:vAlign w:val="center"/>
            <w:tcMar>
              <w:top w:w="80" w:type="dxa"/>
              <w:bottom w:w="80" w:type="dxa"/>
              <w:start w:w="120" w:type="dxa"/>
              <w:end w:w="120" w:type="dxa"/>
            </w:tcMar>
          </w:tcPr>
          <w:p>
            <w:pPr>
              <w:spacing w:after="20" w:line="252" w:lineRule="auto"/>
            </w:pPr>
            <w:r>
              <w:rPr>
                <w:rFonts w:ascii="Calibri" w:hAnsi="Calibri"/>
                <w:color w:val="1B241D"/>
                <w:sz w:val="16"/>
              </w:rPr>
              <w:t>Cobrança sazonal é preferível à mensal.</w:t>
            </w:r>
          </w:p>
        </w:tc>
        <w:tc>
          <w:tcPr>
            <w:tcW w:type="dxa" w:w="3050"/>
            <w:vAlign w:val="center"/>
            <w:tcMar>
              <w:top w:w="80" w:type="dxa"/>
              <w:bottom w:w="80" w:type="dxa"/>
              <w:start w:w="120" w:type="dxa"/>
              <w:end w:w="120" w:type="dxa"/>
            </w:tcMar>
          </w:tcPr>
          <w:p>
            <w:pPr>
              <w:spacing w:after="20" w:line="252" w:lineRule="auto"/>
            </w:pPr>
            <w:r>
              <w:rPr>
                <w:rFonts w:ascii="Calibri" w:hAnsi="Calibri"/>
                <w:color w:val="1B241D"/>
                <w:sz w:val="16"/>
              </w:rPr>
              <w:t>Entrevistas de preço e experimento com ofertas reais.</w:t>
            </w:r>
          </w:p>
        </w:tc>
        <w:tc>
          <w:tcPr>
            <w:tcW w:type="dxa" w:w="3060"/>
            <w:vAlign w:val="center"/>
            <w:tcMar>
              <w:top w:w="80" w:type="dxa"/>
              <w:bottom w:w="80" w:type="dxa"/>
              <w:start w:w="120" w:type="dxa"/>
              <w:end w:w="120" w:type="dxa"/>
            </w:tcMar>
          </w:tcPr>
          <w:p>
            <w:pPr>
              <w:spacing w:after="20" w:line="252" w:lineRule="auto"/>
            </w:pPr>
            <w:r>
              <w:rPr>
                <w:rFonts w:ascii="Calibri" w:hAnsi="Calibri"/>
                <w:color w:val="1B241D"/>
                <w:sz w:val="16"/>
              </w:rPr>
              <w:t>Maior conversão sem piorar inadimplência ou compreensão.</w:t>
            </w:r>
          </w:p>
        </w:tc>
      </w:tr>
      <w:tr>
        <w:trPr>
          <w:cantSplit/>
        </w:trPr>
        <w:tc>
          <w:tcPr>
            <w:tcW w:type="dxa" w:w="3250"/>
            <w:shd w:fill="F8FAF8"/>
            <w:vAlign w:val="center"/>
            <w:tcMar>
              <w:top w:w="80" w:type="dxa"/>
              <w:bottom w:w="80" w:type="dxa"/>
              <w:start w:w="120" w:type="dxa"/>
              <w:end w:w="120" w:type="dxa"/>
            </w:tcMar>
          </w:tcPr>
          <w:p>
            <w:pPr>
              <w:spacing w:after="20" w:line="252" w:lineRule="auto"/>
            </w:pPr>
            <w:r>
              <w:rPr>
                <w:rFonts w:ascii="Calibri" w:hAnsi="Calibri"/>
                <w:color w:val="1B241D"/>
                <w:sz w:val="16"/>
              </w:rPr>
              <w:t>Offline confiável aumenta retenção.</w:t>
            </w:r>
          </w:p>
        </w:tc>
        <w:tc>
          <w:tcPr>
            <w:tcW w:type="dxa" w:w="3050"/>
            <w:shd w:fill="F8FAF8"/>
            <w:vAlign w:val="center"/>
            <w:tcMar>
              <w:top w:w="80" w:type="dxa"/>
              <w:bottom w:w="80" w:type="dxa"/>
              <w:start w:w="120" w:type="dxa"/>
              <w:end w:w="120" w:type="dxa"/>
            </w:tcMar>
          </w:tcPr>
          <w:p>
            <w:pPr>
              <w:spacing w:after="20" w:line="252" w:lineRule="auto"/>
            </w:pPr>
            <w:r>
              <w:rPr>
                <w:rFonts w:ascii="Calibri" w:hAnsi="Calibri"/>
                <w:color w:val="1B241D"/>
                <w:sz w:val="16"/>
              </w:rPr>
              <w:t>Comparar regiões e períodos de conectividade diferente.</w:t>
            </w:r>
          </w:p>
        </w:tc>
        <w:tc>
          <w:tcPr>
            <w:tcW w:type="dxa" w:w="3060"/>
            <w:shd w:fill="F8FAF8"/>
            <w:vAlign w:val="center"/>
            <w:tcMar>
              <w:top w:w="80" w:type="dxa"/>
              <w:bottom w:w="80" w:type="dxa"/>
              <w:start w:w="120" w:type="dxa"/>
              <w:end w:w="120" w:type="dxa"/>
            </w:tcMar>
          </w:tcPr>
          <w:p>
            <w:pPr>
              <w:spacing w:after="20" w:line="252" w:lineRule="auto"/>
            </w:pPr>
            <w:r>
              <w:rPr>
                <w:rFonts w:ascii="Calibri" w:hAnsi="Calibri"/>
                <w:color w:val="1B241D"/>
                <w:sz w:val="16"/>
              </w:rPr>
              <w:t>Menos abandono e menor taxa de erro em rede ruim.</w:t>
            </w:r>
          </w:p>
        </w:tc>
      </w:tr>
    </w:tbl>
    <w:p>
      <w:pPr>
        <w:widowControl/>
        <w:spacing w:after="40"/>
      </w:pPr>
    </w:p>
    <w:p>
      <w:pPr>
        <w:pStyle w:val="Heading1"/>
        <w:keepNext/>
        <w:widowControl/>
      </w:pPr>
      <w:r>
        <w:t>21. Perguntas para a pesquisa</w:t>
      </w:r>
    </w:p>
    <w:p>
      <w:pPr>
        <w:pStyle w:val="Heading2"/>
        <w:keepNext/>
        <w:widowControl/>
      </w:pPr>
      <w:r>
        <w:t>21.1 Mercado e segmentação</w:t>
      </w:r>
    </w:p>
    <w:p>
      <w:pPr>
        <w:spacing w:after="160" w:line="280" w:lineRule="auto"/>
        <w:widowControl/>
        <w:numPr>
          <w:ilvl w:val="0"/>
          <w:numId w:val="10"/>
        </w:numPr>
      </w:pPr>
      <w:r>
        <w:t>Qual é o número atualizado de estabelecimentos familiares no Nordeste e como se distribuem por estado, cultura, renda e tamanho?</w:t>
      </w:r>
    </w:p>
    <w:p>
      <w:pPr>
        <w:spacing w:after="160" w:line="280" w:lineRule="auto"/>
        <w:widowControl/>
        <w:numPr>
          <w:ilvl w:val="0"/>
          <w:numId w:val="10"/>
        </w:numPr>
      </w:pPr>
      <w:r>
        <w:t>Quais subsegmentos já usam software e quais continuam em métodos manuais?</w:t>
      </w:r>
    </w:p>
    <w:p>
      <w:pPr>
        <w:spacing w:after="160" w:line="280" w:lineRule="auto"/>
        <w:widowControl/>
        <w:numPr>
          <w:ilvl w:val="0"/>
          <w:numId w:val="10"/>
        </w:numPr>
      </w:pPr>
      <w:r>
        <w:t>Quais culturas têm ciclos, margens e rotinas mais compatíveis com o primeiro produto?</w:t>
      </w:r>
    </w:p>
    <w:p>
      <w:pPr>
        <w:spacing w:after="160" w:line="280" w:lineRule="auto"/>
        <w:widowControl/>
        <w:numPr>
          <w:ilvl w:val="0"/>
          <w:numId w:val="10"/>
        </w:numPr>
      </w:pPr>
      <w:r>
        <w:t>Qual parcela possui Android compatível e conectividade suficiente para sincronização eventual?</w:t>
      </w:r>
    </w:p>
    <w:p>
      <w:pPr>
        <w:pStyle w:val="Heading2"/>
        <w:keepNext/>
        <w:widowControl/>
      </w:pPr>
      <w:r>
        <w:t>21.2 Concorrência</w:t>
      </w:r>
    </w:p>
    <w:p>
      <w:pPr>
        <w:spacing w:after="160" w:line="280" w:lineRule="auto"/>
        <w:widowControl/>
        <w:numPr>
          <w:ilvl w:val="0"/>
          <w:numId w:val="10"/>
        </w:numPr>
      </w:pPr>
      <w:r>
        <w:t>Quanto custam Aegro, MyFarm, FieldView, AGRIVI e soluções regionais para o perfil-alvo?</w:t>
      </w:r>
    </w:p>
    <w:p>
      <w:pPr>
        <w:spacing w:after="160" w:line="280" w:lineRule="auto"/>
        <w:widowControl/>
        <w:numPr>
          <w:ilvl w:val="0"/>
          <w:numId w:val="10"/>
        </w:numPr>
      </w:pPr>
      <w:r>
        <w:t>Quais funções offline estão realmente disponíveis em cada plano e aplicativo?</w:t>
      </w:r>
    </w:p>
    <w:p>
      <w:pPr>
        <w:spacing w:after="160" w:line="280" w:lineRule="auto"/>
        <w:widowControl/>
        <w:numPr>
          <w:ilvl w:val="0"/>
          <w:numId w:val="10"/>
        </w:numPr>
      </w:pPr>
      <w:r>
        <w:t>Quais reclamações aparecem repetidamente em avaliações e entrevistas?</w:t>
      </w:r>
    </w:p>
    <w:p>
      <w:pPr>
        <w:spacing w:after="160" w:line="280" w:lineRule="auto"/>
        <w:widowControl/>
        <w:numPr>
          <w:ilvl w:val="0"/>
          <w:numId w:val="10"/>
        </w:numPr>
      </w:pPr>
      <w:r>
        <w:t>Que treinamento, suporte e implantação são necessários?</w:t>
      </w:r>
    </w:p>
    <w:p>
      <w:pPr>
        <w:spacing w:after="160" w:line="280" w:lineRule="auto"/>
        <w:widowControl/>
        <w:numPr>
          <w:ilvl w:val="0"/>
          <w:numId w:val="10"/>
        </w:numPr>
      </w:pPr>
      <w:r>
        <w:t>Há concorrentes focados especificamente em agricultura familiar, Pronaf ou cooperativas nordestinas?</w:t>
      </w:r>
    </w:p>
    <w:p>
      <w:pPr>
        <w:pStyle w:val="Heading2"/>
        <w:keepNext/>
        <w:widowControl/>
      </w:pPr>
      <w:r>
        <w:t>21.3 Usuário e valor</w:t>
      </w:r>
    </w:p>
    <w:p>
      <w:pPr>
        <w:spacing w:after="160" w:line="280" w:lineRule="auto"/>
        <w:widowControl/>
        <w:numPr>
          <w:ilvl w:val="0"/>
          <w:numId w:val="10"/>
        </w:numPr>
      </w:pPr>
      <w:r>
        <w:t>Qual tarefa causa mais dor: registrar atividades, controlar dinheiro, planejar, prestar contas ou preparar crédito?</w:t>
      </w:r>
    </w:p>
    <w:p>
      <w:pPr>
        <w:spacing w:after="160" w:line="280" w:lineRule="auto"/>
        <w:widowControl/>
        <w:numPr>
          <w:ilvl w:val="0"/>
          <w:numId w:val="10"/>
        </w:numPr>
      </w:pPr>
      <w:r>
        <w:t>Quem realmente usa o celular: produtor, filho, cônjuge, técnico ou administrador?</w:t>
      </w:r>
    </w:p>
    <w:p>
      <w:pPr>
        <w:spacing w:after="160" w:line="280" w:lineRule="auto"/>
        <w:widowControl/>
        <w:numPr>
          <w:ilvl w:val="0"/>
          <w:numId w:val="10"/>
        </w:numPr>
      </w:pPr>
      <w:r>
        <w:t>Que linguagem e unidades locais devem ser suportadas?</w:t>
      </w:r>
    </w:p>
    <w:p>
      <w:pPr>
        <w:spacing w:after="160" w:line="280" w:lineRule="auto"/>
        <w:widowControl/>
        <w:numPr>
          <w:ilvl w:val="0"/>
          <w:numId w:val="10"/>
        </w:numPr>
      </w:pPr>
      <w:r>
        <w:t>O que faria o produtor abandonar o app na primeira semana?</w:t>
      </w:r>
    </w:p>
    <w:p>
      <w:pPr>
        <w:pStyle w:val="Heading2"/>
        <w:keepNext/>
        <w:widowControl/>
      </w:pPr>
      <w:r>
        <w:t>21.4 Negócio e canal</w:t>
      </w:r>
    </w:p>
    <w:p>
      <w:pPr>
        <w:spacing w:after="160" w:line="280" w:lineRule="auto"/>
        <w:widowControl/>
        <w:numPr>
          <w:ilvl w:val="0"/>
          <w:numId w:val="10"/>
        </w:numPr>
      </w:pPr>
      <w:r>
        <w:t>Quem percebe valor suficiente para pagar: produtor, cooperativa, ATER, banco, prefeitura ou parceiro?</w:t>
      </w:r>
    </w:p>
    <w:p>
      <w:pPr>
        <w:spacing w:after="160" w:line="280" w:lineRule="auto"/>
        <w:widowControl/>
        <w:numPr>
          <w:ilvl w:val="0"/>
          <w:numId w:val="10"/>
        </w:numPr>
      </w:pPr>
      <w:r>
        <w:t>Qual faixa de preço é aceitável e em qual periodicidade?</w:t>
      </w:r>
    </w:p>
    <w:p>
      <w:pPr>
        <w:spacing w:after="160" w:line="280" w:lineRule="auto"/>
        <w:widowControl/>
        <w:numPr>
          <w:ilvl w:val="0"/>
          <w:numId w:val="10"/>
        </w:numPr>
      </w:pPr>
      <w:r>
        <w:t>Qual é o custo real de suporte, treinamento e implantação?</w:t>
      </w:r>
    </w:p>
    <w:p>
      <w:pPr>
        <w:spacing w:after="160" w:line="280" w:lineRule="auto"/>
        <w:widowControl/>
        <w:numPr>
          <w:ilvl w:val="0"/>
          <w:numId w:val="10"/>
        </w:numPr>
      </w:pPr>
      <w:r>
        <w:t>Quais canais conseguem gerar confiança sem comprometer privacidade e independência?</w:t>
      </w:r>
    </w:p>
    <w:p>
      <w:pPr>
        <w:pStyle w:val="Heading1"/>
        <w:keepNext/>
        <w:widowControl/>
      </w:pPr>
      <w:r>
        <w:t>22. Dados iniciais para contextualização</w:t>
      </w:r>
    </w:p>
    <w:tbl>
      <w:tblPr>
        <w:tblStyle w:val="TableGrid"/>
        <w:tblW w:type="dxa" w:w="9360"/>
        <w:jc w:val="center"/>
        <w:tblLayout w:type="fixed"/>
        <w:tblLook w:firstColumn="1" w:firstRow="1" w:lastColumn="0" w:lastRow="0" w:noHBand="0" w:noVBand="1" w:val="04A0"/>
        <w:tblInd w:w="120" w:type="dxa"/>
      </w:tblPr>
      <w:tblGrid>
        <w:gridCol w:w="3100"/>
        <w:gridCol w:w="3420"/>
        <w:gridCol w:w="2840"/>
      </w:tblGrid>
      <w:tr>
        <w:trPr>
          <w:tblHeader w:val="true"/>
          <w:cantSplit/>
        </w:trPr>
        <w:tc>
          <w:tcPr>
            <w:tcW w:type="dxa" w:w="3100"/>
            <w:shd w:fill="F2F4F3"/>
            <w:vAlign w:val="center"/>
            <w:tcMar>
              <w:top w:w="80" w:type="dxa"/>
              <w:bottom w:w="80" w:type="dxa"/>
              <w:start w:w="120" w:type="dxa"/>
              <w:end w:w="120" w:type="dxa"/>
            </w:tcMar>
          </w:tcPr>
          <w:p>
            <w:pPr>
              <w:spacing w:after="40"/>
            </w:pPr>
            <w:r>
              <w:rPr>
                <w:rFonts w:ascii="Calibri" w:hAnsi="Calibri"/>
                <w:b/>
                <w:color w:val="123D1A"/>
                <w:sz w:val="16"/>
              </w:rPr>
              <w:t>Dado</w:t>
            </w:r>
          </w:p>
        </w:tc>
        <w:tc>
          <w:tcPr>
            <w:tcW w:type="dxa" w:w="3420"/>
            <w:shd w:fill="F2F4F3"/>
            <w:vAlign w:val="center"/>
            <w:tcMar>
              <w:top w:w="80" w:type="dxa"/>
              <w:bottom w:w="80" w:type="dxa"/>
              <w:start w:w="120" w:type="dxa"/>
              <w:end w:w="120" w:type="dxa"/>
            </w:tcMar>
          </w:tcPr>
          <w:p>
            <w:pPr>
              <w:spacing w:after="40"/>
            </w:pPr>
            <w:r>
              <w:rPr>
                <w:rFonts w:ascii="Calibri" w:hAnsi="Calibri"/>
                <w:b/>
                <w:color w:val="123D1A"/>
                <w:sz w:val="16"/>
              </w:rPr>
              <w:t>Leitura correta</w:t>
            </w:r>
          </w:p>
        </w:tc>
        <w:tc>
          <w:tcPr>
            <w:tcW w:type="dxa" w:w="2840"/>
            <w:shd w:fill="F2F4F3"/>
            <w:vAlign w:val="center"/>
            <w:tcMar>
              <w:top w:w="80" w:type="dxa"/>
              <w:bottom w:w="80" w:type="dxa"/>
              <w:start w:w="120" w:type="dxa"/>
              <w:end w:w="120" w:type="dxa"/>
            </w:tcMar>
          </w:tcPr>
          <w:p>
            <w:pPr>
              <w:spacing w:after="40"/>
            </w:pPr>
            <w:r>
              <w:rPr>
                <w:rFonts w:ascii="Calibri" w:hAnsi="Calibri"/>
                <w:b/>
                <w:color w:val="123D1A"/>
                <w:sz w:val="16"/>
              </w:rPr>
              <w:t>Fonte/limite</w:t>
            </w:r>
          </w:p>
        </w:tc>
      </w:tr>
      <w:tr>
        <w:trPr>
          <w:cantSplit/>
        </w:trPr>
        <w:tc>
          <w:tcPr>
            <w:tcW w:type="dxa" w:w="3100"/>
            <w:vAlign w:val="center"/>
            <w:tcMar>
              <w:top w:w="80" w:type="dxa"/>
              <w:bottom w:w="80" w:type="dxa"/>
              <w:start w:w="120" w:type="dxa"/>
              <w:end w:w="120" w:type="dxa"/>
            </w:tcMar>
          </w:tcPr>
          <w:p>
            <w:pPr>
              <w:spacing w:after="20" w:line="252" w:lineRule="auto"/>
            </w:pPr>
            <w:r>
              <w:rPr>
                <w:rFonts w:ascii="Calibri" w:hAnsi="Calibri"/>
                <w:color w:val="1B241D"/>
                <w:sz w:val="16"/>
              </w:rPr>
              <w:t>76,8% dos estabelecimentos agropecuários foram classificados como agricultura familiar.</w:t>
            </w:r>
          </w:p>
        </w:tc>
        <w:tc>
          <w:tcPr>
            <w:tcW w:type="dxa" w:w="3420"/>
            <w:vAlign w:val="center"/>
            <w:tcMar>
              <w:top w:w="80" w:type="dxa"/>
              <w:bottom w:w="80" w:type="dxa"/>
              <w:start w:w="120" w:type="dxa"/>
              <w:end w:w="120" w:type="dxa"/>
            </w:tcMar>
          </w:tcPr>
          <w:p>
            <w:pPr>
              <w:spacing w:after="20" w:line="252" w:lineRule="auto"/>
            </w:pPr>
            <w:r>
              <w:rPr>
                <w:rFonts w:ascii="Calibri" w:hAnsi="Calibri"/>
                <w:color w:val="1B241D"/>
                <w:sz w:val="16"/>
              </w:rPr>
              <w:t>Mostra grande presença numérica do segmento.</w:t>
            </w:r>
          </w:p>
        </w:tc>
        <w:tc>
          <w:tcPr>
            <w:tcW w:type="dxa" w:w="2840"/>
            <w:vAlign w:val="center"/>
            <w:tcMar>
              <w:top w:w="80" w:type="dxa"/>
              <w:bottom w:w="80" w:type="dxa"/>
              <w:start w:w="120" w:type="dxa"/>
              <w:end w:w="120" w:type="dxa"/>
            </w:tcMar>
          </w:tcPr>
          <w:p>
            <w:pPr>
              <w:spacing w:after="20" w:line="252" w:lineRule="auto"/>
            </w:pPr>
            <w:r>
              <w:rPr>
                <w:rFonts w:ascii="Calibri" w:hAnsi="Calibri"/>
                <w:color w:val="1B241D"/>
                <w:sz w:val="16"/>
              </w:rPr>
              <w:t>Censo Agropecuário 2017; dado estrutural, não estimativa atualizada de 2026.</w:t>
            </w:r>
          </w:p>
        </w:tc>
      </w:tr>
      <w:tr>
        <w:trPr>
          <w:cantSplit/>
        </w:trPr>
        <w:tc>
          <w:tcPr>
            <w:tcW w:type="dxa" w:w="3100"/>
            <w:shd w:fill="F8FAF8"/>
            <w:vAlign w:val="center"/>
            <w:tcMar>
              <w:top w:w="80" w:type="dxa"/>
              <w:bottom w:w="80" w:type="dxa"/>
              <w:start w:w="120" w:type="dxa"/>
              <w:end w:w="120" w:type="dxa"/>
            </w:tcMar>
          </w:tcPr>
          <w:p>
            <w:pPr>
              <w:spacing w:after="20" w:line="252" w:lineRule="auto"/>
            </w:pPr>
            <w:r>
              <w:rPr>
                <w:rFonts w:ascii="Calibri" w:hAnsi="Calibri"/>
                <w:color w:val="1B241D"/>
                <w:sz w:val="16"/>
              </w:rPr>
              <w:t>Aproximadamente 3,9 milhões de estabelecimentos familiares.</w:t>
            </w:r>
          </w:p>
        </w:tc>
        <w:tc>
          <w:tcPr>
            <w:tcW w:type="dxa" w:w="3420"/>
            <w:shd w:fill="F8FAF8"/>
            <w:vAlign w:val="center"/>
            <w:tcMar>
              <w:top w:w="80" w:type="dxa"/>
              <w:bottom w:w="80" w:type="dxa"/>
              <w:start w:w="120" w:type="dxa"/>
              <w:end w:w="120" w:type="dxa"/>
            </w:tcMar>
          </w:tcPr>
          <w:p>
            <w:pPr>
              <w:spacing w:after="20" w:line="252" w:lineRule="auto"/>
            </w:pPr>
            <w:r>
              <w:rPr>
                <w:rFonts w:ascii="Calibri" w:hAnsi="Calibri"/>
                <w:color w:val="1B241D"/>
                <w:sz w:val="16"/>
              </w:rPr>
              <w:t>Base ampla, porém heterogênea em renda, produção e digitalização.</w:t>
            </w:r>
          </w:p>
        </w:tc>
        <w:tc>
          <w:tcPr>
            <w:tcW w:type="dxa" w:w="2840"/>
            <w:shd w:fill="F8FAF8"/>
            <w:vAlign w:val="center"/>
            <w:tcMar>
              <w:top w:w="80" w:type="dxa"/>
              <w:bottom w:w="80" w:type="dxa"/>
              <w:start w:w="120" w:type="dxa"/>
              <w:end w:w="120" w:type="dxa"/>
            </w:tcMar>
          </w:tcPr>
          <w:p>
            <w:pPr>
              <w:spacing w:after="20" w:line="252" w:lineRule="auto"/>
            </w:pPr>
            <w:r>
              <w:rPr>
                <w:rFonts w:ascii="Calibri" w:hAnsi="Calibri"/>
                <w:color w:val="1B241D"/>
                <w:sz w:val="16"/>
              </w:rPr>
              <w:t>Censo Agropecuário 2017.</w:t>
            </w:r>
          </w:p>
        </w:tc>
      </w:tr>
      <w:tr>
        <w:trPr>
          <w:cantSplit/>
        </w:trPr>
        <w:tc>
          <w:tcPr>
            <w:tcW w:type="dxa" w:w="3100"/>
            <w:vAlign w:val="center"/>
            <w:tcMar>
              <w:top w:w="80" w:type="dxa"/>
              <w:bottom w:w="80" w:type="dxa"/>
              <w:start w:w="120" w:type="dxa"/>
              <w:end w:w="120" w:type="dxa"/>
            </w:tcMar>
          </w:tcPr>
          <w:p>
            <w:pPr>
              <w:spacing w:after="20" w:line="252" w:lineRule="auto"/>
            </w:pPr>
            <w:r>
              <w:rPr>
                <w:rFonts w:ascii="Calibri" w:hAnsi="Calibri"/>
                <w:color w:val="1B241D"/>
                <w:sz w:val="16"/>
              </w:rPr>
              <w:t>R$ 85,2 bilhões previstos para operações do Pronaf em 2026/2027.</w:t>
            </w:r>
          </w:p>
        </w:tc>
        <w:tc>
          <w:tcPr>
            <w:tcW w:type="dxa" w:w="3420"/>
            <w:vAlign w:val="center"/>
            <w:tcMar>
              <w:top w:w="80" w:type="dxa"/>
              <w:bottom w:w="80" w:type="dxa"/>
              <w:start w:w="120" w:type="dxa"/>
              <w:end w:w="120" w:type="dxa"/>
            </w:tcMar>
          </w:tcPr>
          <w:p>
            <w:pPr>
              <w:spacing w:after="20" w:line="252" w:lineRule="auto"/>
            </w:pPr>
            <w:r>
              <w:rPr>
                <w:rFonts w:ascii="Calibri" w:hAnsi="Calibri"/>
                <w:color w:val="1B241D"/>
                <w:sz w:val="16"/>
              </w:rPr>
              <w:t>Indica relevância econômica do crédito familiar.</w:t>
            </w:r>
          </w:p>
        </w:tc>
        <w:tc>
          <w:tcPr>
            <w:tcW w:type="dxa" w:w="2840"/>
            <w:vAlign w:val="center"/>
            <w:tcMar>
              <w:top w:w="80" w:type="dxa"/>
              <w:bottom w:w="80" w:type="dxa"/>
              <w:start w:w="120" w:type="dxa"/>
              <w:end w:w="120" w:type="dxa"/>
            </w:tcMar>
          </w:tcPr>
          <w:p>
            <w:pPr>
              <w:spacing w:after="20" w:line="252" w:lineRule="auto"/>
            </w:pPr>
            <w:r>
              <w:rPr>
                <w:rFonts w:ascii="Calibri" w:hAnsi="Calibri"/>
                <w:color w:val="1B241D"/>
                <w:sz w:val="16"/>
              </w:rPr>
              <w:t>MDA, julho de 2026; não representa receita endereçável do software.</w:t>
            </w:r>
          </w:p>
        </w:tc>
      </w:tr>
      <w:tr>
        <w:trPr>
          <w:cantSplit/>
        </w:trPr>
        <w:tc>
          <w:tcPr>
            <w:tcW w:type="dxa" w:w="3100"/>
            <w:shd w:fill="F8FAF8"/>
            <w:vAlign w:val="center"/>
            <w:tcMar>
              <w:top w:w="80" w:type="dxa"/>
              <w:bottom w:w="80" w:type="dxa"/>
              <w:start w:w="120" w:type="dxa"/>
              <w:end w:w="120" w:type="dxa"/>
            </w:tcMar>
          </w:tcPr>
          <w:p>
            <w:pPr>
              <w:spacing w:after="20" w:line="252" w:lineRule="auto"/>
            </w:pPr>
            <w:r>
              <w:rPr>
                <w:rFonts w:ascii="Calibri" w:hAnsi="Calibri"/>
                <w:color w:val="1B241D"/>
                <w:sz w:val="16"/>
              </w:rPr>
              <w:t>Estudos apontam forte dívida de conectividade, especialmente entre produtores menores.</w:t>
            </w:r>
          </w:p>
        </w:tc>
        <w:tc>
          <w:tcPr>
            <w:tcW w:type="dxa" w:w="3420"/>
            <w:shd w:fill="F8FAF8"/>
            <w:vAlign w:val="center"/>
            <w:tcMar>
              <w:top w:w="80" w:type="dxa"/>
              <w:bottom w:w="80" w:type="dxa"/>
              <w:start w:w="120" w:type="dxa"/>
              <w:end w:w="120" w:type="dxa"/>
            </w:tcMar>
          </w:tcPr>
          <w:p>
            <w:pPr>
              <w:spacing w:after="20" w:line="252" w:lineRule="auto"/>
            </w:pPr>
            <w:r>
              <w:rPr>
                <w:rFonts w:ascii="Calibri" w:hAnsi="Calibri"/>
                <w:color w:val="1B241D"/>
                <w:sz w:val="16"/>
              </w:rPr>
              <w:t>Reforça offline-first e implantação assistida.</w:t>
            </w:r>
          </w:p>
        </w:tc>
        <w:tc>
          <w:tcPr>
            <w:tcW w:type="dxa" w:w="2840"/>
            <w:shd w:fill="F8FAF8"/>
            <w:vAlign w:val="center"/>
            <w:tcMar>
              <w:top w:w="80" w:type="dxa"/>
              <w:bottom w:w="80" w:type="dxa"/>
              <w:start w:w="120" w:type="dxa"/>
              <w:end w:w="120" w:type="dxa"/>
            </w:tcMar>
          </w:tcPr>
          <w:p>
            <w:pPr>
              <w:spacing w:after="20" w:line="252" w:lineRule="auto"/>
            </w:pPr>
            <w:r>
              <w:rPr>
                <w:rFonts w:ascii="Calibri" w:hAnsi="Calibri"/>
                <w:color w:val="1B241D"/>
                <w:sz w:val="16"/>
              </w:rPr>
              <w:t>Parte da evidência deriva do Censo 2017; pesquisar dados mais recentes.</w:t>
            </w:r>
          </w:p>
        </w:tc>
      </w:tr>
    </w:tbl>
    <w:p>
      <w:pPr>
        <w:widowControl/>
        <w:spacing w:after="40"/>
      </w:pPr>
    </w:p>
    <w:p>
      <w:pPr>
        <w:pStyle w:val="Heading1"/>
        <w:keepNext/>
        <w:widowControl/>
      </w:pPr>
      <w:r>
        <w:t>23. Prompt pronto para o NotebookLM</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4FA"/>
            <w:tcMar>
              <w:top w:w="80" w:type="dxa"/>
              <w:bottom w:w="80" w:type="dxa"/>
              <w:start w:w="120" w:type="dxa"/>
              <w:end w:w="120" w:type="dxa"/>
            </w:tcMar>
            <w:vAlign w:val="center"/>
          </w:tcPr>
          <w:p>
            <w:pPr>
              <w:spacing w:after="0"/>
            </w:pPr>
            <w:r>
              <w:rPr>
                <w:rFonts w:ascii="Calibri" w:hAnsi="Calibri"/>
                <w:b/>
                <w:color w:val="236A92"/>
                <w:sz w:val="18"/>
              </w:rPr>
              <w:t xml:space="preserve">USO SUGERIDO  </w:t>
            </w:r>
            <w:r>
              <w:rPr>
                <w:rFonts w:ascii="Calibri" w:hAnsi="Calibri"/>
                <w:color w:val="1B241D"/>
                <w:sz w:val="21"/>
              </w:rPr>
              <w:t>Copie o texto abaixo para o NotebookLM depois de adicionar este documento e as fontes externas.</w:t>
            </w:r>
          </w:p>
        </w:tc>
      </w:tr>
    </w:tbl>
    <w:p>
      <w:pPr>
        <w:widowControl/>
        <w:spacing w:after="40"/>
      </w:pPr>
    </w:p>
    <w:p>
      <w:pPr>
        <w:widowControl/>
        <w:spacing w:after="200"/>
        <w:ind w:left="360" w:right="360"/>
      </w:pPr>
      <w:r>
        <w:rPr>
          <w:rFonts w:ascii="Calibri" w:hAnsi="Calibri"/>
          <w:i/>
          <w:color w:val="1B241D"/>
          <w:sz w:val="20"/>
        </w:rPr>
        <w:t>Atue como pesquisador de mercado de software agrícola no Brasil. Use apenas as fontes adicionadas ao notebook e cite cada conclusão. Analise a viabilidade do AgroGestão Pro, um aplicativo Android offline-first voltado inicialmente à agricultura familiar e a pequenos e médios produtores do Nordeste. Separe claramente: (1) fatos confirmados; (2) afirmações comerciais de concorrentes; (3) inferências; (4) hipóteses ainda não validadas; e (5) dados ausentes. Produza: tamanho e segmentação do mercado; perfil e dores dos usuários; mapa de concorrentes diretos, indiretos e substitutos; comparação de funcionalidades, preços, plataformas, offline, suporte e público; análise de posicionamento; oportunidades em crédito rural e cooperativas; riscos técnicos, regulatórios e comerciais; possíveis modelos de receita; canais de aquisição; e plano de entrevistas e experimentos. Não presuma que offline, simplicidade ou relatório de crédito sejam diferenciais sem comparação. Não trate completude documental como score ou garantia de crédito. Ao final, apresente as dez hipóteses mais críticas, evidências a favor e contra, grau de confiança, pesquisa necessária e recomendação de foco para os próximos 12 meses.</w:t>
      </w:r>
    </w:p>
    <w:p>
      <w:pPr>
        <w:pStyle w:val="Heading1"/>
        <w:keepNext/>
        <w:widowControl/>
      </w:pPr>
      <w:r>
        <w:t>24. Fontes iniciais para adicionar ao NotebookLM</w:t>
      </w:r>
    </w:p>
    <w:p>
      <w:pPr>
        <w:widowControl/>
        <w:spacing w:after="100"/>
      </w:pPr>
      <w:r>
        <w:rPr>
          <w:rFonts w:ascii="Calibri" w:hAnsi="Calibri"/>
          <w:b/>
          <w:color w:val="123D1A"/>
          <w:sz w:val="20"/>
        </w:rPr>
        <w:t xml:space="preserve">Repositório do AgroGestão Pro — </w:t>
      </w:r>
      <w:hyperlink r:id="rId11">
        <w:r>
          <w:rPr>
            <w:color w:val="236A92"/>
            <w:u w:val="single"/>
          </w:rPr>
          <w:t>abrir fonte</w:t>
        </w:r>
      </w:hyperlink>
      <w:r>
        <w:rPr>
          <w:rFonts w:ascii="Calibri" w:hAnsi="Calibri"/>
          <w:color w:val="1B241D"/>
          <w:sz w:val="20"/>
        </w:rPr>
        <w:t>. Estado técnico do produto.</w:t>
      </w:r>
    </w:p>
    <w:p>
      <w:pPr>
        <w:widowControl/>
        <w:spacing w:after="100"/>
      </w:pPr>
      <w:r>
        <w:rPr>
          <w:rFonts w:ascii="Calibri" w:hAnsi="Calibri"/>
          <w:b/>
          <w:color w:val="123D1A"/>
          <w:sz w:val="20"/>
        </w:rPr>
        <w:t xml:space="preserve">Aegro — site oficial — </w:t>
      </w:r>
      <w:hyperlink r:id="rId12">
        <w:r>
          <w:rPr>
            <w:color w:val="236A92"/>
            <w:u w:val="single"/>
          </w:rPr>
          <w:t>abrir fonte</w:t>
        </w:r>
      </w:hyperlink>
      <w:r>
        <w:rPr>
          <w:rFonts w:ascii="Calibri" w:hAnsi="Calibri"/>
          <w:color w:val="1B241D"/>
          <w:sz w:val="20"/>
        </w:rPr>
        <w:t>. Módulos, posicionamento, offline, integrações e escala divulgada.</w:t>
      </w:r>
    </w:p>
    <w:p>
      <w:pPr>
        <w:widowControl/>
        <w:spacing w:after="100"/>
      </w:pPr>
      <w:r>
        <w:rPr>
          <w:rFonts w:ascii="Calibri" w:hAnsi="Calibri"/>
          <w:b/>
          <w:color w:val="123D1A"/>
          <w:sz w:val="20"/>
        </w:rPr>
        <w:t xml:space="preserve">MyFarm — site oficial — </w:t>
      </w:r>
      <w:hyperlink r:id="rId13">
        <w:r>
          <w:rPr>
            <w:color w:val="236A92"/>
            <w:u w:val="single"/>
          </w:rPr>
          <w:t>abrir fonte</w:t>
        </w:r>
      </w:hyperlink>
      <w:r>
        <w:rPr>
          <w:rFonts w:ascii="Calibri" w:hAnsi="Calibri"/>
          <w:color w:val="1B241D"/>
          <w:sz w:val="20"/>
        </w:rPr>
        <w:t>. Módulos, offline, suporte, implantação e público divulgado.</w:t>
      </w:r>
    </w:p>
    <w:p>
      <w:pPr>
        <w:widowControl/>
        <w:spacing w:after="100"/>
      </w:pPr>
      <w:r>
        <w:rPr>
          <w:rFonts w:ascii="Calibri" w:hAnsi="Calibri"/>
          <w:b/>
          <w:color w:val="123D1A"/>
          <w:sz w:val="20"/>
        </w:rPr>
        <w:t xml:space="preserve">FieldView Brasil — site oficial — </w:t>
      </w:r>
      <w:hyperlink r:id="rId14">
        <w:r>
          <w:rPr>
            <w:color w:val="236A92"/>
            <w:u w:val="single"/>
          </w:rPr>
          <w:t>abrir fonte</w:t>
        </w:r>
      </w:hyperlink>
      <w:r>
        <w:rPr>
          <w:rFonts w:ascii="Calibri" w:hAnsi="Calibri"/>
          <w:color w:val="1B241D"/>
          <w:sz w:val="20"/>
        </w:rPr>
        <w:t>. Agricultura de precisão, máquinas, dados e planos.</w:t>
      </w:r>
    </w:p>
    <w:p>
      <w:pPr>
        <w:widowControl/>
        <w:spacing w:after="100"/>
      </w:pPr>
      <w:r>
        <w:rPr>
          <w:rFonts w:ascii="Calibri" w:hAnsi="Calibri"/>
          <w:b/>
          <w:color w:val="123D1A"/>
          <w:sz w:val="20"/>
        </w:rPr>
        <w:t xml:space="preserve">AGRIVI 360 — site oficial — </w:t>
      </w:r>
      <w:hyperlink r:id="rId15">
        <w:r>
          <w:rPr>
            <w:color w:val="236A92"/>
            <w:u w:val="single"/>
          </w:rPr>
          <w:t>abrir fonte</w:t>
        </w:r>
      </w:hyperlink>
      <w:r>
        <w:rPr>
          <w:rFonts w:ascii="Calibri" w:hAnsi="Calibri"/>
          <w:color w:val="1B241D"/>
          <w:sz w:val="20"/>
        </w:rPr>
        <w:t>. Operações avançadas, analytics, IoT, ERP e compliance.</w:t>
      </w:r>
    </w:p>
    <w:p>
      <w:pPr>
        <w:widowControl/>
        <w:spacing w:after="100"/>
      </w:pPr>
      <w:r>
        <w:rPr>
          <w:rFonts w:ascii="Calibri" w:hAnsi="Calibri"/>
          <w:b/>
          <w:color w:val="123D1A"/>
          <w:sz w:val="20"/>
        </w:rPr>
        <w:t xml:space="preserve">Embrapa — desafios e oportunidades da agricultura digital — </w:t>
      </w:r>
      <w:hyperlink r:id="rId16">
        <w:r>
          <w:rPr>
            <w:color w:val="236A92"/>
            <w:u w:val="single"/>
          </w:rPr>
          <w:t>abrir fonte</w:t>
        </w:r>
      </w:hyperlink>
      <w:r>
        <w:rPr>
          <w:rFonts w:ascii="Calibri" w:hAnsi="Calibri"/>
          <w:color w:val="1B241D"/>
          <w:sz w:val="20"/>
        </w:rPr>
        <w:t>. Conectividade, custo, capacitação e adoção.</w:t>
      </w:r>
    </w:p>
    <w:p>
      <w:pPr>
        <w:widowControl/>
        <w:spacing w:after="100"/>
      </w:pPr>
      <w:r>
        <w:rPr>
          <w:rFonts w:ascii="Calibri" w:hAnsi="Calibri"/>
          <w:b/>
          <w:color w:val="123D1A"/>
          <w:sz w:val="20"/>
        </w:rPr>
        <w:t xml:space="preserve">Embrapa — retrato da agricultura digital — </w:t>
      </w:r>
      <w:hyperlink r:id="rId17">
        <w:r>
          <w:rPr>
            <w:color w:val="236A92"/>
            <w:u w:val="single"/>
          </w:rPr>
          <w:t>abrir fonte</w:t>
        </w:r>
      </w:hyperlink>
      <w:r>
        <w:rPr>
          <w:rFonts w:ascii="Calibri" w:hAnsi="Calibri"/>
          <w:color w:val="1B241D"/>
          <w:sz w:val="20"/>
        </w:rPr>
        <w:t>. Adoção, barreiras e potencial de expansão.</w:t>
      </w:r>
    </w:p>
    <w:p>
      <w:pPr>
        <w:widowControl/>
        <w:spacing w:after="100"/>
      </w:pPr>
      <w:r>
        <w:rPr>
          <w:rFonts w:ascii="Calibri" w:hAnsi="Calibri"/>
          <w:b/>
          <w:color w:val="123D1A"/>
          <w:sz w:val="20"/>
        </w:rPr>
        <w:t xml:space="preserve">IBGE — Censo Agropecuário 2017 — </w:t>
      </w:r>
      <w:hyperlink r:id="rId18">
        <w:r>
          <w:rPr>
            <w:color w:val="236A92"/>
            <w:u w:val="single"/>
          </w:rPr>
          <w:t>abrir fonte</w:t>
        </w:r>
      </w:hyperlink>
      <w:r>
        <w:rPr>
          <w:rFonts w:ascii="Calibri" w:hAnsi="Calibri"/>
          <w:color w:val="1B241D"/>
          <w:sz w:val="20"/>
        </w:rPr>
        <w:t>. Estrutura da agricultura familiar; verificar defasagem temporal.</w:t>
      </w:r>
    </w:p>
    <w:p>
      <w:pPr>
        <w:widowControl/>
        <w:spacing w:after="100"/>
      </w:pPr>
      <w:r>
        <w:rPr>
          <w:rFonts w:ascii="Calibri" w:hAnsi="Calibri"/>
          <w:b/>
          <w:color w:val="123D1A"/>
          <w:sz w:val="20"/>
        </w:rPr>
        <w:t xml:space="preserve">MDA — Plano Safra da Agricultura Familiar 2026/2027 — </w:t>
      </w:r>
      <w:hyperlink r:id="rId19">
        <w:r>
          <w:rPr>
            <w:color w:val="236A92"/>
            <w:u w:val="single"/>
          </w:rPr>
          <w:t>abrir fonte</w:t>
        </w:r>
      </w:hyperlink>
      <w:r>
        <w:rPr>
          <w:rFonts w:ascii="Calibri" w:hAnsi="Calibri"/>
          <w:color w:val="1B241D"/>
          <w:sz w:val="20"/>
        </w:rPr>
        <w:t>. Recursos e contexto atual do Pronaf.</w:t>
      </w:r>
    </w:p>
    <w:p>
      <w:pPr>
        <w:widowControl/>
        <w:spacing w:after="100"/>
      </w:pPr>
      <w:r>
        <w:rPr>
          <w:rFonts w:ascii="Calibri" w:hAnsi="Calibri"/>
          <w:b/>
          <w:color w:val="123D1A"/>
          <w:sz w:val="20"/>
        </w:rPr>
        <w:t xml:space="preserve">MDA — resumo das linhas do Pronaf 2026/2027 — </w:t>
      </w:r>
      <w:hyperlink r:id="rId20">
        <w:r>
          <w:rPr>
            <w:color w:val="236A92"/>
            <w:u w:val="single"/>
          </w:rPr>
          <w:t>abrir fonte</w:t>
        </w:r>
      </w:hyperlink>
      <w:r>
        <w:rPr>
          <w:rFonts w:ascii="Calibri" w:hAnsi="Calibri"/>
          <w:color w:val="1B241D"/>
          <w:sz w:val="20"/>
        </w:rPr>
        <w:t>. Públicos, limites, prazos e condições.</w:t>
      </w:r>
    </w:p>
    <w:p>
      <w:pPr>
        <w:widowControl/>
        <w:spacing w:after="100"/>
      </w:pPr>
      <w:r>
        <w:rPr>
          <w:rFonts w:ascii="Calibri" w:hAnsi="Calibri"/>
          <w:b/>
          <w:color w:val="123D1A"/>
          <w:sz w:val="20"/>
        </w:rPr>
        <w:t xml:space="preserve">Banco Central — Crédito Rural — </w:t>
      </w:r>
      <w:hyperlink r:id="rId21">
        <w:r>
          <w:rPr>
            <w:color w:val="236A92"/>
            <w:u w:val="single"/>
          </w:rPr>
          <w:t>abrir fonte</w:t>
        </w:r>
      </w:hyperlink>
      <w:r>
        <w:rPr>
          <w:rFonts w:ascii="Calibri" w:hAnsi="Calibri"/>
          <w:color w:val="1B241D"/>
          <w:sz w:val="20"/>
        </w:rPr>
        <w:t>. Definições, sistemas e dados oficiais.</w:t>
      </w:r>
    </w:p>
    <w:p>
      <w:pPr>
        <w:widowControl/>
        <w:spacing w:after="100"/>
      </w:pPr>
      <w:r>
        <w:rPr>
          <w:rFonts w:ascii="Calibri" w:hAnsi="Calibri"/>
          <w:b/>
          <w:color w:val="123D1A"/>
          <w:sz w:val="20"/>
        </w:rPr>
        <w:t xml:space="preserve">Simulador oficial do Pronaf — </w:t>
      </w:r>
      <w:hyperlink r:id="rId22">
        <w:r>
          <w:rPr>
            <w:color w:val="236A92"/>
            <w:u w:val="single"/>
          </w:rPr>
          <w:t>abrir fonte</w:t>
        </w:r>
      </w:hyperlink>
      <w:r>
        <w:rPr>
          <w:rFonts w:ascii="Calibri" w:hAnsi="Calibri"/>
          <w:color w:val="1B241D"/>
          <w:sz w:val="20"/>
        </w:rPr>
        <w:t>. Linhas compatíveis com perfis no ciclo 2026/2027.</w:t>
      </w:r>
    </w:p>
    <w:p>
      <w:pPr>
        <w:widowControl/>
        <w:spacing w:after="100"/>
      </w:pPr>
      <w:r>
        <w:rPr>
          <w:rFonts w:ascii="Calibri" w:hAnsi="Calibri"/>
          <w:b/>
          <w:color w:val="123D1A"/>
          <w:sz w:val="20"/>
        </w:rPr>
        <w:t xml:space="preserve">Sebrae — tecnologias de gestão para agricultura familiar — </w:t>
      </w:r>
      <w:hyperlink r:id="rId23">
        <w:r>
          <w:rPr>
            <w:color w:val="236A92"/>
            <w:u w:val="single"/>
          </w:rPr>
          <w:t>abrir fonte</w:t>
        </w:r>
      </w:hyperlink>
      <w:r>
        <w:rPr>
          <w:rFonts w:ascii="Calibri" w:hAnsi="Calibri"/>
          <w:color w:val="1B241D"/>
          <w:sz w:val="20"/>
        </w:rPr>
        <w:t>. Orientação de gestão e contexto de adoção.</w:t>
      </w:r>
    </w:p>
    <w:p>
      <w:pPr>
        <w:pStyle w:val="Heading1"/>
        <w:keepNext/>
        <w:widowControl/>
      </w:pPr>
      <w:r>
        <w:t>25. Fontes que ainda devem ser coletadas</w:t>
      </w:r>
    </w:p>
    <w:p>
      <w:pPr>
        <w:spacing w:after="160" w:line="280" w:lineRule="auto"/>
        <w:widowControl/>
        <w:numPr>
          <w:ilvl w:val="0"/>
          <w:numId w:val="10"/>
        </w:numPr>
      </w:pPr>
      <w:r>
        <w:t>Preços e contratos reais dos concorrentes, incluindo custos de implantação e suporte.</w:t>
      </w:r>
    </w:p>
    <w:p>
      <w:pPr>
        <w:spacing w:after="160" w:line="280" w:lineRule="auto"/>
        <w:widowControl/>
        <w:numPr>
          <w:ilvl w:val="0"/>
          <w:numId w:val="10"/>
        </w:numPr>
      </w:pPr>
      <w:r>
        <w:t>Avaliações recentes nas lojas Android/iOS e relatos verificados de clientes.</w:t>
      </w:r>
    </w:p>
    <w:p>
      <w:pPr>
        <w:spacing w:after="160" w:line="280" w:lineRule="auto"/>
        <w:widowControl/>
        <w:numPr>
          <w:ilvl w:val="0"/>
          <w:numId w:val="10"/>
        </w:numPr>
      </w:pPr>
      <w:r>
        <w:t>Dados de conectividade rural mais recentes que o Censo Agropecuário de 2017.</w:t>
      </w:r>
    </w:p>
    <w:p>
      <w:pPr>
        <w:spacing w:after="160" w:line="280" w:lineRule="auto"/>
        <w:widowControl/>
        <w:numPr>
          <w:ilvl w:val="0"/>
          <w:numId w:val="10"/>
        </w:numPr>
      </w:pPr>
      <w:r>
        <w:t>Dados do Sicor/Banco Central por estado, instituição, linha e quantidade de operações Pronaf.</w:t>
      </w:r>
    </w:p>
    <w:p>
      <w:pPr>
        <w:spacing w:after="160" w:line="280" w:lineRule="auto"/>
        <w:widowControl/>
        <w:numPr>
          <w:ilvl w:val="0"/>
          <w:numId w:val="10"/>
        </w:numPr>
      </w:pPr>
      <w:r>
        <w:t>Número e perfil de cooperativas, associações e equipes de ATER nos estados prioritários.</w:t>
      </w:r>
    </w:p>
    <w:p>
      <w:pPr>
        <w:spacing w:after="160" w:line="280" w:lineRule="auto"/>
        <w:widowControl/>
        <w:numPr>
          <w:ilvl w:val="0"/>
          <w:numId w:val="10"/>
        </w:numPr>
      </w:pPr>
      <w:r>
        <w:t>Requisitos utilizados por diferentes agentes financeiros para análise de propostas rurais.</w:t>
      </w:r>
    </w:p>
    <w:p>
      <w:pPr>
        <w:spacing w:after="160" w:line="280" w:lineRule="auto"/>
        <w:widowControl/>
        <w:numPr>
          <w:ilvl w:val="0"/>
          <w:numId w:val="10"/>
        </w:numPr>
      </w:pPr>
      <w:r>
        <w:t>Entrevistas e observações de campo, consideradas fonte essencial e não substituível por pesquisa online.</w:t>
      </w:r>
    </w:p>
    <w:p>
      <w:pPr>
        <w:pStyle w:val="Heading1"/>
        <w:keepNext/>
        <w:widowControl/>
      </w:pPr>
      <w:r>
        <w:t>26. Conclusão estratégica</w:t>
      </w:r>
    </w:p>
    <w:p>
      <w:pPr>
        <w:widowControl/>
      </w:pPr>
      <w:r>
        <w:t>O AgroGestão Pro pode construir uma posição relevante se deixar de competir por amplitude e provar que consegue incluir digitalmente produtores que não adotam sistemas rurais complexos. A vantagem desejada é a combinação de registro rápido, offline confiável, linguagem acessível, organização financeira, Passaporte Rural e distribuição por redes de confiança.</w:t>
      </w:r>
    </w:p>
    <w:p>
      <w:pPr>
        <w:widowControl/>
      </w:pPr>
      <w:r>
        <w:t>Essa posição ainda é uma hipótese. O próximo salto do projeto não depende de adicionar muitas funções, e sim de confirmar três pontos: que o produtor registra continuamente; que os dados melhoram decisões ou reduzem trabalho; e que existe um comprador ou canal capaz de sustentar implantação, suporte e evolução.</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AF5EB"/>
            <w:tcMar>
              <w:top w:w="80" w:type="dxa"/>
              <w:bottom w:w="80" w:type="dxa"/>
              <w:start w:w="120" w:type="dxa"/>
              <w:end w:w="120" w:type="dxa"/>
            </w:tcMar>
            <w:vAlign w:val="center"/>
          </w:tcPr>
          <w:p>
            <w:pPr>
              <w:spacing w:after="0"/>
            </w:pPr>
            <w:r>
              <w:rPr>
                <w:rFonts w:ascii="Calibri" w:hAnsi="Calibri"/>
                <w:b/>
                <w:color w:val="123D1A"/>
                <w:sz w:val="18"/>
              </w:rPr>
              <w:t xml:space="preserve">CRITÉRIO DE SUCESSO  </w:t>
            </w:r>
            <w:r>
              <w:rPr>
                <w:rFonts w:ascii="Calibri" w:hAnsi="Calibri"/>
                <w:color w:val="1B241D"/>
                <w:sz w:val="21"/>
              </w:rPr>
              <w:t>O melhor app do ramo, para este segmento, será o que um produtor consegue começar a usar, continuar usando durante a safra e transformar em resultado compreensível — sem perder dados, sem depender de internet e sem precisar se tornar especialista em software.</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61"/>
        <w:sz w:val="17"/>
      </w:rPr>
      <w:t xml:space="preserve">Agosto de 2026  •  Página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61"/>
        <w:sz w:val="17"/>
      </w:rPr>
      <w:t>AGROGESTÃO PRO  |  DOSSIÊ DE PESQUISA DE MERCADO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rPr>
        <w:rFonts w:ascii="Symbol" w:hAnsi="Symbol"/>
      </w:rPr>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B24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6A2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A2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D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120" w:line="264" w:lineRule="auto"/>
    </w:pPr>
    <w:rPr>
      <w:rFonts w:ascii="Calibri" w:hAnsi="Calibri"/>
      <w:color w:val="5E6861"/>
      <w:sz w:val="17"/>
    </w:rPr>
  </w:style>
  <w:style w:type="paragraph" w:customStyle="1" w:styleId="SourceNote">
    <w:name w:val="Source Note"/>
    <w:pPr>
      <w:spacing w:after="120" w:line="264" w:lineRule="auto"/>
    </w:pPr>
    <w:rPr>
      <w:rFonts w:ascii="Calibri" w:hAnsi="Calibri"/>
      <w:color w:val="5E6861"/>
      <w:sz w:val="17"/>
    </w:rPr>
  </w:style>
  <w:style w:type="paragraph" w:customStyle="1" w:styleId="Lead">
    <w:name w:val="Lead"/>
    <w:pPr>
      <w:spacing w:after="120" w:line="264" w:lineRule="auto"/>
    </w:pPr>
    <w:rPr>
      <w:rFonts w:ascii="Calibri" w:hAnsi="Calibri"/>
      <w:color w:val="123D1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tavioNotFound/AgrogestaoProMobile" TargetMode="External"/><Relationship Id="rId12" Type="http://schemas.openxmlformats.org/officeDocument/2006/relationships/hyperlink" Target="https://aegro.com.br/" TargetMode="External"/><Relationship Id="rId13" Type="http://schemas.openxmlformats.org/officeDocument/2006/relationships/hyperlink" Target="https://www.myfarm.com.br/" TargetMode="External"/><Relationship Id="rId14" Type="http://schemas.openxmlformats.org/officeDocument/2006/relationships/hyperlink" Target="https://climate.com/pt-br.html" TargetMode="External"/><Relationship Id="rId15" Type="http://schemas.openxmlformats.org/officeDocument/2006/relationships/hyperlink" Target="https://www.agrivi.com/products/360-farm-enterprise/" TargetMode="External"/><Relationship Id="rId16" Type="http://schemas.openxmlformats.org/officeDocument/2006/relationships/hyperlink" Target="https://www.embrapa.br/busca-de-publicacoes/-/publicacao/1126283/desafios-tendencias-e-oportunidades-em-agricultura-digital-no-brasil" TargetMode="External"/><Relationship Id="rId17" Type="http://schemas.openxmlformats.org/officeDocument/2006/relationships/hyperlink" Target="https://www.embrapa.br/agricultura-digital/busca-de-noticias/-/noticia/54770717/pesquisa-mostra-o-retrato-da-agricultura-digital-brasileira" TargetMode="External"/><Relationship Id="rId18" Type="http://schemas.openxmlformats.org/officeDocument/2006/relationships/hyperlink" Target="https://agenciadenoticias.ibge.gov.br/agencia-sala-de-imprensa/2013-agencia-de-noticias/releases/25789-censo-agro-2017-populacao-ocupada-nos-estabelecimentos-agropecuarios-cai-8-8" TargetMode="External"/><Relationship Id="rId19" Type="http://schemas.openxmlformats.org/officeDocument/2006/relationships/hyperlink" Target="https://www.gov.br/mda/pt-br/noticias/2026/07/plano-safra-da-agricultura-familiar-2026-2027" TargetMode="External"/><Relationship Id="rId20" Type="http://schemas.openxmlformats.org/officeDocument/2006/relationships/hyperlink" Target="https://www.gov.br/mda/pt-br/acesso-a-informacao/acoes-e-programas/programas-projetos-acoes-obras-e-atividades/plano-safra-da-agricultura-familiar/documentos/Pronaf20262027ResumoLinhas.pdf" TargetMode="External"/><Relationship Id="rId21" Type="http://schemas.openxmlformats.org/officeDocument/2006/relationships/hyperlink" Target="https://www.bcb.gov.br/estabilidadefinanceira/creditorural" TargetMode="External"/><Relationship Id="rId22" Type="http://schemas.openxmlformats.org/officeDocument/2006/relationships/hyperlink" Target="https://simuladorpronaf.mda.gov.br/" TargetMode="External"/><Relationship Id="rId23" Type="http://schemas.openxmlformats.org/officeDocument/2006/relationships/hyperlink" Target="https://sebraeplay.com.br/content/tecnologias-de-gestao-para-a-agricultura-famili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de Pesquisa de Mercado — AgroGestão Pro</dc:title>
  <dc:subject>Base estratégica para pesquisa de mercado no NotebookLM</dc:subject>
  <dc:creator>Otávio Dias Correia Moury Fernandes</dc:creator>
  <cp:keywords>AgroGestão Pro, agricultura familiar, gestão rural, offline-first, pesquisa de mercado, Pronaf</cp:keywords>
  <dc:description>Documento-base; hipóteses devem ser validadas com fontes e pesquisa de campo.</dc:description>
  <cp:lastModifiedBy/>
  <cp:revision>1</cp:revision>
  <dcterms:created xsi:type="dcterms:W3CDTF">2013-12-23T23:15:00Z</dcterms:created>
  <dcterms:modified xsi:type="dcterms:W3CDTF">2013-12-23T23:15:00Z</dcterms:modified>
  <cp:category/>
</cp:coreProperties>
</file>